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8AB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E1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8F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F1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82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B7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794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04B0D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庐山市人民政府办公室</w:t>
      </w:r>
    </w:p>
    <w:p w14:paraId="095D6A4B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关于印发《庐山市城市道路开挖管理办法》的通   知</w:t>
      </w:r>
    </w:p>
    <w:p w14:paraId="3F05B75B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BEE0C5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各乡（镇）人民政府，沙湖山管理处，市政府各部门，市（局）直各单位，驻市（山）各单位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E71E0D8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《庐山市城市道路开挖管理办法》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经市二届人民政府第75次常务会议审议通过，现印发给你们，请认真抓好贯彻落实。</w:t>
      </w:r>
    </w:p>
    <w:p w14:paraId="702A8A0E">
      <w:pPr>
        <w:pStyle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325E317">
      <w:pPr>
        <w:pStyle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C3BB5EC">
      <w:pPr>
        <w:pStyle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D0EE04F">
      <w:pPr>
        <w:pStyle w:val="9"/>
        <w:ind w:firstLine="4800" w:firstLineChars="15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2025年9月30日</w:t>
      </w:r>
    </w:p>
    <w:p w14:paraId="599DA48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4A039A0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庐山市城市道路开挖管理办法</w:t>
      </w:r>
    </w:p>
    <w:p w14:paraId="36B47661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0A73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 总则</w:t>
      </w:r>
    </w:p>
    <w:p w14:paraId="370949AB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第一条 为进一步规范城市道路开挖行为，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避免无序开挖造成不良社会影响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，提高城市管理水平，</w:t>
      </w:r>
      <w:r>
        <w:rPr>
          <w:rFonts w:hint="eastAsia" w:ascii="仿宋_GB2312" w:hAnsi="仿宋_GB2312" w:cs="仿宋_GB2312"/>
          <w:color w:val="auto"/>
          <w:szCs w:val="32"/>
        </w:rPr>
        <w:t>根据《中华人民共和国道路交通安全法》《城市道路管理条例》《九江市城市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市容</w:t>
      </w:r>
      <w:r>
        <w:rPr>
          <w:rFonts w:hint="eastAsia" w:ascii="仿宋_GB2312" w:hAnsi="仿宋_GB2312" w:cs="仿宋_GB2312"/>
          <w:color w:val="auto"/>
          <w:szCs w:val="32"/>
        </w:rPr>
        <w:t>管理条例》等有关法律法规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条例的</w:t>
      </w:r>
      <w:r>
        <w:rPr>
          <w:rFonts w:hint="eastAsia" w:ascii="仿宋_GB2312" w:hAnsi="仿宋_GB2312" w:cs="仿宋_GB2312"/>
          <w:color w:val="auto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结合庐山市实际，制定本办法。 </w:t>
      </w:r>
    </w:p>
    <w:p w14:paraId="07AC9563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 在本市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范围内，因敷设、维修地下管线或者进行其他建设工程，需要挖掘机动车道、非机动车道、人行道等城市道路的，适用本办法。</w:t>
      </w:r>
    </w:p>
    <w:p w14:paraId="23C0E96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第三条 由市城市管理主管部门负责受理开挖审批前的备案管理。凡未经备案和审批的，任何单位或者个人不得开挖城市道路。经批准挖掘城市道路的，应当尽量减少对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和交通的影响。</w:t>
      </w:r>
    </w:p>
    <w:p w14:paraId="2AB0E5D2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第四条 建立调度机制，由城市管理部门不定期调度道路开挖管理工作，重大问题提请市分管领导协调解决。</w:t>
      </w:r>
    </w:p>
    <w:p w14:paraId="2A437DA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D92019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 开挖计划申报与许可</w:t>
      </w:r>
    </w:p>
    <w:p w14:paraId="0BCBD0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对城区所有道路开挖</w:t>
      </w:r>
      <w:r>
        <w:rPr>
          <w:rFonts w:hint="eastAsia" w:ascii="仿宋_GB2312" w:hAnsi="仿宋_GB2312" w:eastAsia="仿宋_GB2312" w:cs="仿宋_GB2312"/>
          <w:lang w:eastAsia="zh-CN"/>
        </w:rPr>
        <w:t>实行计划统筹管理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  <w:lang w:eastAsia="zh-CN"/>
        </w:rPr>
        <w:t>燃气、供水、供电、</w:t>
      </w:r>
      <w:r>
        <w:rPr>
          <w:rFonts w:hint="eastAsia" w:ascii="仿宋_GB2312" w:hAnsi="仿宋_GB2312" w:cs="仿宋_GB2312"/>
          <w:lang w:eastAsia="zh-CN"/>
        </w:rPr>
        <w:t>广电、</w:t>
      </w:r>
      <w:r>
        <w:rPr>
          <w:rFonts w:hint="eastAsia" w:ascii="仿宋_GB2312" w:hAnsi="仿宋_GB2312" w:eastAsia="仿宋_GB2312" w:cs="仿宋_GB2312"/>
          <w:lang w:eastAsia="zh-CN"/>
        </w:rPr>
        <w:t>移动、联通、电信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cs="仿宋_GB2312"/>
          <w:lang w:val="en-US" w:eastAsia="zh-CN"/>
        </w:rPr>
        <w:t>住建、公安、交通、市政</w:t>
      </w:r>
      <w:r>
        <w:rPr>
          <w:rFonts w:hint="eastAsia" w:ascii="仿宋_GB2312" w:hAnsi="仿宋_GB2312" w:eastAsia="仿宋_GB2312" w:cs="仿宋_GB2312"/>
          <w:lang w:eastAsia="zh-CN"/>
        </w:rPr>
        <w:t>等频繁涉及道路开挖作业的单位</w:t>
      </w:r>
      <w:r>
        <w:rPr>
          <w:rFonts w:hint="eastAsia" w:ascii="仿宋_GB2312" w:hAnsi="仿宋_GB2312" w:cs="仿宋_GB2312"/>
          <w:lang w:eastAsia="zh-CN"/>
        </w:rPr>
        <w:t>每年年初向市城市管理部门报年度开挖计划，</w:t>
      </w:r>
      <w:r>
        <w:rPr>
          <w:rFonts w:hint="eastAsia" w:ascii="仿宋_GB2312" w:hAnsi="仿宋_GB2312" w:eastAsia="仿宋_GB2312" w:cs="仿宋_GB2312"/>
          <w:lang w:eastAsia="zh-CN"/>
        </w:rPr>
        <w:t>每季度首月5日前报送本季度开挖计划（明确施工路段、开挖面积、计划工期等信息），由</w:t>
      </w:r>
      <w:r>
        <w:rPr>
          <w:rFonts w:hint="eastAsia" w:ascii="仿宋_GB2312" w:hAnsi="仿宋_GB2312" w:cs="仿宋_GB2312"/>
          <w:lang w:eastAsia="zh-CN"/>
        </w:rPr>
        <w:t>市城市管理部门</w:t>
      </w:r>
      <w:r>
        <w:rPr>
          <w:rFonts w:hint="eastAsia" w:ascii="仿宋_GB2312" w:hAnsi="仿宋_GB2312" w:eastAsia="仿宋_GB2312" w:cs="仿宋_GB2312"/>
          <w:lang w:eastAsia="zh-CN"/>
        </w:rPr>
        <w:t>结合城区主干道通行需求等实际情况，统筹调度挖掘时序，避免重复施工。</w:t>
      </w:r>
      <w:r>
        <w:rPr>
          <w:rFonts w:hint="eastAsia"/>
          <w:lang w:val="en-US" w:eastAsia="zh-CN"/>
        </w:rPr>
        <w:t xml:space="preserve">  </w:t>
      </w:r>
    </w:p>
    <w:p w14:paraId="70621397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鼓励采取顶管作业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非开挖技术施工，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凡可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同管沟敷设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的一律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同管沟敷设，减少对道路的开挖破坏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及对交通的影响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ED324F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因地下管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发生故障需紧急抢修的，开挖单位可先行开挖抢修，同时向市城市管理主管部门报告，并在24小时内到行政审批部门补办手续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进行地下管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紧急抢修的，施工现场须设置明显标志和安全防护设施，完工后及时按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原材料原标准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修复路面，保障行人和车辆交通安全。</w:t>
      </w:r>
    </w:p>
    <w:p w14:paraId="484AEF9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办理城市道路临时开挖手续并依法缴纳临时占道费用批准后，方可施工（收费依据及标准参照星价字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〔2003〕24号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《关于县城道路占道费等收费标准的批复》文件，其中明确基建或其他占道方式按每平方米0.3元/日收取）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 w14:paraId="28C270C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申请开挖城市道路的单位或者个人，必须提交下列材料：</w:t>
      </w:r>
    </w:p>
    <w:p w14:paraId="6F047F5E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开挖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5F5A8946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行政许可申请表（窗口领取）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733B17D6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申请单位营业执照、个人身份证等主体证明材料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建筑企业资质证书、安全生产证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2DBDAEAE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开挖地点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示意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7A8BFA4B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破挖承诺书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59A992F1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2430D85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  城市道路开挖管理与修复</w:t>
      </w:r>
    </w:p>
    <w:p w14:paraId="7EA8F93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第十条 经许可开挖城市道路的，应当遵守下列规定：</w:t>
      </w:r>
    </w:p>
    <w:p w14:paraId="14ACF554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（一）严格按照许可的位置、面积、期限实施开挖；因气候、地质条件等特殊原因需变更的，须提前办理变更许可手续说明原因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由业主单位盖章确认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4E24F6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（二）通过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新闻媒体和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现场公示牌等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公示开挖信息。</w:t>
      </w:r>
    </w:p>
    <w:p w14:paraId="02138EA9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（三）施工现场必须设置标准化围挡、交通导向标志、施工告示及路障警示灯；采取安全防护措施，保护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邻近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下管线设施安全。横跨主、次干道开挖且不具备顶管条件的，须在车流量少的时段施工；夜间施工须设置警示灯，严禁扰民；当日未完工的，须对管槽回填并采用防滑钢板覆盖、增设减速条，确保道路交通恢复畅通。</w:t>
      </w:r>
    </w:p>
    <w:p w14:paraId="408B7A57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（四）制定施工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尘降噪方案，安排专人负责现场清扫，配备洒水、冲洗设备。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开挖产生的建筑垃圾，必须按要求填写建筑垃圾转移联单。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施工过程中持续洒水降尘，渣土随挖随清，运输车辆须冲洗干净并覆盖；施工材料、裸露土层用毛毡或防尘网覆盖；完工后及时清理渣土废料，最大限度减少对群众生活和环境的影响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开挖余土污染路面的，须按市城市管理主管部门要求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清理。</w:t>
      </w:r>
    </w:p>
    <w:p w14:paraId="3DAD161F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（五）基坑、沟槽开挖后必须全部按规范回填。</w:t>
      </w:r>
    </w:p>
    <w:p w14:paraId="384104E2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（六）埋入地下的材料必须使用符合要求的国标材料。</w:t>
      </w:r>
    </w:p>
    <w:p w14:paraId="3A913929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）施工期间保持现场整洁，完工后第一时间完成清场。</w:t>
      </w:r>
    </w:p>
    <w:p w14:paraId="5D7CB22D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（八）开挖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施工中深度超过一定标准的工程，危险性较大或可能影响地下管线的，应当进行监测和防护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326081D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道路开挖单位负责验收前的现场安全及工地管理，应建立健全安全管理制度，完善安全防护措施，设立专职安全员，确保施工现场安全。</w:t>
      </w:r>
    </w:p>
    <w:p w14:paraId="3E7CFAB5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条  城市道路开挖修复单位或者个人必须具备相应的施工资质，严格执行城市道路养护、维修的技术规范，修复的道路质量要与原道路标准保持一致，强度不应低于原设计结构：</w:t>
      </w:r>
    </w:p>
    <w:p w14:paraId="03C0C21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开挖修复：开挖的基层修复应在开挖断面两侧各加宽50cm；路面面层修复不应小于原有面层厚度，修复路面与相邻原路面接缝应平顺、紧密，相邻高差应控制在5mm内，面层修复宽度每侧宽度应大于基层20cm以上。</w:t>
      </w:r>
    </w:p>
    <w:p w14:paraId="3F403E19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沥青路面：开挖宽度不足一个行车道的，除按标准修复管槽外，应对整条车行道进行罩面，超过一个行车道不足两个行车道的，按两个行车道面积罩面恢复。当顺向开挖宽度达到原路面1/3时，开挖修复按道路宽度半幅施工；开挖宽度达到原路面1/2以上时，应进行专项开挖修复设计，面层应为全幅修复。</w:t>
      </w:r>
    </w:p>
    <w:p w14:paraId="7187D723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（三）水泥混凝土路面：当水泥混凝土路面开挖宽度超过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1/3板宽时，应按整板修复；当不足1/3板宽时应进行加固处理。</w:t>
      </w:r>
    </w:p>
    <w:p w14:paraId="7EDF956F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（四）人行道：砌块类面层的开挖修复，应将开挖施工期间被扰动的、破损的砌块全部拆除、重新铺砌。</w:t>
      </w:r>
    </w:p>
    <w:p w14:paraId="3FC4256D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（五）绿化带：绿化带的开挖修复，必须按原状修复到位，种植的苗木及草皮必须保证成活（养护期一年），同时小苗木必须按原密实度恢复到位。</w:t>
      </w:r>
    </w:p>
    <w:p w14:paraId="03A1D4A3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修复后的路面设置12个月质保期，自验收合格之日起计算，质保期内出现质量问题的，由施工单位负责无偿修复。</w:t>
      </w:r>
    </w:p>
    <w:p w14:paraId="2CAAD0AF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市城市管理部门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负责对开挖后的修复情况组织验收，对不符合要求的，责令限期整改。交通繁忙路段及周边道路的开挖工程，应当实施分段开挖、分段恢复、分段验收。</w:t>
      </w:r>
    </w:p>
    <w:p w14:paraId="23DBD44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65D895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 监督管理与法律责任</w:t>
      </w:r>
    </w:p>
    <w:p w14:paraId="64B04458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市城市管理部门应当对开挖、修复工程实行监督管理，在开工准备、沟槽开挖、回填验收及路面修复过程中，实行定期巡查，规范管理。</w:t>
      </w:r>
    </w:p>
    <w:p w14:paraId="0EA231A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经批准挖掘城市道路的单位或者个人，因施工损坏道路附属设施、地下管线设施的，应当承担赔偿责任。</w:t>
      </w:r>
    </w:p>
    <w:p w14:paraId="64CF9B08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有下列行为之一的，由城市管理综合行政执法部门按照《中华人民共和国道路交通安全法》《中华人民共和国公路法》《城市道路管理条例》《九江市城市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管理条例》等相关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和规章予以行政处罚；造成损失的，应当依法承担赔偿责任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7D27E50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（一）擅自开挖、占用城市道路的；</w:t>
      </w:r>
    </w:p>
    <w:p w14:paraId="0014F53F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（二）开挖机械作业时，造成路面出现划痕、碎裂等损害城市道路的；</w:t>
      </w:r>
    </w:p>
    <w:p w14:paraId="47BF31A1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（三）紧急抢修埋设在城市道路下的管线，不按照规定补办手续的；</w:t>
      </w:r>
    </w:p>
    <w:p w14:paraId="7417698C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（四）施工现场未按照规定设置封闭围挡设施、公示牌、安全警示标志、采取防护措施的；</w:t>
      </w:r>
    </w:p>
    <w:p w14:paraId="1FB4F9F3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（五）未按照批准的位置、面积、期限开挖道路，或者未提前办理变更手续的；</w:t>
      </w:r>
    </w:p>
    <w:p w14:paraId="1D0C1A7A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（六）未按规范要求施工、回填和及时清理现场的，未采取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尘降噪措施的；</w:t>
      </w:r>
    </w:p>
    <w:p w14:paraId="3E27C443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（七）未按照标准要求恢复原状原质的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6A7D04CD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（八）损坏路灯、线缆、树木、绿化等市政设施不按要求予以修复的。</w:t>
      </w:r>
    </w:p>
    <w:p w14:paraId="3644DD4D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国家机关工作人员在城市道路开挖修复管理工作中，滥用职权、玩忽职守、徇私舞弊的，由有关部门依法给予行政处分；构成犯罪的，依法追究刑事责任。</w:t>
      </w:r>
    </w:p>
    <w:p w14:paraId="188DF5F0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附则</w:t>
      </w:r>
    </w:p>
    <w:p w14:paraId="044F2406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第十九条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公共广场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公共绿地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需进行占道开挖的，参照以上规定执行。</w:t>
      </w:r>
    </w:p>
    <w:p w14:paraId="73A04F18">
      <w:pPr>
        <w:keepNext w:val="0"/>
        <w:keepLines w:val="0"/>
        <w:pageBreakBefore w:val="0"/>
        <w:widowControl w:val="0"/>
        <w:tabs>
          <w:tab w:val="left" w:pos="1978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城市道路开挖、修复施工涉及的技术和质量管理标准，本办法未做规定的，按照国家规定的城市道路养护维修和质量管理的规范标准执行。</w:t>
      </w:r>
    </w:p>
    <w:p w14:paraId="71C0AC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本办法自发布之日起施行。</w:t>
      </w:r>
    </w:p>
    <w:p w14:paraId="2BE4D3A6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auto"/>
          <w:szCs w:val="32"/>
        </w:rPr>
        <w:t>第二十二条</w:t>
      </w:r>
      <w:r>
        <w:rPr>
          <w:rFonts w:hint="cs" w:ascii="仿宋_GB2312" w:hAnsi="仿宋_GB2312" w:cs="仿宋_GB2312"/>
          <w:color w:val="auto"/>
          <w:szCs w:val="32"/>
        </w:rPr>
        <w:t> </w:t>
      </w:r>
      <w:r>
        <w:rPr>
          <w:rFonts w:hint="eastAsia" w:ascii="仿宋_GB2312" w:hAnsi="仿宋_GB2312" w:cs="仿宋_GB2312"/>
          <w:color w:val="auto"/>
          <w:szCs w:val="32"/>
        </w:rPr>
        <w:t>本办法由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市城市管理部门</w:t>
      </w:r>
      <w:r>
        <w:rPr>
          <w:rFonts w:hint="eastAsia" w:ascii="仿宋_GB2312" w:hAnsi="仿宋_GB2312" w:cs="仿宋_GB2312"/>
          <w:color w:val="auto"/>
          <w:szCs w:val="32"/>
        </w:rPr>
        <w:t>负责具体解释工作。</w:t>
      </w:r>
    </w:p>
    <w:sectPr>
      <w:footerReference r:id="rId5" w:type="default"/>
      <w:pgSz w:w="11906" w:h="16838"/>
      <w:pgMar w:top="1701" w:right="1701" w:bottom="1701" w:left="1701" w:header="851" w:footer="1219" w:gutter="0"/>
      <w:pgNumType w:fmt="decimal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F9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-35560</wp:posOffset>
              </wp:positionH>
              <wp:positionV relativeFrom="paragraph">
                <wp:posOffset>69215</wp:posOffset>
              </wp:positionV>
              <wp:extent cx="7334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F3DC4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.8pt;margin-top:5.45pt;height:144pt;width:57.75pt;mso-position-horizontal-relative:margin;z-index:251659264;mso-width-relative:page;mso-height-relative:page;" filled="f" stroked="f" coordsize="21600,21600" o:gfxdata="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by1no1wAAAAkBAAAPAAAAAAAAAAEAIAAAACIAAABkcnMvZG93bnJl&#10;di54bWxQSwECFAAUAAAACACHTuJAsxqrGT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F3DC4"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304"/>
  <w:drawingGridVerticalSpacing w:val="22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C84"/>
    <w:rsid w:val="00EC1C3D"/>
    <w:rsid w:val="0109515E"/>
    <w:rsid w:val="01B578AF"/>
    <w:rsid w:val="01C714CF"/>
    <w:rsid w:val="01D152A8"/>
    <w:rsid w:val="01D9415D"/>
    <w:rsid w:val="03546191"/>
    <w:rsid w:val="03AF786B"/>
    <w:rsid w:val="04447FB3"/>
    <w:rsid w:val="069675C8"/>
    <w:rsid w:val="07047134"/>
    <w:rsid w:val="079C04D4"/>
    <w:rsid w:val="084F0211"/>
    <w:rsid w:val="0AE0006B"/>
    <w:rsid w:val="0BA94BA0"/>
    <w:rsid w:val="0C81680A"/>
    <w:rsid w:val="0CFC443C"/>
    <w:rsid w:val="0D5E3C59"/>
    <w:rsid w:val="0FAC4C5F"/>
    <w:rsid w:val="11B322D4"/>
    <w:rsid w:val="12103BCB"/>
    <w:rsid w:val="12E71C53"/>
    <w:rsid w:val="136316FA"/>
    <w:rsid w:val="156B177D"/>
    <w:rsid w:val="178D4B29"/>
    <w:rsid w:val="18E331FF"/>
    <w:rsid w:val="18E503C1"/>
    <w:rsid w:val="1A98610F"/>
    <w:rsid w:val="1C9C2F9A"/>
    <w:rsid w:val="20C237BE"/>
    <w:rsid w:val="2407152E"/>
    <w:rsid w:val="24657D7E"/>
    <w:rsid w:val="24F15196"/>
    <w:rsid w:val="25827266"/>
    <w:rsid w:val="26E778EE"/>
    <w:rsid w:val="299A295D"/>
    <w:rsid w:val="2B7060E0"/>
    <w:rsid w:val="2C313AF6"/>
    <w:rsid w:val="2C4209CD"/>
    <w:rsid w:val="2C742273"/>
    <w:rsid w:val="2E9C2616"/>
    <w:rsid w:val="2FB41BE1"/>
    <w:rsid w:val="307C26FF"/>
    <w:rsid w:val="307D4932"/>
    <w:rsid w:val="30DD3C13"/>
    <w:rsid w:val="30F93385"/>
    <w:rsid w:val="310426F5"/>
    <w:rsid w:val="31C3610C"/>
    <w:rsid w:val="31E53666"/>
    <w:rsid w:val="324C7EAF"/>
    <w:rsid w:val="33680D19"/>
    <w:rsid w:val="33921A44"/>
    <w:rsid w:val="33995376"/>
    <w:rsid w:val="34AE4E51"/>
    <w:rsid w:val="356E638F"/>
    <w:rsid w:val="367F6029"/>
    <w:rsid w:val="36E0150E"/>
    <w:rsid w:val="378C7638"/>
    <w:rsid w:val="379C3687"/>
    <w:rsid w:val="384B29B7"/>
    <w:rsid w:val="390E1E47"/>
    <w:rsid w:val="399565E0"/>
    <w:rsid w:val="3B2B731B"/>
    <w:rsid w:val="3BC841D8"/>
    <w:rsid w:val="3D9C5644"/>
    <w:rsid w:val="3E506FFE"/>
    <w:rsid w:val="3E543D2B"/>
    <w:rsid w:val="3FB13A48"/>
    <w:rsid w:val="41263E80"/>
    <w:rsid w:val="416658BB"/>
    <w:rsid w:val="41905C7F"/>
    <w:rsid w:val="41B617E9"/>
    <w:rsid w:val="41B872C4"/>
    <w:rsid w:val="41DD7581"/>
    <w:rsid w:val="41F12A49"/>
    <w:rsid w:val="42152BEC"/>
    <w:rsid w:val="429654A5"/>
    <w:rsid w:val="42B06238"/>
    <w:rsid w:val="43E51B72"/>
    <w:rsid w:val="45ED3061"/>
    <w:rsid w:val="47B71E17"/>
    <w:rsid w:val="485D29BF"/>
    <w:rsid w:val="487B1097"/>
    <w:rsid w:val="4BBF129A"/>
    <w:rsid w:val="4EF15C0F"/>
    <w:rsid w:val="50974594"/>
    <w:rsid w:val="5148350E"/>
    <w:rsid w:val="520914C1"/>
    <w:rsid w:val="545C0D0D"/>
    <w:rsid w:val="548702E4"/>
    <w:rsid w:val="5629004A"/>
    <w:rsid w:val="567463DA"/>
    <w:rsid w:val="56795DC7"/>
    <w:rsid w:val="58146890"/>
    <w:rsid w:val="584B30A3"/>
    <w:rsid w:val="5919023C"/>
    <w:rsid w:val="59F111B9"/>
    <w:rsid w:val="5A7661CD"/>
    <w:rsid w:val="5A8C7E40"/>
    <w:rsid w:val="5AB81692"/>
    <w:rsid w:val="5B305D11"/>
    <w:rsid w:val="5B361BBF"/>
    <w:rsid w:val="5B3D3F8A"/>
    <w:rsid w:val="5BB3041B"/>
    <w:rsid w:val="5BB90387"/>
    <w:rsid w:val="5C7C20BF"/>
    <w:rsid w:val="5E472D79"/>
    <w:rsid w:val="5FB52C88"/>
    <w:rsid w:val="62314848"/>
    <w:rsid w:val="63004468"/>
    <w:rsid w:val="64616F3B"/>
    <w:rsid w:val="6488113B"/>
    <w:rsid w:val="66EC3434"/>
    <w:rsid w:val="67CC134C"/>
    <w:rsid w:val="67ED7A99"/>
    <w:rsid w:val="686B2C18"/>
    <w:rsid w:val="69792940"/>
    <w:rsid w:val="6A615EE7"/>
    <w:rsid w:val="6D570B74"/>
    <w:rsid w:val="6EFB452E"/>
    <w:rsid w:val="6F854425"/>
    <w:rsid w:val="6FCA62DC"/>
    <w:rsid w:val="71C0545E"/>
    <w:rsid w:val="727608D5"/>
    <w:rsid w:val="74D55507"/>
    <w:rsid w:val="76D37063"/>
    <w:rsid w:val="7779DBAC"/>
    <w:rsid w:val="778D20C9"/>
    <w:rsid w:val="77B91110"/>
    <w:rsid w:val="79342C4F"/>
    <w:rsid w:val="79671298"/>
    <w:rsid w:val="7B205002"/>
    <w:rsid w:val="7BD42F30"/>
    <w:rsid w:val="7C86434E"/>
    <w:rsid w:val="7CC512AA"/>
    <w:rsid w:val="7D2173AB"/>
    <w:rsid w:val="7D467A9F"/>
    <w:rsid w:val="7D61447C"/>
    <w:rsid w:val="7DCD42CD"/>
    <w:rsid w:val="7E7B6E1F"/>
    <w:rsid w:val="7FEC9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3" w:firstLineChars="200"/>
      <w:jc w:val="both"/>
    </w:pPr>
    <w:rPr>
      <w:bCs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883" w:firstLineChars="200"/>
    </w:pPr>
  </w:style>
  <w:style w:type="paragraph" w:customStyle="1" w:styleId="9">
    <w:name w:val="Body Text First Indent1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0">
    <w:name w:val="样式2"/>
    <w:basedOn w:val="1"/>
    <w:next w:val="1"/>
    <w:qFormat/>
    <w:uiPriority w:val="0"/>
    <w:pPr>
      <w:spacing w:after="0" w:line="560" w:lineRule="exact"/>
      <w:ind w:firstLine="643" w:firstLineChars="200"/>
      <w:jc w:val="both"/>
    </w:pPr>
    <w:rPr>
      <w:rFonts w:hint="eastAsia" w:ascii="Tahoma" w:hAnsi="Tahoma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2947</Words>
  <Characters>2977</Characters>
  <Lines>0</Lines>
  <Paragraphs>0</Paragraphs>
  <TotalTime>7</TotalTime>
  <ScaleCrop>false</ScaleCrop>
  <LinksUpToDate>false</LinksUpToDate>
  <CharactersWithSpaces>3018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2022-04-01T12:44:00Z</dcterms:created>
  <dc:creator>Administrator</dc:creator>
  <cp:lastModifiedBy>。</cp:lastModifiedBy>
  <cp:lastPrinted>2025-09-29T10:10:00Z</cp:lastPrinted>
  <dcterms:modified xsi:type="dcterms:W3CDTF">2026-02-02T19:10:30Z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E4CF2C58AD365EBD60858069913FB051_43</vt:lpwstr>
  </property>
  <property fmtid="{D5CDD505-2E9C-101B-9397-08002B2CF9AE}" pid="4" name="KSOTemplateDocerSaveRecord">
    <vt:lpwstr>eyJoZGlkIjoiOWZkOTlmNDQzMGJlZjU2ZTBjYWEwYTQ0MTdhYmU1MWQifQ==</vt:lpwstr>
  </property>
</Properties>
</file>