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0A74A">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lang w:bidi="ar"/>
        </w:rPr>
      </w:pPr>
      <w:bookmarkStart w:id="1" w:name="_GoBack"/>
      <w:bookmarkEnd w:id="1"/>
    </w:p>
    <w:p w14:paraId="7208A752">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lang w:bidi="ar"/>
        </w:rPr>
      </w:pPr>
    </w:p>
    <w:p w14:paraId="528D3CCF">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lang w:bidi="ar"/>
        </w:rPr>
      </w:pPr>
    </w:p>
    <w:p w14:paraId="257E57DD">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lang w:bidi="ar"/>
        </w:rPr>
      </w:pPr>
    </w:p>
    <w:p w14:paraId="78530416">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lang w:bidi="ar"/>
        </w:rPr>
      </w:pPr>
    </w:p>
    <w:p w14:paraId="23D1EF4F">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baseline"/>
        <w:rPr>
          <w:rFonts w:ascii="仿宋_GB2312" w:hAnsi="仿宋_GB2312" w:eastAsia="仿宋_GB2312" w:cs="仿宋_GB2312"/>
          <w:color w:val="auto"/>
          <w:spacing w:val="-6"/>
          <w:sz w:val="32"/>
          <w:szCs w:val="32"/>
          <w:lang w:bidi="ar"/>
        </w:rPr>
      </w:pPr>
    </w:p>
    <w:p w14:paraId="3CF46973">
      <w:pPr>
        <w:keepNext w:val="0"/>
        <w:keepLines w:val="0"/>
        <w:pageBreakBefore w:val="0"/>
        <w:widowControl w:val="0"/>
        <w:kinsoku/>
        <w:wordWrap/>
        <w:overflowPunct w:val="0"/>
        <w:topLinePunct w:val="0"/>
        <w:autoSpaceDE w:val="0"/>
        <w:autoSpaceDN w:val="0"/>
        <w:bidi w:val="0"/>
        <w:adjustRightInd w:val="0"/>
        <w:snapToGrid w:val="0"/>
        <w:spacing w:line="700" w:lineRule="exact"/>
        <w:jc w:val="center"/>
        <w:textAlignment w:val="baseline"/>
        <w:rPr>
          <w:rFonts w:ascii="仿宋_GB2312" w:hAnsi="仿宋_GB2312" w:eastAsia="仿宋_GB2312" w:cs="仿宋_GB2312"/>
          <w:color w:val="auto"/>
          <w:spacing w:val="-6"/>
          <w:sz w:val="32"/>
          <w:szCs w:val="32"/>
          <w:lang w:bidi="ar"/>
        </w:rPr>
      </w:pPr>
    </w:p>
    <w:p w14:paraId="626196A3">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ascii="仿宋_GB2312" w:hAnsi="仿宋_GB2312" w:eastAsia="仿宋_GB2312" w:cs="仿宋_GB2312"/>
          <w:color w:val="auto"/>
          <w:spacing w:val="-6"/>
          <w:sz w:val="32"/>
          <w:szCs w:val="32"/>
          <w:lang w:bidi="ar"/>
        </w:rPr>
      </w:pPr>
      <w:r>
        <w:rPr>
          <w:rFonts w:hint="eastAsia" w:ascii="仿宋_GB2312" w:hAnsi="仿宋_GB2312" w:eastAsia="仿宋_GB2312" w:cs="仿宋_GB2312"/>
          <w:color w:val="auto"/>
          <w:spacing w:val="-6"/>
          <w:sz w:val="32"/>
          <w:szCs w:val="32"/>
          <w:lang w:bidi="ar"/>
        </w:rPr>
        <w:t>庐府办发〔202</w:t>
      </w:r>
      <w:r>
        <w:rPr>
          <w:rFonts w:ascii="仿宋_GB2312" w:hAnsi="仿宋_GB2312" w:eastAsia="仿宋_GB2312" w:cs="仿宋_GB2312"/>
          <w:color w:val="auto"/>
          <w:spacing w:val="-6"/>
          <w:sz w:val="32"/>
          <w:szCs w:val="32"/>
          <w:lang w:bidi="ar"/>
        </w:rPr>
        <w:t>4</w:t>
      </w:r>
      <w:r>
        <w:rPr>
          <w:rFonts w:hint="eastAsia" w:ascii="仿宋_GB2312" w:hAnsi="仿宋_GB2312" w:eastAsia="仿宋_GB2312" w:cs="仿宋_GB2312"/>
          <w:color w:val="auto"/>
          <w:spacing w:val="-6"/>
          <w:sz w:val="32"/>
          <w:szCs w:val="32"/>
          <w:lang w:bidi="ar"/>
        </w:rPr>
        <w:t>〕</w:t>
      </w:r>
      <w:r>
        <w:rPr>
          <w:rFonts w:hint="eastAsia" w:ascii="仿宋_GB2312" w:hAnsi="仿宋_GB2312" w:eastAsia="仿宋_GB2312" w:cs="仿宋_GB2312"/>
          <w:color w:val="auto"/>
          <w:spacing w:val="-6"/>
          <w:sz w:val="32"/>
          <w:szCs w:val="32"/>
          <w:lang w:val="en-US" w:eastAsia="zh-CN" w:bidi="ar"/>
        </w:rPr>
        <w:t>40</w:t>
      </w:r>
      <w:r>
        <w:rPr>
          <w:rFonts w:hint="eastAsia" w:ascii="仿宋_GB2312" w:hAnsi="仿宋_GB2312" w:eastAsia="仿宋_GB2312" w:cs="仿宋_GB2312"/>
          <w:color w:val="auto"/>
          <w:spacing w:val="-6"/>
          <w:sz w:val="32"/>
          <w:szCs w:val="32"/>
          <w:lang w:bidi="ar"/>
        </w:rPr>
        <w:t>号</w:t>
      </w:r>
    </w:p>
    <w:p w14:paraId="244849CF">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color w:val="auto"/>
          <w:spacing w:val="-6"/>
          <w:sz w:val="44"/>
          <w:szCs w:val="44"/>
          <w:lang w:bidi="ar"/>
        </w:rPr>
      </w:pPr>
    </w:p>
    <w:p w14:paraId="3AB7C36E">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color w:val="auto"/>
          <w:spacing w:val="-6"/>
          <w:sz w:val="44"/>
          <w:szCs w:val="44"/>
          <w:highlight w:val="yellow"/>
          <w:lang w:bidi="ar"/>
        </w:rPr>
      </w:pPr>
    </w:p>
    <w:p w14:paraId="04231A6D">
      <w:pPr>
        <w:keepNext w:val="0"/>
        <w:keepLines w:val="0"/>
        <w:pageBreakBefore w:val="0"/>
        <w:widowControl w:val="0"/>
        <w:kinsoku/>
        <w:wordWrap/>
        <w:overflowPunct w:val="0"/>
        <w:topLinePunct w:val="0"/>
        <w:autoSpaceDE w:val="0"/>
        <w:autoSpaceDN w:val="0"/>
        <w:bidi w:val="0"/>
        <w:adjustRightInd w:val="0"/>
        <w:snapToGrid w:val="0"/>
        <w:spacing w:line="570" w:lineRule="exact"/>
        <w:ind w:right="125"/>
        <w:jc w:val="center"/>
        <w:textAlignment w:val="baseline"/>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庐山市人民政府办公室</w:t>
      </w:r>
    </w:p>
    <w:p w14:paraId="60AA163B">
      <w:pPr>
        <w:keepNext w:val="0"/>
        <w:keepLines w:val="0"/>
        <w:pageBreakBefore w:val="0"/>
        <w:widowControl w:val="0"/>
        <w:kinsoku/>
        <w:wordWrap/>
        <w:overflowPunct w:val="0"/>
        <w:topLinePunct w:val="0"/>
        <w:autoSpaceDE w:val="0"/>
        <w:autoSpaceDN w:val="0"/>
        <w:bidi w:val="0"/>
        <w:adjustRightInd w:val="0"/>
        <w:snapToGrid w:val="0"/>
        <w:spacing w:line="570" w:lineRule="exact"/>
        <w:ind w:right="125"/>
        <w:jc w:val="center"/>
        <w:textAlignment w:val="baseline"/>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关于印发《庐山市林业经营收益权登记</w:t>
      </w:r>
    </w:p>
    <w:p w14:paraId="0170D262">
      <w:pPr>
        <w:keepNext w:val="0"/>
        <w:keepLines w:val="0"/>
        <w:pageBreakBefore w:val="0"/>
        <w:widowControl w:val="0"/>
        <w:kinsoku/>
        <w:wordWrap/>
        <w:overflowPunct w:val="0"/>
        <w:topLinePunct w:val="0"/>
        <w:autoSpaceDE w:val="0"/>
        <w:autoSpaceDN w:val="0"/>
        <w:bidi w:val="0"/>
        <w:adjustRightInd w:val="0"/>
        <w:snapToGrid w:val="0"/>
        <w:spacing w:line="570" w:lineRule="exact"/>
        <w:ind w:right="125"/>
        <w:jc w:val="center"/>
        <w:textAlignment w:val="baseline"/>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管理办法（试行）》的通知</w:t>
      </w:r>
    </w:p>
    <w:p w14:paraId="51AF3F14">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方正仿宋_GBK" w:eastAsia="仿宋_GB2312" w:cs="方正仿宋_GBK"/>
          <w:sz w:val="32"/>
          <w:szCs w:val="32"/>
          <w:lang w:val="en-US" w:eastAsia="zh-CN"/>
        </w:rPr>
      </w:pPr>
    </w:p>
    <w:p w14:paraId="56FE8C5C">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各乡（镇）人民政府，沙湖山管理处，市政府各部门，市（局）直各单位，驻市（山）各单位:</w:t>
      </w:r>
    </w:p>
    <w:p w14:paraId="02787F7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《庐山市林业经营收益权登记管理办法（试行）》已经</w:t>
      </w:r>
      <w:r>
        <w:rPr>
          <w:rFonts w:hint="eastAsia" w:ascii="仿宋_GB2312" w:hAnsi="方正仿宋_GBK" w:eastAsia="仿宋_GB2312" w:cs="方正仿宋_GBK"/>
          <w:sz w:val="32"/>
          <w:szCs w:val="32"/>
          <w:lang w:eastAsia="zh-CN"/>
        </w:rPr>
        <w:t>市政府研究同意</w:t>
      </w:r>
      <w:r>
        <w:rPr>
          <w:rFonts w:hint="eastAsia" w:ascii="仿宋_GB2312" w:hAnsi="方正仿宋_GBK" w:eastAsia="仿宋_GB2312" w:cs="方正仿宋_GBK"/>
          <w:sz w:val="32"/>
          <w:szCs w:val="32"/>
        </w:rPr>
        <w:t>，现印发给你们，请认真贯彻执行。</w:t>
      </w:r>
    </w:p>
    <w:p w14:paraId="4BD24DE4">
      <w:pPr>
        <w:keepNext w:val="0"/>
        <w:keepLines w:val="0"/>
        <w:pageBreakBefore w:val="0"/>
        <w:widowControl w:val="0"/>
        <w:kinsoku/>
        <w:topLinePunct w:val="0"/>
        <w:bidi w:val="0"/>
        <w:spacing w:line="570" w:lineRule="exact"/>
        <w:rPr>
          <w:rFonts w:hint="eastAsia"/>
          <w:sz w:val="32"/>
          <w:szCs w:val="32"/>
        </w:rPr>
      </w:pPr>
    </w:p>
    <w:p w14:paraId="24EF8EC9">
      <w:pPr>
        <w:keepNext w:val="0"/>
        <w:keepLines w:val="0"/>
        <w:pageBreakBefore w:val="0"/>
        <w:widowControl w:val="0"/>
        <w:kinsoku/>
        <w:topLinePunct w:val="0"/>
        <w:bidi w:val="0"/>
        <w:spacing w:line="570" w:lineRule="exact"/>
        <w:rPr>
          <w:rFonts w:hint="eastAsia"/>
        </w:rPr>
      </w:pPr>
    </w:p>
    <w:p w14:paraId="1CBC2B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2"/>
          <w:szCs w:val="32"/>
        </w:rPr>
      </w:pPr>
    </w:p>
    <w:p w14:paraId="60DA0D42">
      <w:pPr>
        <w:keepNext w:val="0"/>
        <w:keepLines w:val="0"/>
        <w:pageBreakBefore w:val="0"/>
        <w:widowControl w:val="0"/>
        <w:kinsoku/>
        <w:wordWrap w:val="0"/>
        <w:topLinePunct w:val="0"/>
        <w:bidi w:val="0"/>
        <w:spacing w:line="570" w:lineRule="exact"/>
        <w:jc w:val="right"/>
        <w:rPr>
          <w:rFonts w:hint="default"/>
          <w:sz w:val="32"/>
          <w:szCs w:val="32"/>
          <w:lang w:val="en-US" w:eastAsia="zh-CN"/>
        </w:rPr>
      </w:pPr>
      <w:r>
        <w:rPr>
          <w:rFonts w:hint="eastAsia" w:ascii="仿宋_GB2312" w:hAnsi="方正仿宋_GBK" w:eastAsia="仿宋_GB2312" w:cs="方正仿宋_GBK"/>
          <w:sz w:val="32"/>
          <w:szCs w:val="32"/>
          <w:lang w:val="en-US" w:eastAsia="zh-CN"/>
        </w:rPr>
        <w:t xml:space="preserve">2024年10月29日      </w:t>
      </w:r>
    </w:p>
    <w:p w14:paraId="14DF87A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lang w:val="en-US" w:eastAsia="zh-CN"/>
        </w:rPr>
        <w:t>此件主动公开）</w:t>
      </w:r>
      <w:r>
        <w:rPr>
          <w:rFonts w:hint="eastAsia" w:ascii="仿宋_GB2312" w:hAnsi="方正仿宋_GBK" w:eastAsia="仿宋_GB2312" w:cs="方正仿宋_GBK"/>
          <w:sz w:val="32"/>
          <w:szCs w:val="32"/>
        </w:rPr>
        <w:br w:type="page"/>
      </w:r>
    </w:p>
    <w:p w14:paraId="7ACBB70D">
      <w:pPr>
        <w:keepNext w:val="0"/>
        <w:keepLines w:val="0"/>
        <w:pageBreakBefore w:val="0"/>
        <w:widowControl w:val="0"/>
        <w:kinsoku/>
        <w:wordWrap/>
        <w:overflowPunct w:val="0"/>
        <w:topLinePunct w:val="0"/>
        <w:autoSpaceDE w:val="0"/>
        <w:autoSpaceDN w:val="0"/>
        <w:bidi w:val="0"/>
        <w:adjustRightInd w:val="0"/>
        <w:snapToGrid w:val="0"/>
        <w:spacing w:beforeAutospacing="0" w:line="590" w:lineRule="exact"/>
        <w:ind w:right="125"/>
        <w:jc w:val="center"/>
        <w:textAlignment w:val="baseline"/>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庐山市林业经营收益权登记管理办法（试行）</w:t>
      </w:r>
    </w:p>
    <w:p w14:paraId="7796768E">
      <w:pPr>
        <w:keepNext w:val="0"/>
        <w:keepLines w:val="0"/>
        <w:pageBreakBefore w:val="0"/>
        <w:widowControl w:val="0"/>
        <w:kinsoku/>
        <w:wordWrap/>
        <w:overflowPunct w:val="0"/>
        <w:topLinePunct w:val="0"/>
        <w:autoSpaceDE w:val="0"/>
        <w:autoSpaceDN w:val="0"/>
        <w:bidi w:val="0"/>
        <w:adjustRightInd w:val="0"/>
        <w:snapToGrid w:val="0"/>
        <w:spacing w:beforeAutospacing="0" w:line="590" w:lineRule="exact"/>
        <w:ind w:right="127"/>
        <w:jc w:val="both"/>
        <w:textAlignment w:val="baseline"/>
        <w:rPr>
          <w:rFonts w:hint="eastAsia" w:ascii="楷体_GB2312" w:hAnsi="楷体_GB2312" w:eastAsia="楷体_GB2312" w:cs="楷体_GB2312"/>
          <w:sz w:val="32"/>
          <w:szCs w:val="32"/>
          <w:lang w:val="en-US" w:eastAsia="zh-CN"/>
        </w:rPr>
      </w:pPr>
    </w:p>
    <w:p w14:paraId="36841091">
      <w:pPr>
        <w:keepNext w:val="0"/>
        <w:keepLines w:val="0"/>
        <w:pageBreakBefore w:val="0"/>
        <w:widowControl w:val="0"/>
        <w:kinsoku/>
        <w:wordWrap/>
        <w:overflowPunct w:val="0"/>
        <w:topLinePunct w:val="0"/>
        <w:autoSpaceDE/>
        <w:autoSpaceDN/>
        <w:bidi w:val="0"/>
        <w:adjustRightInd/>
        <w:snapToGrid/>
        <w:spacing w:beforeAutospacing="0" w:line="590" w:lineRule="exact"/>
        <w:ind w:firstLine="0" w:firstLineChars="0"/>
        <w:jc w:val="center"/>
        <w:textAlignment w:val="auto"/>
        <w:rPr>
          <w:rFonts w:hint="eastAsia" w:ascii="黑体" w:hAnsi="黑体" w:eastAsia="黑体" w:cs="黑体"/>
          <w:snapToGrid w:val="0"/>
          <w:color w:val="000000"/>
          <w:spacing w:val="0"/>
          <w:kern w:val="0"/>
          <w:sz w:val="32"/>
          <w:szCs w:val="32"/>
          <w:lang w:val="en-US" w:eastAsia="zh-CN" w:bidi="ar-SA"/>
        </w:rPr>
      </w:pPr>
      <w:r>
        <w:rPr>
          <w:rFonts w:hint="eastAsia" w:ascii="黑体" w:hAnsi="黑体" w:eastAsia="黑体" w:cs="黑体"/>
          <w:snapToGrid w:val="0"/>
          <w:color w:val="000000"/>
          <w:spacing w:val="0"/>
          <w:kern w:val="0"/>
          <w:sz w:val="32"/>
          <w:szCs w:val="32"/>
          <w:lang w:val="en-US" w:eastAsia="zh-CN" w:bidi="ar-SA"/>
        </w:rPr>
        <w:t>第一章　总 则</w:t>
      </w:r>
    </w:p>
    <w:p w14:paraId="4384E6C2">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第一条</w:t>
      </w:r>
      <w:r>
        <w:rPr>
          <w:rFonts w:hint="eastAsia" w:ascii="仿宋_GB2312" w:hAnsi="仿宋_GB2312" w:eastAsia="仿宋_GB2312" w:cs="仿宋_GB2312"/>
          <w:snapToGrid w:val="0"/>
          <w:color w:val="000000"/>
          <w:spacing w:val="0"/>
          <w:kern w:val="0"/>
          <w:sz w:val="32"/>
          <w:szCs w:val="32"/>
          <w:lang w:val="en-US" w:eastAsia="zh-CN" w:bidi="ar-SA"/>
        </w:rPr>
        <w:t>　为拓展林地经营权权能，丰富林地“三权分置”实现形式，解决融资难题,引导和支持社会资本“进山入林”，激活沉睡的生态资源，根据《中华人民共和国民法典》《中华人民共和国农村土地承包法》《中华人民共和国森林法》及《深化集体林权制度改革方案》《江西省深化集体林权制度改革先行区建设方案》等法律法规和政策文件,制定本办法。</w:t>
      </w:r>
    </w:p>
    <w:p w14:paraId="1150405D">
      <w:pPr>
        <w:keepNext w:val="0"/>
        <w:keepLines w:val="0"/>
        <w:pageBreakBefore w:val="0"/>
        <w:widowControl w:val="0"/>
        <w:kinsoku/>
        <w:wordWrap/>
        <w:overflowPunct w:val="0"/>
        <w:topLinePunct w:val="0"/>
        <w:bidi w:val="0"/>
        <w:spacing w:beforeAutospacing="0" w:line="590" w:lineRule="exact"/>
        <w:ind w:firstLine="643" w:firstLineChars="200"/>
        <w:jc w:val="both"/>
        <w:rPr>
          <w:rFonts w:hint="default" w:ascii="仿宋_GB2312" w:hAnsi="仿宋_GB2312" w:eastAsia="仿宋_GB2312" w:cs="仿宋_GB2312"/>
          <w:snapToGrid w:val="0"/>
          <w:color w:val="FF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第二条</w:t>
      </w:r>
      <w:r>
        <w:rPr>
          <w:rFonts w:hint="eastAsia" w:ascii="仿宋_GB2312" w:hAnsi="仿宋_GB2312" w:eastAsia="仿宋_GB2312" w:cs="仿宋_GB2312"/>
          <w:snapToGrid w:val="0"/>
          <w:color w:val="000000"/>
          <w:spacing w:val="0"/>
          <w:kern w:val="0"/>
          <w:sz w:val="32"/>
          <w:szCs w:val="32"/>
          <w:lang w:val="en-US" w:eastAsia="zh-CN" w:bidi="ar-SA"/>
        </w:rPr>
        <w:t>　</w:t>
      </w:r>
      <w:r>
        <w:rPr>
          <w:rFonts w:hint="eastAsia" w:ascii="仿宋_GB2312" w:hAnsi="仿宋_GB2312" w:eastAsia="仿宋_GB2312" w:cs="仿宋_GB2312"/>
          <w:snapToGrid w:val="0"/>
          <w:color w:val="000000" w:themeColor="text1"/>
          <w:spacing w:val="0"/>
          <w:kern w:val="0"/>
          <w:sz w:val="32"/>
          <w:szCs w:val="32"/>
          <w:lang w:val="en-US" w:eastAsia="zh-CN" w:bidi="ar-SA"/>
          <w14:textFill>
            <w14:solidFill>
              <w14:schemeClr w14:val="tx1"/>
            </w14:solidFill>
          </w14:textFill>
        </w:rPr>
        <w:t>本办法所称</w:t>
      </w:r>
      <w:bookmarkStart w:id="0" w:name="OLE_LINK1"/>
      <w:r>
        <w:rPr>
          <w:rFonts w:hint="eastAsia" w:ascii="仿宋_GB2312" w:hAnsi="仿宋_GB2312" w:eastAsia="仿宋_GB2312" w:cs="仿宋_GB2312"/>
          <w:snapToGrid w:val="0"/>
          <w:color w:val="000000" w:themeColor="text1"/>
          <w:spacing w:val="0"/>
          <w:kern w:val="0"/>
          <w:sz w:val="32"/>
          <w:szCs w:val="32"/>
          <w:lang w:val="en-US" w:eastAsia="zh-CN" w:bidi="ar-SA"/>
          <w14:textFill>
            <w14:solidFill>
              <w14:schemeClr w14:val="tx1"/>
            </w14:solidFill>
          </w14:textFill>
        </w:rPr>
        <w:t>林业经营收益权</w:t>
      </w:r>
      <w:bookmarkEnd w:id="0"/>
      <w:r>
        <w:rPr>
          <w:rFonts w:hint="eastAsia" w:ascii="仿宋_GB2312" w:hAnsi="仿宋_GB2312" w:eastAsia="仿宋_GB2312" w:cs="仿宋_GB2312"/>
          <w:snapToGrid w:val="0"/>
          <w:color w:val="000000" w:themeColor="text1"/>
          <w:spacing w:val="0"/>
          <w:kern w:val="0"/>
          <w:sz w:val="32"/>
          <w:szCs w:val="32"/>
          <w:lang w:val="en-US" w:eastAsia="zh-CN" w:bidi="ar-SA"/>
          <w14:textFill>
            <w14:solidFill>
              <w14:schemeClr w14:val="tx1"/>
            </w14:solidFill>
          </w14:textFill>
        </w:rPr>
        <w:t>是指除林地所有权之外的，林地使用权、承包经营权或经营权拓展权能分置出来的经营收益权，包含林下经济、经济林、林业碳汇、湿地环境、森林康养、森林旅游等非木质经营收益和公益林（天然商品林）补偿及入股、托管、合作等收益的权利。允许国有林地开展林业经营收益权登记。</w:t>
      </w:r>
    </w:p>
    <w:p w14:paraId="444B4FB7">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第三条</w:t>
      </w:r>
      <w:r>
        <w:rPr>
          <w:rFonts w:hint="eastAsia" w:ascii="仿宋_GB2312" w:hAnsi="仿宋_GB2312" w:eastAsia="仿宋_GB2312" w:cs="仿宋_GB2312"/>
          <w:snapToGrid w:val="0"/>
          <w:color w:val="000000"/>
          <w:spacing w:val="0"/>
          <w:kern w:val="0"/>
          <w:sz w:val="32"/>
          <w:szCs w:val="32"/>
          <w:lang w:val="en-US" w:eastAsia="zh-CN" w:bidi="ar-SA"/>
        </w:rPr>
        <w:t>　本办法所称林业经营收益权登记，是指经林业经营收益申请人申请，经市（局）林业局审核、市人民政府批准，将林业经营收益权利和其他核实事项记载于登记簿并颁发证书的行为。</w:t>
      </w:r>
    </w:p>
    <w:p w14:paraId="09AEA315">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第四条</w:t>
      </w:r>
      <w:r>
        <w:rPr>
          <w:rFonts w:hint="eastAsia" w:ascii="仿宋_GB2312" w:hAnsi="仿宋_GB2312" w:eastAsia="仿宋_GB2312" w:cs="仿宋_GB2312"/>
          <w:snapToGrid w:val="0"/>
          <w:color w:val="000000"/>
          <w:spacing w:val="0"/>
          <w:kern w:val="0"/>
          <w:sz w:val="32"/>
          <w:szCs w:val="32"/>
          <w:lang w:val="en-US" w:eastAsia="zh-CN" w:bidi="ar-SA"/>
        </w:rPr>
        <w:t>　林业经营收益权登记工作应当遵循改革创新、权能拓展、便民利民、自愿依法的原则。</w:t>
      </w:r>
    </w:p>
    <w:p w14:paraId="70F4DF45">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第五条</w:t>
      </w:r>
      <w:r>
        <w:rPr>
          <w:rFonts w:hint="eastAsia" w:ascii="仿宋_GB2312" w:hAnsi="仿宋_GB2312" w:eastAsia="仿宋_GB2312" w:cs="仿宋_GB2312"/>
          <w:snapToGrid w:val="0"/>
          <w:color w:val="000000"/>
          <w:spacing w:val="0"/>
          <w:kern w:val="0"/>
          <w:sz w:val="32"/>
          <w:szCs w:val="32"/>
          <w:lang w:val="en-US" w:eastAsia="zh-CN" w:bidi="ar-SA"/>
        </w:rPr>
        <w:t>　庐山市人民政府负责核发全市统一的林业经营收益权证书，具体登记缮证工作由市（局）林业局负责办理。</w:t>
      </w:r>
    </w:p>
    <w:p w14:paraId="307C4CED">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第六条</w:t>
      </w:r>
      <w:r>
        <w:rPr>
          <w:rFonts w:hint="eastAsia" w:ascii="仿宋_GB2312" w:hAnsi="仿宋_GB2312" w:eastAsia="仿宋_GB2312" w:cs="仿宋_GB2312"/>
          <w:snapToGrid w:val="0"/>
          <w:color w:val="000000"/>
          <w:spacing w:val="0"/>
          <w:kern w:val="0"/>
          <w:sz w:val="32"/>
          <w:szCs w:val="32"/>
          <w:lang w:val="en-US" w:eastAsia="zh-CN" w:bidi="ar-SA"/>
        </w:rPr>
        <w:t>　经营主体</w:t>
      </w:r>
      <w:r>
        <w:rPr>
          <w:rFonts w:hint="eastAsia" w:ascii="仿宋_GB2312" w:hAnsi="仿宋_GB2312" w:eastAsia="仿宋_GB2312" w:cs="仿宋_GB2312"/>
          <w:snapToGrid w:val="0"/>
          <w:color w:val="auto"/>
          <w:spacing w:val="0"/>
          <w:kern w:val="0"/>
          <w:sz w:val="32"/>
          <w:szCs w:val="32"/>
          <w:lang w:val="en-US" w:eastAsia="zh-CN" w:bidi="ar-SA"/>
        </w:rPr>
        <w:t>在本市范围内可凭林业经营收益权证办理流转交易、质押贷款、项</w:t>
      </w:r>
      <w:r>
        <w:rPr>
          <w:rFonts w:hint="eastAsia" w:ascii="仿宋_GB2312" w:hAnsi="仿宋_GB2312" w:eastAsia="仿宋_GB2312" w:cs="仿宋_GB2312"/>
          <w:snapToGrid w:val="0"/>
          <w:color w:val="000000"/>
          <w:spacing w:val="0"/>
          <w:kern w:val="0"/>
          <w:sz w:val="32"/>
          <w:szCs w:val="32"/>
          <w:lang w:val="en-US" w:eastAsia="zh-CN" w:bidi="ar-SA"/>
        </w:rPr>
        <w:t>目申报、示范评审和林业资产证明等事项。</w:t>
      </w:r>
    </w:p>
    <w:p w14:paraId="2BBE2185">
      <w:pPr>
        <w:keepNext w:val="0"/>
        <w:keepLines w:val="0"/>
        <w:pageBreakBefore w:val="0"/>
        <w:widowControl w:val="0"/>
        <w:kinsoku/>
        <w:wordWrap/>
        <w:overflowPunct w:val="0"/>
        <w:topLinePunct w:val="0"/>
        <w:autoSpaceDE/>
        <w:autoSpaceDN/>
        <w:bidi w:val="0"/>
        <w:adjustRightInd/>
        <w:snapToGrid/>
        <w:spacing w:beforeAutospacing="0" w:line="590" w:lineRule="exact"/>
        <w:ind w:firstLine="0" w:firstLineChars="0"/>
        <w:jc w:val="center"/>
        <w:textAlignment w:val="auto"/>
        <w:rPr>
          <w:rFonts w:hint="eastAsia" w:ascii="黑体" w:hAnsi="黑体" w:eastAsia="黑体" w:cs="黑体"/>
          <w:snapToGrid w:val="0"/>
          <w:color w:val="000000"/>
          <w:spacing w:val="0"/>
          <w:kern w:val="0"/>
          <w:sz w:val="32"/>
          <w:szCs w:val="32"/>
          <w:lang w:val="en-US" w:eastAsia="zh-CN" w:bidi="ar-SA"/>
        </w:rPr>
      </w:pPr>
      <w:r>
        <w:rPr>
          <w:rFonts w:hint="eastAsia" w:ascii="黑体" w:hAnsi="黑体" w:eastAsia="黑体" w:cs="黑体"/>
          <w:snapToGrid w:val="0"/>
          <w:color w:val="000000"/>
          <w:spacing w:val="0"/>
          <w:kern w:val="0"/>
          <w:sz w:val="32"/>
          <w:szCs w:val="32"/>
          <w:lang w:val="en-US" w:eastAsia="zh-CN" w:bidi="ar-SA"/>
        </w:rPr>
        <w:t>第二章　登记范围</w:t>
      </w:r>
    </w:p>
    <w:p w14:paraId="085FFEC5">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第七条</w:t>
      </w:r>
      <w:r>
        <w:rPr>
          <w:rFonts w:hint="eastAsia" w:ascii="仿宋_GB2312" w:hAnsi="仿宋_GB2312" w:eastAsia="仿宋_GB2312" w:cs="仿宋_GB2312"/>
          <w:snapToGrid w:val="0"/>
          <w:color w:val="000000"/>
          <w:spacing w:val="0"/>
          <w:kern w:val="0"/>
          <w:sz w:val="32"/>
          <w:szCs w:val="32"/>
          <w:lang w:val="en-US" w:eastAsia="zh-CN" w:bidi="ar-SA"/>
        </w:rPr>
        <w:t>　依法开展以下类型林业经营的,可依照本办法规定的类型办理收益权登记:</w:t>
      </w:r>
    </w:p>
    <w:p w14:paraId="5611D42D">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（一）林下空间种植、养殖经营的；</w:t>
      </w:r>
    </w:p>
    <w:p w14:paraId="0E244A74">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（二）林果、花、叶、皮、脂、茎等采集经营的；</w:t>
      </w:r>
    </w:p>
    <w:p w14:paraId="4A10A620">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（三）林业碳汇开发经营的；</w:t>
      </w:r>
    </w:p>
    <w:p w14:paraId="5EF9791F">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（四）公益林（天然商品林）补偿的；</w:t>
      </w:r>
    </w:p>
    <w:p w14:paraId="5CA0F519">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（五）森林旅游基地经营的；</w:t>
      </w:r>
    </w:p>
    <w:p w14:paraId="34395579">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（六）森林康养基地经营的；</w:t>
      </w:r>
    </w:p>
    <w:p w14:paraId="1A2695DB">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（七）湿地资源开发经营的；</w:t>
      </w:r>
    </w:p>
    <w:p w14:paraId="2F6DC148">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（八）集体统一经营管理收益量化到户的；</w:t>
      </w:r>
    </w:p>
    <w:p w14:paraId="612C8B03">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（九）受托经营管理林权的；</w:t>
      </w:r>
    </w:p>
    <w:p w14:paraId="24E1631E">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（十）合作经营管理林权的。</w:t>
      </w:r>
    </w:p>
    <w:p w14:paraId="5F16E3E9">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第八条</w:t>
      </w:r>
      <w:r>
        <w:rPr>
          <w:rFonts w:hint="eastAsia" w:ascii="仿宋_GB2312" w:hAnsi="仿宋_GB2312" w:eastAsia="仿宋_GB2312" w:cs="仿宋_GB2312"/>
          <w:snapToGrid w:val="0"/>
          <w:color w:val="000000"/>
          <w:spacing w:val="0"/>
          <w:kern w:val="0"/>
          <w:sz w:val="32"/>
          <w:szCs w:val="32"/>
          <w:lang w:val="en-US" w:eastAsia="zh-CN" w:bidi="ar-SA"/>
        </w:rPr>
        <w:t>　林业经营收益权登记应关联原林权证或颁发的林权类不动产权证书；多个宗地或单元连片的，可进行连片登记；同一林地同一经营主体开展多种经营的，经营内容进行叠加登记，只颁发一本经营收益权证；同一林地不同经营主体开展不同经营类型的，可分别颁发经营收益权证；原则上登记面积不少于1亩，权利期限不能超过原权规定的期限但不少于所需从事林业生产经营活动的经营周期。</w:t>
      </w:r>
    </w:p>
    <w:p w14:paraId="2324F759">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第九条</w:t>
      </w:r>
      <w:r>
        <w:rPr>
          <w:rFonts w:hint="eastAsia" w:ascii="仿宋_GB2312" w:hAnsi="仿宋_GB2312" w:eastAsia="仿宋_GB2312" w:cs="仿宋_GB2312"/>
          <w:snapToGrid w:val="0"/>
          <w:color w:val="000000"/>
          <w:spacing w:val="0"/>
          <w:kern w:val="0"/>
          <w:sz w:val="32"/>
          <w:szCs w:val="32"/>
          <w:lang w:val="en-US" w:eastAsia="zh-CN" w:bidi="ar-SA"/>
        </w:rPr>
        <w:t>　林业经营收益权有下列情形之一的，不得发证：</w:t>
      </w:r>
    </w:p>
    <w:p w14:paraId="47C5BB5E">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（一）所在林地未颁发林权证、不动产权证书或不动产登记证明的；</w:t>
      </w:r>
    </w:p>
    <w:p w14:paraId="24E18C14">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（二）所在林地权属不清或者权属有争议的；</w:t>
      </w:r>
    </w:p>
    <w:p w14:paraId="3CD3B9C9">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宋体" w:cs="仿宋_GB2312"/>
          <w:snapToGrid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bidi="ar-SA"/>
          <w14:textFill>
            <w14:solidFill>
              <w14:schemeClr w14:val="tx1"/>
            </w14:solidFill>
          </w14:textFill>
        </w:rPr>
        <w:t>（三）申请人已取得林权证或不动产权证书、不动产登记证明的</w:t>
      </w:r>
      <w:r>
        <w:rPr>
          <w:rFonts w:hint="eastAsia" w:ascii="仿宋_GB2312" w:hAnsi="仿宋_GB2312" w:eastAsia="仿宋_GB2312" w:cs="仿宋_GB2312"/>
          <w:snapToGrid w:val="0"/>
          <w:color w:val="000000"/>
          <w:spacing w:val="0"/>
          <w:kern w:val="0"/>
          <w:sz w:val="32"/>
          <w:szCs w:val="32"/>
          <w:lang w:val="en-US" w:eastAsia="zh-CN" w:bidi="ar-SA"/>
        </w:rPr>
        <w:t>；</w:t>
      </w:r>
    </w:p>
    <w:p w14:paraId="6A834C28">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（四）所在林地已抵（质）押且未取得抵（质）押权人书面同意的；</w:t>
      </w:r>
    </w:p>
    <w:p w14:paraId="3C6A0579">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（五）所在林地被依法查封、冻结的；</w:t>
      </w:r>
    </w:p>
    <w:p w14:paraId="7EACAE57">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（六）法律、法规禁止开展林业经营活动的。</w:t>
      </w:r>
    </w:p>
    <w:p w14:paraId="0F6BE322">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第十条</w:t>
      </w:r>
      <w:r>
        <w:rPr>
          <w:rFonts w:hint="eastAsia" w:ascii="仿宋_GB2312" w:hAnsi="仿宋_GB2312" w:eastAsia="仿宋_GB2312" w:cs="仿宋_GB2312"/>
          <w:snapToGrid w:val="0"/>
          <w:color w:val="000000"/>
          <w:spacing w:val="0"/>
          <w:kern w:val="0"/>
          <w:sz w:val="32"/>
          <w:szCs w:val="32"/>
          <w:lang w:val="en-US" w:eastAsia="zh-CN" w:bidi="ar-SA"/>
        </w:rPr>
        <w:t>　林业经营收益权证应当记载以下事项:</w:t>
      </w:r>
    </w:p>
    <w:p w14:paraId="5AF12447">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（一）林业经营收益权所在林地的坐落、界址、面积等自然状况；</w:t>
      </w:r>
    </w:p>
    <w:p w14:paraId="0B2EA2C7">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（二）林业经营收益权的权利主体、登记类型、经营内容、权属来源、权利期限、经营期限、权利变化等权属状况；</w:t>
      </w:r>
    </w:p>
    <w:p w14:paraId="62BF0F84">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（三）备注栏，主要记载林业经营收益权利被限制、应提示事项；</w:t>
      </w:r>
    </w:p>
    <w:p w14:paraId="3B9B8193">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（四）其他相关事项。</w:t>
      </w:r>
    </w:p>
    <w:p w14:paraId="241073ED">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权利期限以合同载明期限为准，不得超过权属来源证书的权利期限。</w:t>
      </w:r>
    </w:p>
    <w:p w14:paraId="58B45517">
      <w:pPr>
        <w:keepNext w:val="0"/>
        <w:keepLines w:val="0"/>
        <w:pageBreakBefore w:val="0"/>
        <w:widowControl w:val="0"/>
        <w:kinsoku/>
        <w:wordWrap/>
        <w:overflowPunct w:val="0"/>
        <w:topLinePunct w:val="0"/>
        <w:autoSpaceDE/>
        <w:autoSpaceDN/>
        <w:bidi w:val="0"/>
        <w:adjustRightInd/>
        <w:snapToGrid/>
        <w:spacing w:beforeAutospacing="0" w:line="590" w:lineRule="exact"/>
        <w:ind w:firstLine="0" w:firstLineChars="0"/>
        <w:jc w:val="center"/>
        <w:textAlignment w:val="auto"/>
        <w:rPr>
          <w:rFonts w:hint="eastAsia" w:ascii="黑体" w:hAnsi="黑体" w:eastAsia="黑体" w:cs="黑体"/>
          <w:snapToGrid w:val="0"/>
          <w:color w:val="000000"/>
          <w:spacing w:val="0"/>
          <w:kern w:val="0"/>
          <w:sz w:val="32"/>
          <w:szCs w:val="32"/>
          <w:lang w:val="en-US" w:eastAsia="zh-CN" w:bidi="ar-SA"/>
        </w:rPr>
      </w:pPr>
      <w:r>
        <w:rPr>
          <w:rFonts w:hint="eastAsia" w:ascii="黑体" w:hAnsi="黑体" w:eastAsia="黑体" w:cs="黑体"/>
          <w:snapToGrid w:val="0"/>
          <w:color w:val="000000"/>
          <w:spacing w:val="0"/>
          <w:kern w:val="0"/>
          <w:sz w:val="32"/>
          <w:szCs w:val="32"/>
          <w:lang w:val="en-US" w:eastAsia="zh-CN" w:bidi="ar-SA"/>
        </w:rPr>
        <w:t>第三章　登记程序</w:t>
      </w:r>
    </w:p>
    <w:p w14:paraId="55121B4B">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auto"/>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第十一条</w:t>
      </w:r>
      <w:r>
        <w:rPr>
          <w:rFonts w:hint="eastAsia" w:ascii="仿宋_GB2312" w:hAnsi="仿宋_GB2312" w:eastAsia="仿宋_GB2312" w:cs="仿宋_GB2312"/>
          <w:snapToGrid w:val="0"/>
          <w:color w:val="000000"/>
          <w:spacing w:val="0"/>
          <w:kern w:val="0"/>
          <w:sz w:val="32"/>
          <w:szCs w:val="32"/>
          <w:lang w:val="en-US" w:eastAsia="zh-CN" w:bidi="ar-SA"/>
        </w:rPr>
        <w:t>　林业经营收益权登记分为首次登记、变更登记、转移登记、</w:t>
      </w:r>
      <w:r>
        <w:rPr>
          <w:rFonts w:hint="eastAsia" w:ascii="仿宋_GB2312" w:hAnsi="仿宋_GB2312" w:eastAsia="仿宋_GB2312" w:cs="仿宋_GB2312"/>
          <w:snapToGrid w:val="0"/>
          <w:color w:val="auto"/>
          <w:spacing w:val="0"/>
          <w:kern w:val="0"/>
          <w:sz w:val="32"/>
          <w:szCs w:val="32"/>
          <w:lang w:val="en-US" w:eastAsia="zh-CN" w:bidi="ar-SA"/>
        </w:rPr>
        <w:t>质押登记、注销登记和其他登记。</w:t>
      </w:r>
    </w:p>
    <w:p w14:paraId="25D97B36">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auto"/>
          <w:spacing w:val="0"/>
          <w:kern w:val="0"/>
          <w:sz w:val="32"/>
          <w:szCs w:val="32"/>
          <w:lang w:val="en-US" w:eastAsia="zh-CN" w:bidi="ar-SA"/>
        </w:rPr>
      </w:pPr>
      <w:r>
        <w:rPr>
          <w:rFonts w:hint="eastAsia" w:ascii="楷体_GB2312" w:hAnsi="楷体_GB2312" w:eastAsia="楷体_GB2312" w:cs="楷体_GB2312"/>
          <w:b/>
          <w:bCs/>
          <w:snapToGrid w:val="0"/>
          <w:color w:val="auto"/>
          <w:spacing w:val="0"/>
          <w:kern w:val="0"/>
          <w:sz w:val="32"/>
          <w:szCs w:val="32"/>
          <w:lang w:val="en-US" w:eastAsia="zh-CN" w:bidi="ar-SA"/>
        </w:rPr>
        <w:t>第十</w:t>
      </w:r>
      <w:r>
        <w:rPr>
          <w:rFonts w:hint="eastAsia" w:ascii="楷体_GB2312" w:hAnsi="楷体_GB2312" w:eastAsia="楷体_GB2312" w:cs="楷体_GB2312"/>
          <w:b/>
          <w:bCs/>
          <w:snapToGrid w:val="0"/>
          <w:color w:val="000000"/>
          <w:spacing w:val="0"/>
          <w:kern w:val="0"/>
          <w:sz w:val="32"/>
          <w:szCs w:val="32"/>
          <w:lang w:val="en-US" w:eastAsia="zh-CN" w:bidi="ar-SA"/>
        </w:rPr>
        <w:t>二</w:t>
      </w:r>
      <w:r>
        <w:rPr>
          <w:rFonts w:hint="eastAsia" w:ascii="楷体_GB2312" w:hAnsi="楷体_GB2312" w:eastAsia="楷体_GB2312" w:cs="楷体_GB2312"/>
          <w:b/>
          <w:bCs/>
          <w:snapToGrid w:val="0"/>
          <w:color w:val="auto"/>
          <w:spacing w:val="0"/>
          <w:kern w:val="0"/>
          <w:sz w:val="32"/>
          <w:szCs w:val="32"/>
          <w:lang w:val="en-US" w:eastAsia="zh-CN" w:bidi="ar-SA"/>
        </w:rPr>
        <w:t>条</w:t>
      </w:r>
      <w:r>
        <w:rPr>
          <w:rFonts w:hint="eastAsia" w:ascii="仿宋_GB2312" w:hAnsi="仿宋_GB2312" w:eastAsia="仿宋_GB2312" w:cs="仿宋_GB2312"/>
          <w:snapToGrid w:val="0"/>
          <w:color w:val="auto"/>
          <w:spacing w:val="0"/>
          <w:kern w:val="0"/>
          <w:sz w:val="32"/>
          <w:szCs w:val="32"/>
          <w:lang w:val="en-US" w:eastAsia="zh-CN" w:bidi="ar-SA"/>
        </w:rPr>
        <w:t>　登记的经营方式分为</w:t>
      </w:r>
      <w:r>
        <w:rPr>
          <w:rFonts w:hint="eastAsia" w:ascii="仿宋_GB2312" w:hAnsi="仿宋_GB2312" w:eastAsia="仿宋_GB2312" w:cs="仿宋_GB2312"/>
          <w:snapToGrid w:val="0"/>
          <w:color w:val="000000"/>
          <w:spacing w:val="0"/>
          <w:kern w:val="0"/>
          <w:sz w:val="32"/>
          <w:szCs w:val="32"/>
          <w:lang w:val="en-US" w:eastAsia="zh-CN" w:bidi="ar-SA"/>
        </w:rPr>
        <w:t>租赁、托管、合作、股份</w:t>
      </w:r>
      <w:r>
        <w:rPr>
          <w:rFonts w:hint="eastAsia" w:ascii="仿宋_GB2312" w:hAnsi="仿宋_GB2312" w:eastAsia="仿宋_GB2312" w:cs="仿宋_GB2312"/>
          <w:snapToGrid w:val="0"/>
          <w:color w:val="auto"/>
          <w:spacing w:val="0"/>
          <w:kern w:val="0"/>
          <w:sz w:val="32"/>
          <w:szCs w:val="32"/>
          <w:lang w:val="en-US" w:eastAsia="zh-CN" w:bidi="ar-SA"/>
        </w:rPr>
        <w:t>等类型；经营内容包括具体的经营类型、业态等。</w:t>
      </w:r>
    </w:p>
    <w:p w14:paraId="2C382B64">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第十三条</w:t>
      </w:r>
      <w:r>
        <w:rPr>
          <w:rFonts w:hint="eastAsia" w:ascii="仿宋_GB2312" w:hAnsi="仿宋_GB2312" w:eastAsia="仿宋_GB2312" w:cs="仿宋_GB2312"/>
          <w:snapToGrid w:val="0"/>
          <w:color w:val="000000"/>
          <w:spacing w:val="0"/>
          <w:kern w:val="0"/>
          <w:sz w:val="32"/>
          <w:szCs w:val="32"/>
          <w:lang w:val="en-US" w:eastAsia="zh-CN" w:bidi="ar-SA"/>
        </w:rPr>
        <w:t>　林业经营收益权登记申请人应当是在本市域内依法开展林业经营的自然人、法人或其他组织。</w:t>
      </w:r>
    </w:p>
    <w:p w14:paraId="53A35D6E">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第十</w:t>
      </w:r>
      <w:r>
        <w:rPr>
          <w:rFonts w:hint="eastAsia" w:ascii="楷体_GB2312" w:hAnsi="楷体_GB2312" w:eastAsia="楷体_GB2312" w:cs="楷体_GB2312"/>
          <w:b/>
          <w:bCs/>
          <w:snapToGrid w:val="0"/>
          <w:color w:val="auto"/>
          <w:spacing w:val="0"/>
          <w:kern w:val="0"/>
          <w:sz w:val="32"/>
          <w:szCs w:val="32"/>
          <w:lang w:val="en-US" w:eastAsia="zh-CN" w:bidi="ar-SA"/>
        </w:rPr>
        <w:t>四</w:t>
      </w:r>
      <w:r>
        <w:rPr>
          <w:rFonts w:hint="eastAsia" w:ascii="楷体_GB2312" w:hAnsi="楷体_GB2312" w:eastAsia="楷体_GB2312" w:cs="楷体_GB2312"/>
          <w:b/>
          <w:bCs/>
          <w:snapToGrid w:val="0"/>
          <w:color w:val="000000"/>
          <w:spacing w:val="0"/>
          <w:kern w:val="0"/>
          <w:sz w:val="32"/>
          <w:szCs w:val="32"/>
          <w:lang w:val="en-US" w:eastAsia="zh-CN" w:bidi="ar-SA"/>
        </w:rPr>
        <w:t>条</w:t>
      </w:r>
      <w:r>
        <w:rPr>
          <w:rFonts w:hint="eastAsia" w:ascii="仿宋_GB2312" w:hAnsi="仿宋_GB2312" w:eastAsia="仿宋_GB2312" w:cs="仿宋_GB2312"/>
          <w:snapToGrid w:val="0"/>
          <w:color w:val="000000"/>
          <w:spacing w:val="0"/>
          <w:kern w:val="0"/>
          <w:sz w:val="32"/>
          <w:szCs w:val="32"/>
          <w:lang w:val="en-US" w:eastAsia="zh-CN" w:bidi="ar-SA"/>
        </w:rPr>
        <w:t>　林业经营收益权证登记程序:</w:t>
      </w:r>
    </w:p>
    <w:p w14:paraId="19438510">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（一）申请。林业经营主体向经营地块所在地乡（镇、处）递交申请材料。</w:t>
      </w:r>
    </w:p>
    <w:p w14:paraId="3AC91625">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（二）受理。乡（镇、处）对收到的申请材料进行初审，材料齐全予以当场受理，并于受理后3个工作日内，将材料报送至市（局）林业局。材料不齐全予以退回，并一次性书面告知应当补齐补正的材料。</w:t>
      </w:r>
    </w:p>
    <w:p w14:paraId="5EE60C81">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三）审核。市（局）林业局在收到材料后7个工作日内，对林业经营管理状况的真实性、经营落图进行核实，涉及集体林权的需联合所在乡（镇、处）人民政府、村委会和村民小组一同开展现场调查。现场调查后，对不符合规定的予以退回，并书面告知原因；符合相关规定的，于5个工作日内出具审核意见，上报至市人民政府审批。</w:t>
      </w:r>
    </w:p>
    <w:p w14:paraId="0BD97D42">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（四）发证。市人民政府审批同意后，市（局）林业局向申请人颁发林业经营收益权证，并将发证结果同步抄送市自然资源局留档。</w:t>
      </w:r>
    </w:p>
    <w:p w14:paraId="24F1D645">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（五）建档。市（局）林业局建立林业经营收益权证登记档案并集中管理。</w:t>
      </w:r>
    </w:p>
    <w:p w14:paraId="5760C236">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第十五条</w:t>
      </w:r>
      <w:r>
        <w:rPr>
          <w:rFonts w:hint="eastAsia" w:ascii="仿宋_GB2312" w:hAnsi="仿宋_GB2312" w:eastAsia="仿宋_GB2312" w:cs="仿宋_GB2312"/>
          <w:snapToGrid w:val="0"/>
          <w:color w:val="000000"/>
          <w:spacing w:val="0"/>
          <w:kern w:val="0"/>
          <w:sz w:val="32"/>
          <w:szCs w:val="32"/>
          <w:lang w:val="en-US" w:eastAsia="zh-CN" w:bidi="ar-SA"/>
        </w:rPr>
        <w:t>　申请林业经营收益权首次登记的，应当提交下列材料，并对申请材料的真实性、完整性、有效性负责：</w:t>
      </w:r>
    </w:p>
    <w:p w14:paraId="0C325BDB">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（一）登记申请表；</w:t>
      </w:r>
    </w:p>
    <w:p w14:paraId="3833F64F">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二）身份证明材料。申请人为自然人的，应当提供身份证明材料；申请人为法人或者其他组织的，应当提供统一社会信用代码证书和法定代表人或者负责人的身份证明材料；委托他人办理的，需提供本人、受托人身份证明材料及授权委托书；以专业合作社名义申请的，需提供集体研究决议；</w:t>
      </w:r>
    </w:p>
    <w:p w14:paraId="5F56707F">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（三）权属证明材料。租赁、托管、合作、股份等合同，林权权属证明。在国有林地上申请林业经营收益权登记的，还需提供政府批文或国资部门审批意见。</w:t>
      </w:r>
    </w:p>
    <w:p w14:paraId="3A25FC82">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第十六条</w:t>
      </w:r>
      <w:r>
        <w:rPr>
          <w:rFonts w:hint="eastAsia" w:ascii="仿宋_GB2312" w:hAnsi="仿宋_GB2312" w:eastAsia="仿宋_GB2312" w:cs="仿宋_GB2312"/>
          <w:snapToGrid w:val="0"/>
          <w:color w:val="000000"/>
          <w:spacing w:val="0"/>
          <w:kern w:val="0"/>
          <w:sz w:val="32"/>
          <w:szCs w:val="32"/>
          <w:lang w:val="en-US" w:eastAsia="zh-CN" w:bidi="ar-SA"/>
        </w:rPr>
        <w:t>　发生下列情形之一的，权利人应当向市（局）林业局申请变更登记：</w:t>
      </w:r>
    </w:p>
    <w:p w14:paraId="4867644D">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（一）权利人身份信息变更的；</w:t>
      </w:r>
    </w:p>
    <w:p w14:paraId="5D0DA723">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（二）收益权经营内容、</w:t>
      </w:r>
      <w:r>
        <w:rPr>
          <w:rFonts w:hint="eastAsia" w:ascii="仿宋_GB2312" w:hAnsi="仿宋_GB2312" w:eastAsia="仿宋_GB2312" w:cs="仿宋_GB2312"/>
          <w:snapToGrid w:val="0"/>
          <w:color w:val="auto"/>
          <w:spacing w:val="0"/>
          <w:kern w:val="0"/>
          <w:sz w:val="32"/>
          <w:szCs w:val="32"/>
          <w:lang w:val="en-US" w:eastAsia="zh-CN" w:bidi="ar-SA"/>
        </w:rPr>
        <w:t>经营类型</w:t>
      </w:r>
      <w:r>
        <w:rPr>
          <w:rFonts w:hint="eastAsia" w:ascii="仿宋_GB2312" w:hAnsi="仿宋_GB2312" w:eastAsia="仿宋_GB2312" w:cs="仿宋_GB2312"/>
          <w:snapToGrid w:val="0"/>
          <w:color w:val="000000"/>
          <w:spacing w:val="0"/>
          <w:kern w:val="0"/>
          <w:sz w:val="32"/>
          <w:szCs w:val="32"/>
          <w:lang w:val="en-US" w:eastAsia="zh-CN" w:bidi="ar-SA"/>
        </w:rPr>
        <w:t>等状况变更的；</w:t>
      </w:r>
    </w:p>
    <w:p w14:paraId="632451FE">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（三）收益权期限发生变化的；</w:t>
      </w:r>
    </w:p>
    <w:p w14:paraId="63B3DC5E">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（四）其他不涉及收益权转移的变更情形。</w:t>
      </w:r>
    </w:p>
    <w:p w14:paraId="12CACBE2">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第十七条</w:t>
      </w:r>
      <w:r>
        <w:rPr>
          <w:rFonts w:hint="eastAsia" w:ascii="仿宋_GB2312" w:hAnsi="仿宋_GB2312" w:eastAsia="仿宋_GB2312" w:cs="仿宋_GB2312"/>
          <w:snapToGrid w:val="0"/>
          <w:color w:val="000000"/>
          <w:spacing w:val="0"/>
          <w:kern w:val="0"/>
          <w:sz w:val="32"/>
          <w:szCs w:val="32"/>
          <w:lang w:val="en-US" w:eastAsia="zh-CN" w:bidi="ar-SA"/>
        </w:rPr>
        <w:t>　</w:t>
      </w:r>
      <w:r>
        <w:rPr>
          <w:rFonts w:hint="eastAsia" w:ascii="仿宋_GB2312" w:hAnsi="仿宋_GB2312" w:eastAsia="仿宋_GB2312" w:cs="仿宋_GB2312"/>
          <w:snapToGrid w:val="0"/>
          <w:color w:val="000000"/>
          <w:spacing w:val="-6"/>
          <w:kern w:val="0"/>
          <w:sz w:val="32"/>
          <w:szCs w:val="32"/>
          <w:lang w:val="en-US" w:eastAsia="zh-CN" w:bidi="ar-SA"/>
        </w:rPr>
        <w:t>发生下列情形之一的，当事人可以申请转移登记</w:t>
      </w:r>
      <w:r>
        <w:rPr>
          <w:rFonts w:hint="eastAsia" w:ascii="仿宋_GB2312" w:hAnsi="仿宋_GB2312" w:eastAsia="仿宋_GB2312" w:cs="仿宋_GB2312"/>
          <w:snapToGrid w:val="0"/>
          <w:color w:val="000000"/>
          <w:spacing w:val="0"/>
          <w:kern w:val="0"/>
          <w:sz w:val="32"/>
          <w:szCs w:val="32"/>
          <w:lang w:val="en-US" w:eastAsia="zh-CN" w:bidi="ar-SA"/>
        </w:rPr>
        <w:t>：</w:t>
      </w:r>
    </w:p>
    <w:p w14:paraId="33E18A19">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（一）买卖、互换、赠与收益权的；</w:t>
      </w:r>
    </w:p>
    <w:p w14:paraId="0FEF8DFA">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（二）以收益权作价出资（入股）的；</w:t>
      </w:r>
    </w:p>
    <w:p w14:paraId="37715890">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（三）收益权的分割、合并导致权利发生转移的；</w:t>
      </w:r>
    </w:p>
    <w:p w14:paraId="1B25BCB9">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（四）继承导致权利发生转移的；</w:t>
      </w:r>
    </w:p>
    <w:p w14:paraId="0A703FAF">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（五）共有人增加或者减少以及共有份额变化的；</w:t>
      </w:r>
    </w:p>
    <w:p w14:paraId="68031A11">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（六）人民法院、仲裁委员会的生效法律文书导致权利发生转移的；</w:t>
      </w:r>
    </w:p>
    <w:p w14:paraId="061F711C">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（七）其他权利转移情形。</w:t>
      </w:r>
    </w:p>
    <w:p w14:paraId="0A6FA746">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第十八条</w:t>
      </w:r>
      <w:r>
        <w:rPr>
          <w:rFonts w:hint="eastAsia" w:ascii="仿宋_GB2312" w:hAnsi="仿宋_GB2312" w:eastAsia="仿宋_GB2312" w:cs="仿宋_GB2312"/>
          <w:snapToGrid w:val="0"/>
          <w:color w:val="000000"/>
          <w:spacing w:val="0"/>
          <w:kern w:val="0"/>
          <w:sz w:val="32"/>
          <w:szCs w:val="32"/>
          <w:lang w:val="en-US" w:eastAsia="zh-CN" w:bidi="ar-SA"/>
        </w:rPr>
        <w:t>　发生下列情形之一的，市（局）林业局依法办理收益权注销登记：</w:t>
      </w:r>
    </w:p>
    <w:p w14:paraId="0A7FE6B8">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（一）租赁、托管、合作、股份等合同已终止的；</w:t>
      </w:r>
    </w:p>
    <w:p w14:paraId="1E389F66">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（二）收益权所在林地被征占用等原因导致收益权灭失的；</w:t>
      </w:r>
    </w:p>
    <w:p w14:paraId="032B6011">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（三）权利人自愿放弃收益权的；</w:t>
      </w:r>
    </w:p>
    <w:p w14:paraId="43379446">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（四）法律、法规、规章规定的其他情形。</w:t>
      </w:r>
    </w:p>
    <w:p w14:paraId="1E2C4816">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第十九条</w:t>
      </w:r>
      <w:r>
        <w:rPr>
          <w:rFonts w:hint="eastAsia" w:ascii="仿宋_GB2312" w:hAnsi="仿宋_GB2312" w:eastAsia="仿宋_GB2312" w:cs="仿宋_GB2312"/>
          <w:snapToGrid w:val="0"/>
          <w:color w:val="000000"/>
          <w:spacing w:val="0"/>
          <w:kern w:val="0"/>
          <w:sz w:val="32"/>
          <w:szCs w:val="32"/>
          <w:lang w:val="en-US" w:eastAsia="zh-CN" w:bidi="ar-SA"/>
        </w:rPr>
        <w:t>　申请办理变更、转移、注销登记时，申请人应当提交下列材料：</w:t>
      </w:r>
    </w:p>
    <w:p w14:paraId="4768450E">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（一）登记申请表；</w:t>
      </w:r>
    </w:p>
    <w:p w14:paraId="001DE220">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（二）林业经营收益权证原件；</w:t>
      </w:r>
    </w:p>
    <w:p w14:paraId="179AB2E0">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（三）发生变更、转移、注销登记所列情形的有关证明材料。</w:t>
      </w:r>
    </w:p>
    <w:p w14:paraId="56F26EEF">
      <w:pPr>
        <w:pStyle w:val="2"/>
        <w:rPr>
          <w:rFonts w:hint="eastAsia"/>
          <w:lang w:val="en-US" w:eastAsia="zh-CN"/>
        </w:rPr>
      </w:pPr>
    </w:p>
    <w:p w14:paraId="1065EA4B">
      <w:pPr>
        <w:keepNext w:val="0"/>
        <w:keepLines w:val="0"/>
        <w:pageBreakBefore w:val="0"/>
        <w:widowControl w:val="0"/>
        <w:kinsoku/>
        <w:wordWrap/>
        <w:overflowPunct w:val="0"/>
        <w:topLinePunct w:val="0"/>
        <w:autoSpaceDE/>
        <w:autoSpaceDN/>
        <w:bidi w:val="0"/>
        <w:adjustRightInd/>
        <w:snapToGrid/>
        <w:spacing w:beforeAutospacing="0" w:line="590" w:lineRule="exact"/>
        <w:ind w:firstLine="0" w:firstLineChars="0"/>
        <w:jc w:val="center"/>
        <w:textAlignment w:val="auto"/>
        <w:rPr>
          <w:rFonts w:hint="eastAsia" w:ascii="黑体" w:hAnsi="黑体" w:eastAsia="黑体" w:cs="黑体"/>
          <w:snapToGrid w:val="0"/>
          <w:color w:val="000000"/>
          <w:spacing w:val="0"/>
          <w:kern w:val="0"/>
          <w:sz w:val="32"/>
          <w:szCs w:val="32"/>
          <w:lang w:val="en-US" w:eastAsia="zh-CN" w:bidi="ar-SA"/>
        </w:rPr>
      </w:pPr>
      <w:r>
        <w:rPr>
          <w:rFonts w:hint="eastAsia" w:ascii="黑体" w:hAnsi="黑体" w:eastAsia="黑体" w:cs="黑体"/>
          <w:snapToGrid w:val="0"/>
          <w:color w:val="000000"/>
          <w:spacing w:val="0"/>
          <w:kern w:val="0"/>
          <w:sz w:val="32"/>
          <w:szCs w:val="32"/>
          <w:lang w:val="en-US" w:eastAsia="zh-CN" w:bidi="ar-SA"/>
        </w:rPr>
        <w:t>第四章　</w:t>
      </w:r>
      <w:r>
        <w:rPr>
          <w:rFonts w:hint="eastAsia" w:ascii="黑体" w:hAnsi="黑体" w:eastAsia="黑体" w:cs="黑体"/>
          <w:snapToGrid w:val="0"/>
          <w:color w:val="000000" w:themeColor="text1"/>
          <w:spacing w:val="0"/>
          <w:kern w:val="0"/>
          <w:sz w:val="32"/>
          <w:szCs w:val="32"/>
          <w:lang w:val="en-US" w:eastAsia="zh-CN" w:bidi="ar-SA"/>
          <w14:textFill>
            <w14:solidFill>
              <w14:schemeClr w14:val="tx1"/>
            </w14:solidFill>
          </w14:textFill>
        </w:rPr>
        <w:t>质押登记</w:t>
      </w:r>
    </w:p>
    <w:p w14:paraId="7713739B">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第二十条</w:t>
      </w:r>
      <w:r>
        <w:rPr>
          <w:rFonts w:hint="eastAsia" w:ascii="仿宋_GB2312" w:hAnsi="仿宋_GB2312" w:eastAsia="仿宋_GB2312" w:cs="仿宋_GB2312"/>
          <w:snapToGrid w:val="0"/>
          <w:color w:val="000000"/>
          <w:spacing w:val="0"/>
          <w:kern w:val="0"/>
          <w:sz w:val="32"/>
          <w:szCs w:val="32"/>
          <w:lang w:val="en-US" w:eastAsia="zh-CN" w:bidi="ar-SA"/>
        </w:rPr>
        <w:t>　市（局）林业局负责收益权质押登记工作。自然人、法人或其他组织为保障其债权的实现，依法以收益权设定质押的，质押双方当事人应共同书面向市（局）林业局申请办理质押登记。</w:t>
      </w:r>
    </w:p>
    <w:p w14:paraId="01331F53">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第二十一条</w:t>
      </w:r>
      <w:r>
        <w:rPr>
          <w:rFonts w:hint="eastAsia" w:ascii="仿宋_GB2312" w:hAnsi="仿宋_GB2312" w:eastAsia="仿宋_GB2312" w:cs="仿宋_GB2312"/>
          <w:snapToGrid w:val="0"/>
          <w:color w:val="000000"/>
          <w:spacing w:val="0"/>
          <w:kern w:val="0"/>
          <w:sz w:val="32"/>
          <w:szCs w:val="32"/>
          <w:lang w:val="en-US" w:eastAsia="zh-CN" w:bidi="ar-SA"/>
        </w:rPr>
        <w:t>　申请收益权质押登记的，当事人应当向市（局）林业局提交下列材料：</w:t>
      </w:r>
    </w:p>
    <w:p w14:paraId="7231127A">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（一）出质人和质权人共同签字或盖章的收益权质押登记申请表；</w:t>
      </w:r>
    </w:p>
    <w:p w14:paraId="5AFFF89B">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（二）收益权质押合同；</w:t>
      </w:r>
    </w:p>
    <w:p w14:paraId="405072C2">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（三）双方当事人的身份证明；</w:t>
      </w:r>
    </w:p>
    <w:p w14:paraId="1CD9DE81">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（四）委托代理的，当事人、受托人身份证明材料及授权委托书；</w:t>
      </w:r>
    </w:p>
    <w:p w14:paraId="7A2E45E1">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（五）其他需要提供的材料。</w:t>
      </w:r>
    </w:p>
    <w:p w14:paraId="1CF9F0F9">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收益权经过资产评估的，当事人还应当提交资产评估报告。</w:t>
      </w:r>
    </w:p>
    <w:p w14:paraId="3AA0568B">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第二十二条</w:t>
      </w:r>
      <w:r>
        <w:rPr>
          <w:rFonts w:hint="eastAsia" w:ascii="仿宋_GB2312" w:hAnsi="仿宋_GB2312" w:eastAsia="仿宋_GB2312" w:cs="仿宋_GB2312"/>
          <w:snapToGrid w:val="0"/>
          <w:color w:val="000000"/>
          <w:spacing w:val="0"/>
          <w:kern w:val="0"/>
          <w:sz w:val="32"/>
          <w:szCs w:val="32"/>
          <w:lang w:val="en-US" w:eastAsia="zh-CN" w:bidi="ar-SA"/>
        </w:rPr>
        <w:t>　以收益权出质的，出质人与质权人应当订立书面合同。质押合同可以是单独订立的合同，也可以是主合同中的担保条款。合同应当包括以下与质押登记相关的内容：</w:t>
      </w:r>
    </w:p>
    <w:p w14:paraId="79CDAD5A">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（一）当事人的姓名或名称、地址；</w:t>
      </w:r>
    </w:p>
    <w:p w14:paraId="54CF4D73">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（二）收益权证主要信息；</w:t>
      </w:r>
    </w:p>
    <w:p w14:paraId="03759183">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（三）被担保债权的种类和数额；</w:t>
      </w:r>
    </w:p>
    <w:p w14:paraId="277BE27E">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（四）债务人履行债务的期限；</w:t>
      </w:r>
    </w:p>
    <w:p w14:paraId="16FB71DC">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（五）质押担保的范围。</w:t>
      </w:r>
    </w:p>
    <w:p w14:paraId="5769E5D1">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第二十三条</w:t>
      </w:r>
      <w:r>
        <w:rPr>
          <w:rFonts w:hint="eastAsia" w:ascii="仿宋_GB2312" w:hAnsi="仿宋_GB2312" w:eastAsia="仿宋_GB2312" w:cs="仿宋_GB2312"/>
          <w:snapToGrid w:val="0"/>
          <w:color w:val="000000"/>
          <w:spacing w:val="0"/>
          <w:kern w:val="0"/>
          <w:sz w:val="32"/>
          <w:szCs w:val="32"/>
          <w:lang w:val="en-US" w:eastAsia="zh-CN" w:bidi="ar-SA"/>
        </w:rPr>
        <w:t>　市（局）林业局收到当事人提交的质押登记申请材料，应当予以受理，并自收到之日起5个工作日内进行审查，决定是否予以登记。</w:t>
      </w:r>
    </w:p>
    <w:p w14:paraId="36F2A597">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第二十四条</w:t>
      </w:r>
      <w:r>
        <w:rPr>
          <w:rFonts w:hint="eastAsia" w:ascii="仿宋_GB2312" w:hAnsi="仿宋_GB2312" w:eastAsia="仿宋_GB2312" w:cs="仿宋_GB2312"/>
          <w:snapToGrid w:val="0"/>
          <w:color w:val="000000"/>
          <w:spacing w:val="0"/>
          <w:kern w:val="0"/>
          <w:sz w:val="32"/>
          <w:szCs w:val="32"/>
          <w:lang w:val="en-US" w:eastAsia="zh-CN" w:bidi="ar-SA"/>
        </w:rPr>
        <w:t>　收益权质押登记申请经审查合格的，市（局）林业局在收益权证上予以登记。经审查发现不符合登记条件的，作出不予登记的决定，并书面通知当事人。</w:t>
      </w:r>
    </w:p>
    <w:p w14:paraId="1CB327F5">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第二十五条</w:t>
      </w:r>
      <w:r>
        <w:rPr>
          <w:rFonts w:hint="eastAsia" w:ascii="仿宋_GB2312" w:hAnsi="仿宋_GB2312" w:eastAsia="仿宋_GB2312" w:cs="仿宋_GB2312"/>
          <w:snapToGrid w:val="0"/>
          <w:color w:val="000000"/>
          <w:spacing w:val="0"/>
          <w:kern w:val="0"/>
          <w:sz w:val="32"/>
          <w:szCs w:val="32"/>
          <w:lang w:val="en-US" w:eastAsia="zh-CN" w:bidi="ar-SA"/>
        </w:rPr>
        <w:t>　权利人用收益权证向银行机构申请质押贷款的，在市（局）林业局办理质押登记之后，银行机构可以登录中国人民银行征信中心“动产融资统一登记公示系统（中登网）”对收益权及质押情况进行登记和公示。</w:t>
      </w:r>
    </w:p>
    <w:p w14:paraId="605774C8">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 xml:space="preserve"> </w:t>
      </w:r>
    </w:p>
    <w:p w14:paraId="7A427406">
      <w:pPr>
        <w:keepNext w:val="0"/>
        <w:keepLines w:val="0"/>
        <w:pageBreakBefore w:val="0"/>
        <w:widowControl w:val="0"/>
        <w:kinsoku/>
        <w:wordWrap/>
        <w:overflowPunct w:val="0"/>
        <w:topLinePunct w:val="0"/>
        <w:autoSpaceDE/>
        <w:autoSpaceDN/>
        <w:bidi w:val="0"/>
        <w:adjustRightInd/>
        <w:snapToGrid/>
        <w:spacing w:beforeAutospacing="0" w:line="590" w:lineRule="exact"/>
        <w:ind w:firstLine="0" w:firstLineChars="0"/>
        <w:jc w:val="center"/>
        <w:textAlignment w:val="auto"/>
        <w:rPr>
          <w:rFonts w:hint="eastAsia" w:ascii="黑体" w:hAnsi="黑体" w:eastAsia="黑体" w:cs="黑体"/>
          <w:snapToGrid w:val="0"/>
          <w:color w:val="000000"/>
          <w:spacing w:val="0"/>
          <w:kern w:val="0"/>
          <w:sz w:val="32"/>
          <w:szCs w:val="32"/>
          <w:lang w:val="en-US" w:eastAsia="zh-CN" w:bidi="ar-SA"/>
        </w:rPr>
      </w:pPr>
      <w:r>
        <w:rPr>
          <w:rFonts w:hint="eastAsia" w:ascii="黑体" w:hAnsi="黑体" w:eastAsia="黑体" w:cs="黑体"/>
          <w:snapToGrid w:val="0"/>
          <w:color w:val="000000"/>
          <w:spacing w:val="0"/>
          <w:kern w:val="0"/>
          <w:sz w:val="32"/>
          <w:szCs w:val="32"/>
          <w:lang w:val="en-US" w:eastAsia="zh-CN" w:bidi="ar-SA"/>
        </w:rPr>
        <w:t>第五章　登记管理</w:t>
      </w:r>
    </w:p>
    <w:p w14:paraId="3F174C09">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第二十六条</w:t>
      </w:r>
      <w:r>
        <w:rPr>
          <w:rFonts w:hint="eastAsia" w:ascii="仿宋_GB2312" w:hAnsi="仿宋_GB2312" w:eastAsia="仿宋_GB2312" w:cs="仿宋_GB2312"/>
          <w:snapToGrid w:val="0"/>
          <w:color w:val="000000"/>
          <w:spacing w:val="0"/>
          <w:kern w:val="0"/>
          <w:sz w:val="32"/>
          <w:szCs w:val="32"/>
          <w:lang w:val="en-US" w:eastAsia="zh-CN" w:bidi="ar-SA"/>
        </w:rPr>
        <w:t>　市（局）林业局应当与市自然资</w:t>
      </w:r>
      <w:r>
        <w:rPr>
          <w:rFonts w:hint="eastAsia" w:ascii="仿宋_GB2312" w:hAnsi="仿宋_GB2312" w:eastAsia="仿宋_GB2312" w:cs="仿宋_GB2312"/>
          <w:snapToGrid w:val="0"/>
          <w:color w:val="auto"/>
          <w:spacing w:val="0"/>
          <w:kern w:val="0"/>
          <w:sz w:val="32"/>
          <w:szCs w:val="32"/>
          <w:lang w:val="en-US" w:eastAsia="zh-CN" w:bidi="ar-SA"/>
        </w:rPr>
        <w:t>源局等相关部门建立协同和数据共享机制，实现林权流转审核、林</w:t>
      </w:r>
      <w:r>
        <w:rPr>
          <w:rFonts w:hint="eastAsia" w:ascii="仿宋_GB2312" w:hAnsi="仿宋_GB2312" w:eastAsia="仿宋_GB2312" w:cs="仿宋_GB2312"/>
          <w:snapToGrid w:val="0"/>
          <w:color w:val="000000"/>
          <w:spacing w:val="0"/>
          <w:kern w:val="0"/>
          <w:sz w:val="32"/>
          <w:szCs w:val="32"/>
          <w:lang w:val="en-US" w:eastAsia="zh-CN" w:bidi="ar-SA"/>
        </w:rPr>
        <w:t>业经营收益权登记和林权类不动产登记数据推送共享、权利关联，防止一证多卖、一证多押。</w:t>
      </w:r>
    </w:p>
    <w:p w14:paraId="4AB609EC">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第二十七条</w:t>
      </w:r>
      <w:r>
        <w:rPr>
          <w:rFonts w:hint="eastAsia" w:ascii="仿宋_GB2312" w:hAnsi="仿宋_GB2312" w:eastAsia="仿宋_GB2312" w:cs="仿宋_GB2312"/>
          <w:snapToGrid w:val="0"/>
          <w:color w:val="000000"/>
          <w:spacing w:val="0"/>
          <w:kern w:val="0"/>
          <w:sz w:val="32"/>
          <w:szCs w:val="32"/>
          <w:lang w:val="en-US" w:eastAsia="zh-CN" w:bidi="ar-SA"/>
        </w:rPr>
        <w:t>　林业经营内容发生变化的，权利人应当及时申请变更登记，确保林业经营收益权证载明信息的准确性和有效性。对因未及时申请变更登记造成法律责任和经济损失的，由持证人承担。</w:t>
      </w:r>
    </w:p>
    <w:p w14:paraId="35F7392A">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第二十八条</w:t>
      </w:r>
      <w:r>
        <w:rPr>
          <w:rFonts w:hint="eastAsia" w:ascii="仿宋_GB2312" w:hAnsi="仿宋_GB2312" w:eastAsia="仿宋_GB2312" w:cs="仿宋_GB2312"/>
          <w:snapToGrid w:val="0"/>
          <w:color w:val="000000"/>
          <w:spacing w:val="0"/>
          <w:kern w:val="0"/>
          <w:sz w:val="32"/>
          <w:szCs w:val="32"/>
          <w:lang w:val="en-US" w:eastAsia="zh-CN" w:bidi="ar-SA"/>
        </w:rPr>
        <w:t>　林业经营收益权证及登记申请表等原始资料不得涂改。</w:t>
      </w:r>
    </w:p>
    <w:p w14:paraId="7D762337">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第二十九条</w:t>
      </w:r>
      <w:r>
        <w:rPr>
          <w:rFonts w:hint="eastAsia" w:ascii="仿宋_GB2312" w:hAnsi="仿宋_GB2312" w:eastAsia="仿宋_GB2312" w:cs="仿宋_GB2312"/>
          <w:snapToGrid w:val="0"/>
          <w:color w:val="000000"/>
          <w:spacing w:val="0"/>
          <w:kern w:val="0"/>
          <w:sz w:val="32"/>
          <w:szCs w:val="32"/>
          <w:lang w:val="en-US" w:eastAsia="zh-CN" w:bidi="ar-SA"/>
        </w:rPr>
        <w:t>　发生以下情形之一的，经查证属实，应予以撤销登记：</w:t>
      </w:r>
    </w:p>
    <w:p w14:paraId="2A0AB118">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（一）提供虚假申请材料的；</w:t>
      </w:r>
    </w:p>
    <w:p w14:paraId="5C531FB8">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（二）登记发证机关工作人员徇私舞弊发证的；</w:t>
      </w:r>
    </w:p>
    <w:p w14:paraId="6FC0926A">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（三）违反本办法规定程序发证的；</w:t>
      </w:r>
    </w:p>
    <w:p w14:paraId="424B4D42">
      <w:pPr>
        <w:keepNext w:val="0"/>
        <w:keepLines w:val="0"/>
        <w:pageBreakBefore w:val="0"/>
        <w:widowControl w:val="0"/>
        <w:kinsoku/>
        <w:wordWrap/>
        <w:overflowPunct w:val="0"/>
        <w:topLinePunct w:val="0"/>
        <w:bidi w:val="0"/>
        <w:spacing w:beforeAutospacing="0" w:line="590" w:lineRule="exact"/>
        <w:ind w:firstLine="640"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（四）违反法律、法规规定的其他情形。</w:t>
      </w:r>
    </w:p>
    <w:p w14:paraId="0895F08F">
      <w:pPr>
        <w:pStyle w:val="2"/>
        <w:rPr>
          <w:rFonts w:hint="default"/>
          <w:lang w:val="en-US" w:eastAsia="zh-CN"/>
        </w:rPr>
      </w:pPr>
    </w:p>
    <w:p w14:paraId="13CB8D44">
      <w:pPr>
        <w:keepNext w:val="0"/>
        <w:keepLines w:val="0"/>
        <w:pageBreakBefore w:val="0"/>
        <w:widowControl w:val="0"/>
        <w:kinsoku/>
        <w:wordWrap/>
        <w:overflowPunct w:val="0"/>
        <w:topLinePunct w:val="0"/>
        <w:autoSpaceDE/>
        <w:autoSpaceDN/>
        <w:bidi w:val="0"/>
        <w:adjustRightInd/>
        <w:snapToGrid/>
        <w:spacing w:beforeAutospacing="0" w:line="590" w:lineRule="exact"/>
        <w:ind w:firstLine="0" w:firstLineChars="0"/>
        <w:jc w:val="center"/>
        <w:textAlignment w:val="auto"/>
        <w:rPr>
          <w:rFonts w:hint="eastAsia" w:ascii="黑体" w:hAnsi="黑体" w:eastAsia="黑体" w:cs="黑体"/>
          <w:snapToGrid w:val="0"/>
          <w:color w:val="000000"/>
          <w:spacing w:val="0"/>
          <w:kern w:val="0"/>
          <w:sz w:val="32"/>
          <w:szCs w:val="32"/>
          <w:lang w:val="en-US" w:eastAsia="zh-CN" w:bidi="ar-SA"/>
        </w:rPr>
      </w:pPr>
      <w:r>
        <w:rPr>
          <w:rFonts w:hint="eastAsia" w:ascii="黑体" w:hAnsi="黑体" w:eastAsia="黑体" w:cs="黑体"/>
          <w:snapToGrid w:val="0"/>
          <w:color w:val="000000"/>
          <w:spacing w:val="0"/>
          <w:kern w:val="0"/>
          <w:sz w:val="32"/>
          <w:szCs w:val="32"/>
          <w:lang w:val="en-US" w:eastAsia="zh-CN" w:bidi="ar-SA"/>
        </w:rPr>
        <w:t>第六章</w:t>
      </w:r>
      <w:r>
        <w:rPr>
          <w:rFonts w:hint="eastAsia" w:ascii="仿宋_GB2312" w:hAnsi="仿宋_GB2312" w:eastAsia="仿宋_GB2312" w:cs="仿宋_GB2312"/>
          <w:snapToGrid w:val="0"/>
          <w:color w:val="000000"/>
          <w:spacing w:val="0"/>
          <w:kern w:val="0"/>
          <w:sz w:val="32"/>
          <w:szCs w:val="32"/>
          <w:lang w:val="en-US" w:eastAsia="zh-CN" w:bidi="ar-SA"/>
        </w:rPr>
        <w:t>　</w:t>
      </w:r>
      <w:r>
        <w:rPr>
          <w:rFonts w:hint="eastAsia" w:ascii="黑体" w:hAnsi="黑体" w:eastAsia="黑体" w:cs="黑体"/>
          <w:snapToGrid w:val="0"/>
          <w:color w:val="000000"/>
          <w:spacing w:val="0"/>
          <w:kern w:val="0"/>
          <w:sz w:val="32"/>
          <w:szCs w:val="32"/>
          <w:lang w:val="en-US" w:eastAsia="zh-CN" w:bidi="ar-SA"/>
        </w:rPr>
        <w:t>附则</w:t>
      </w:r>
    </w:p>
    <w:p w14:paraId="066BBA0E">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第三十条</w:t>
      </w:r>
      <w:r>
        <w:rPr>
          <w:rFonts w:hint="eastAsia" w:ascii="仿宋_GB2312" w:hAnsi="仿宋_GB2312" w:eastAsia="仿宋_GB2312" w:cs="仿宋_GB2312"/>
          <w:snapToGrid w:val="0"/>
          <w:color w:val="000000"/>
          <w:spacing w:val="0"/>
          <w:kern w:val="0"/>
          <w:sz w:val="32"/>
          <w:szCs w:val="32"/>
          <w:lang w:val="en-US" w:eastAsia="zh-CN" w:bidi="ar-SA"/>
        </w:rPr>
        <w:t>　林业经营收益权登记工作经费统一纳入市财政预算，不得向申请人收取任何费用。</w:t>
      </w:r>
    </w:p>
    <w:p w14:paraId="143CC783">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第三十一条</w:t>
      </w:r>
      <w:r>
        <w:rPr>
          <w:rFonts w:hint="eastAsia" w:ascii="仿宋_GB2312" w:hAnsi="仿宋_GB2312" w:eastAsia="仿宋_GB2312" w:cs="仿宋_GB2312"/>
          <w:snapToGrid w:val="0"/>
          <w:color w:val="000000"/>
          <w:spacing w:val="0"/>
          <w:kern w:val="0"/>
          <w:sz w:val="32"/>
          <w:szCs w:val="32"/>
          <w:lang w:val="en-US" w:eastAsia="zh-CN" w:bidi="ar-SA"/>
        </w:rPr>
        <w:t>　本办法由庐山市（局）林业局负责解释。</w:t>
      </w:r>
    </w:p>
    <w:p w14:paraId="488F1522">
      <w:pPr>
        <w:keepNext w:val="0"/>
        <w:keepLines w:val="0"/>
        <w:pageBreakBefore w:val="0"/>
        <w:widowControl w:val="0"/>
        <w:kinsoku/>
        <w:wordWrap/>
        <w:overflowPunct w:val="0"/>
        <w:topLinePunct w:val="0"/>
        <w:bidi w:val="0"/>
        <w:spacing w:beforeAutospacing="0" w:line="590" w:lineRule="exact"/>
        <w:ind w:firstLine="643" w:firstLineChars="200"/>
        <w:jc w:val="both"/>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第三十二条</w:t>
      </w:r>
      <w:r>
        <w:rPr>
          <w:rFonts w:hint="eastAsia" w:ascii="仿宋_GB2312" w:hAnsi="仿宋_GB2312" w:eastAsia="仿宋_GB2312" w:cs="仿宋_GB2312"/>
          <w:snapToGrid w:val="0"/>
          <w:color w:val="000000"/>
          <w:spacing w:val="0"/>
          <w:kern w:val="0"/>
          <w:sz w:val="32"/>
          <w:szCs w:val="32"/>
          <w:lang w:val="en-US" w:eastAsia="zh-CN" w:bidi="ar-SA"/>
        </w:rPr>
        <w:t>　本《办法》自颁布之日起试行，有效期两年，并依据国家相关政策调整情况及时修订。</w:t>
      </w:r>
    </w:p>
    <w:p w14:paraId="49B061AE">
      <w:pPr>
        <w:pStyle w:val="4"/>
        <w:keepNext w:val="0"/>
        <w:keepLines w:val="0"/>
        <w:pageBreakBefore w:val="0"/>
        <w:widowControl w:val="0"/>
        <w:kinsoku/>
        <w:wordWrap/>
        <w:topLinePunct w:val="0"/>
        <w:bidi w:val="0"/>
        <w:spacing w:before="0" w:beforeAutospacing="0" w:after="0" w:line="600" w:lineRule="exact"/>
        <w:rPr>
          <w:rFonts w:hint="eastAsia" w:ascii="仿宋_GB2312" w:hAnsi="仿宋_GB2312" w:eastAsia="仿宋_GB2312" w:cs="仿宋_GB2312"/>
          <w:snapToGrid w:val="0"/>
          <w:color w:val="000000"/>
          <w:spacing w:val="0"/>
          <w:kern w:val="0"/>
          <w:sz w:val="32"/>
          <w:szCs w:val="32"/>
          <w:lang w:val="en-US" w:eastAsia="zh-CN" w:bidi="ar-SA"/>
        </w:rPr>
      </w:pPr>
    </w:p>
    <w:p w14:paraId="5D92486D">
      <w:pPr>
        <w:keepNext w:val="0"/>
        <w:keepLines w:val="0"/>
        <w:pageBreakBefore w:val="0"/>
        <w:widowControl w:val="0"/>
        <w:kinsoku/>
        <w:wordWrap/>
        <w:topLinePunct w:val="0"/>
        <w:bidi w:val="0"/>
        <w:spacing w:beforeAutospacing="0" w:line="600" w:lineRule="exact"/>
        <w:rPr>
          <w:rFonts w:hint="eastAsia" w:ascii="仿宋_GB2312" w:hAnsi="仿宋_GB2312" w:eastAsia="仿宋_GB2312" w:cs="仿宋_GB2312"/>
          <w:snapToGrid w:val="0"/>
          <w:color w:val="000000"/>
          <w:spacing w:val="0"/>
          <w:kern w:val="0"/>
          <w:sz w:val="32"/>
          <w:szCs w:val="32"/>
          <w:lang w:val="en-US" w:eastAsia="zh-CN" w:bidi="ar-SA"/>
        </w:rPr>
      </w:pPr>
    </w:p>
    <w:p w14:paraId="7843C749">
      <w:pPr>
        <w:pStyle w:val="2"/>
        <w:keepNext w:val="0"/>
        <w:keepLines w:val="0"/>
        <w:pageBreakBefore w:val="0"/>
        <w:widowControl w:val="0"/>
        <w:kinsoku/>
        <w:wordWrap/>
        <w:topLinePunct w:val="0"/>
        <w:bidi w:val="0"/>
        <w:rPr>
          <w:rFonts w:hint="eastAsia" w:ascii="仿宋_GB2312" w:hAnsi="仿宋_GB2312" w:eastAsia="仿宋_GB2312" w:cs="仿宋_GB2312"/>
          <w:snapToGrid w:val="0"/>
          <w:color w:val="000000"/>
          <w:spacing w:val="0"/>
          <w:kern w:val="0"/>
          <w:sz w:val="32"/>
          <w:szCs w:val="32"/>
          <w:lang w:val="en-US" w:eastAsia="zh-CN" w:bidi="ar-SA"/>
        </w:rPr>
      </w:pPr>
    </w:p>
    <w:p w14:paraId="0E828B7D">
      <w:pPr>
        <w:rPr>
          <w:rFonts w:hint="eastAsia" w:ascii="仿宋_GB2312" w:hAnsi="仿宋_GB2312" w:eastAsia="仿宋_GB2312" w:cs="仿宋_GB2312"/>
          <w:snapToGrid w:val="0"/>
          <w:color w:val="000000"/>
          <w:spacing w:val="0"/>
          <w:kern w:val="0"/>
          <w:sz w:val="32"/>
          <w:szCs w:val="32"/>
          <w:lang w:val="en-US" w:eastAsia="zh-CN" w:bidi="ar-SA"/>
        </w:rPr>
      </w:pPr>
    </w:p>
    <w:p w14:paraId="6E9B19FC">
      <w:pPr>
        <w:pStyle w:val="2"/>
        <w:rPr>
          <w:rFonts w:hint="eastAsia" w:ascii="仿宋_GB2312" w:hAnsi="仿宋_GB2312" w:eastAsia="仿宋_GB2312" w:cs="仿宋_GB2312"/>
          <w:snapToGrid w:val="0"/>
          <w:color w:val="000000"/>
          <w:spacing w:val="0"/>
          <w:kern w:val="0"/>
          <w:sz w:val="32"/>
          <w:szCs w:val="32"/>
          <w:lang w:val="en-US" w:eastAsia="zh-CN" w:bidi="ar-SA"/>
        </w:rPr>
      </w:pPr>
    </w:p>
    <w:p w14:paraId="03E20226">
      <w:pPr>
        <w:rPr>
          <w:rFonts w:hint="eastAsia" w:ascii="仿宋_GB2312" w:hAnsi="仿宋_GB2312" w:eastAsia="仿宋_GB2312" w:cs="仿宋_GB2312"/>
          <w:snapToGrid w:val="0"/>
          <w:color w:val="000000"/>
          <w:spacing w:val="0"/>
          <w:kern w:val="0"/>
          <w:sz w:val="32"/>
          <w:szCs w:val="32"/>
          <w:lang w:val="en-US" w:eastAsia="zh-CN" w:bidi="ar-SA"/>
        </w:rPr>
      </w:pPr>
    </w:p>
    <w:p w14:paraId="01CA8751">
      <w:pPr>
        <w:keepNext w:val="0"/>
        <w:keepLines w:val="0"/>
        <w:pageBreakBefore w:val="0"/>
        <w:widowControl w:val="0"/>
        <w:kinsoku/>
        <w:wordWrap/>
        <w:topLinePunct w:val="0"/>
        <w:bidi w:val="0"/>
        <w:rPr>
          <w:rFonts w:hint="eastAsia" w:ascii="仿宋_GB2312" w:hAnsi="仿宋_GB2312" w:eastAsia="仿宋_GB2312" w:cs="仿宋_GB2312"/>
          <w:snapToGrid w:val="0"/>
          <w:color w:val="000000"/>
          <w:spacing w:val="0"/>
          <w:kern w:val="0"/>
          <w:sz w:val="32"/>
          <w:szCs w:val="32"/>
          <w:lang w:val="en-US" w:eastAsia="zh-CN" w:bidi="ar-SA"/>
        </w:rPr>
      </w:pPr>
    </w:p>
    <w:p w14:paraId="4870F9E6">
      <w:pPr>
        <w:pStyle w:val="2"/>
        <w:keepNext w:val="0"/>
        <w:keepLines w:val="0"/>
        <w:pageBreakBefore w:val="0"/>
        <w:widowControl w:val="0"/>
        <w:kinsoku/>
        <w:wordWrap/>
        <w:overflowPunct/>
        <w:topLinePunct w:val="0"/>
        <w:autoSpaceDE/>
        <w:autoSpaceDN/>
        <w:bidi w:val="0"/>
        <w:adjustRightInd/>
        <w:snapToGrid/>
        <w:spacing w:before="0" w:beforeAutospacing="0" w:line="200" w:lineRule="exact"/>
        <w:textAlignment w:val="auto"/>
        <w:rPr>
          <w:rFonts w:hint="eastAsia"/>
          <w:lang w:val="en-US" w:eastAsia="zh-CN"/>
        </w:rPr>
      </w:pPr>
    </w:p>
    <w:p w14:paraId="3FDDDEA5">
      <w:pPr>
        <w:rPr>
          <w:rFonts w:hint="eastAsia"/>
          <w:lang w:val="en-US" w:eastAsia="zh-CN"/>
        </w:rPr>
      </w:pPr>
    </w:p>
    <w:p w14:paraId="388CC63F">
      <w:pPr>
        <w:pStyle w:val="2"/>
        <w:keepNext w:val="0"/>
        <w:keepLines w:val="0"/>
        <w:pageBreakBefore w:val="0"/>
        <w:widowControl w:val="0"/>
        <w:kinsoku/>
        <w:wordWrap/>
        <w:overflowPunct/>
        <w:topLinePunct w:val="0"/>
        <w:autoSpaceDE/>
        <w:autoSpaceDN/>
        <w:bidi w:val="0"/>
        <w:adjustRightInd/>
        <w:snapToGrid/>
        <w:spacing w:before="0" w:beforeAutospacing="0" w:line="240" w:lineRule="exact"/>
        <w:textAlignment w:val="auto"/>
        <w:rPr>
          <w:rFonts w:hint="eastAsia"/>
          <w:lang w:val="en-US" w:eastAsia="zh-CN"/>
        </w:rPr>
      </w:pPr>
    </w:p>
    <w:p w14:paraId="596C1A43">
      <w:pPr>
        <w:pStyle w:val="2"/>
        <w:keepNext w:val="0"/>
        <w:keepLines w:val="0"/>
        <w:pageBreakBefore w:val="0"/>
        <w:widowControl w:val="0"/>
        <w:pBdr>
          <w:top w:val="single" w:color="auto" w:sz="4" w:space="0"/>
          <w:bottom w:val="single" w:color="auto" w:sz="4" w:space="0"/>
        </w:pBdr>
        <w:kinsoku/>
        <w:wordWrap/>
        <w:overflowPunct w:val="0"/>
        <w:topLinePunct w:val="0"/>
        <w:autoSpaceDE/>
        <w:autoSpaceDN/>
        <w:bidi w:val="0"/>
        <w:adjustRightInd w:val="0"/>
        <w:snapToGrid/>
        <w:spacing w:before="0" w:beforeAutospacing="0" w:line="600" w:lineRule="exact"/>
        <w:ind w:left="0" w:leftChars="0" w:firstLine="280" w:firstLineChars="100"/>
        <w:textAlignment w:val="auto"/>
        <w:rPr>
          <w:rFonts w:hint="eastAsia"/>
          <w:lang w:eastAsia="zh-CN"/>
        </w:rPr>
      </w:pPr>
      <w:r>
        <w:rPr>
          <w:rFonts w:hint="eastAsia" w:ascii="仿宋_GB2312" w:hAnsi="仿宋_GB2312" w:eastAsia="仿宋_GB2312" w:cs="仿宋_GB2312"/>
          <w:color w:val="auto"/>
          <w:sz w:val="28"/>
          <w:szCs w:val="28"/>
          <w:lang w:eastAsia="zh-CN"/>
        </w:rPr>
        <w:t>庐山市人民政府办公室</w:t>
      </w:r>
      <w:r>
        <w:rPr>
          <w:rFonts w:hint="eastAsia" w:ascii="仿宋_GB2312" w:hAnsi="仿宋_GB2312" w:eastAsia="仿宋_GB2312" w:cs="仿宋_GB2312"/>
          <w:color w:val="auto"/>
          <w:sz w:val="28"/>
          <w:szCs w:val="28"/>
          <w:lang w:val="en-US" w:eastAsia="zh-CN"/>
        </w:rPr>
        <w:t xml:space="preserve">            　     2024年10月29日印发</w:t>
      </w:r>
    </w:p>
    <w:sectPr>
      <w:headerReference r:id="rId3" w:type="default"/>
      <w:footerReference r:id="rId4" w:type="default"/>
      <w:pgSz w:w="11906" w:h="16838"/>
      <w:pgMar w:top="1701" w:right="1531" w:bottom="1985" w:left="1531"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roma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MingLiU">
    <w:altName w:val="方正书宋_GBK"/>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519BF">
    <w:pPr>
      <w:pStyle w:val="11"/>
      <w:framePr w:wrap="around" w:vAnchor="text" w:hAnchor="margin" w:xAlign="outside" w:y="1"/>
      <w:rPr>
        <w:rStyle w:val="21"/>
        <w:rFonts w:hint="eastAsia" w:ascii="宋体" w:hAnsi="宋体"/>
        <w:sz w:val="28"/>
        <w:szCs w:val="28"/>
      </w:rPr>
    </w:pPr>
    <w:r>
      <w:rPr>
        <w:rStyle w:val="21"/>
        <w:rFonts w:hint="eastAsia" w:ascii="宋体" w:hAnsi="宋体"/>
        <w:sz w:val="28"/>
        <w:szCs w:val="28"/>
      </w:rPr>
      <w:t xml:space="preserve">— </w:t>
    </w: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2</w:t>
    </w:r>
    <w:r>
      <w:rPr>
        <w:rStyle w:val="21"/>
        <w:rFonts w:ascii="宋体" w:hAnsi="宋体"/>
        <w:sz w:val="28"/>
        <w:szCs w:val="28"/>
      </w:rPr>
      <w:fldChar w:fldCharType="end"/>
    </w:r>
    <w:r>
      <w:rPr>
        <w:rStyle w:val="21"/>
        <w:rFonts w:hint="eastAsia" w:ascii="宋体" w:hAnsi="宋体"/>
        <w:sz w:val="28"/>
        <w:szCs w:val="28"/>
      </w:rPr>
      <w:t xml:space="preserve"> —</w:t>
    </w:r>
  </w:p>
  <w:p w14:paraId="7CFB9CEB">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E285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231B0"/>
    <w:multiLevelType w:val="multilevel"/>
    <w:tmpl w:val="DB4231B0"/>
    <w:lvl w:ilvl="0" w:tentative="0">
      <w:start w:val="1"/>
      <w:numFmt w:val="decimal"/>
      <w:pStyle w:val="3"/>
      <w:suff w:val="space"/>
      <w:lvlText w:val="第%1章"/>
      <w:lvlJc w:val="left"/>
      <w:pPr>
        <w:tabs>
          <w:tab w:val="left" w:pos="0"/>
        </w:tabs>
        <w:ind w:left="972" w:hanging="432"/>
      </w:pPr>
      <w:rPr>
        <w:rFonts w:hint="default" w:ascii="黑体" w:eastAsia="黑体"/>
        <w:sz w:val="32"/>
        <w:szCs w:val="32"/>
      </w:rPr>
    </w:lvl>
    <w:lvl w:ilvl="1" w:tentative="0">
      <w:start w:val="1"/>
      <w:numFmt w:val="decimal"/>
      <w:suff w:val="space"/>
      <w:lvlText w:val="%1.%2"/>
      <w:lvlJc w:val="left"/>
      <w:pPr>
        <w:ind w:left="4828" w:hanging="576"/>
      </w:pPr>
      <w:rPr>
        <w:rFonts w:hint="eastAsia" w:ascii="黑体" w:eastAsia="黑体"/>
        <w:sz w:val="28"/>
        <w:szCs w:val="28"/>
      </w:rPr>
    </w:lvl>
    <w:lvl w:ilvl="2" w:tentative="0">
      <w:start w:val="1"/>
      <w:numFmt w:val="decimal"/>
      <w:suff w:val="space"/>
      <w:lvlText w:val="%1.%2.%3"/>
      <w:lvlJc w:val="left"/>
      <w:pPr>
        <w:ind w:left="720" w:hanging="720"/>
      </w:pPr>
      <w:rPr>
        <w:rFonts w:hint="eastAsia" w:ascii="黑体" w:hAnsi="宋体" w:eastAsia="黑体"/>
        <w:sz w:val="24"/>
        <w:szCs w:val="24"/>
      </w:rPr>
    </w:lvl>
    <w:lvl w:ilvl="3" w:tentative="0">
      <w:start w:val="1"/>
      <w:numFmt w:val="decimal"/>
      <w:suff w:val="space"/>
      <w:lvlText w:val="%1.%2.%3.%4"/>
      <w:lvlJc w:val="left"/>
      <w:pPr>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OTlmNDQzMGJlZjU2ZTBjYWEwYTQ0MTdhYmU1MWQifQ=="/>
  </w:docVars>
  <w:rsids>
    <w:rsidRoot w:val="00000000"/>
    <w:rsid w:val="001202BA"/>
    <w:rsid w:val="001E752A"/>
    <w:rsid w:val="002009D6"/>
    <w:rsid w:val="00247343"/>
    <w:rsid w:val="002B2835"/>
    <w:rsid w:val="003C5063"/>
    <w:rsid w:val="003E2FAD"/>
    <w:rsid w:val="003F2807"/>
    <w:rsid w:val="00403DF2"/>
    <w:rsid w:val="006F5442"/>
    <w:rsid w:val="00802807"/>
    <w:rsid w:val="00925D4E"/>
    <w:rsid w:val="0098342A"/>
    <w:rsid w:val="00A15065"/>
    <w:rsid w:val="00B60410"/>
    <w:rsid w:val="00BA5F5F"/>
    <w:rsid w:val="00BC3A1F"/>
    <w:rsid w:val="00C142C1"/>
    <w:rsid w:val="00C3377D"/>
    <w:rsid w:val="00DC31C3"/>
    <w:rsid w:val="0102159D"/>
    <w:rsid w:val="0116588F"/>
    <w:rsid w:val="012F41F1"/>
    <w:rsid w:val="01706BC2"/>
    <w:rsid w:val="017B7436"/>
    <w:rsid w:val="02136BC6"/>
    <w:rsid w:val="023B22E7"/>
    <w:rsid w:val="02783976"/>
    <w:rsid w:val="027849A0"/>
    <w:rsid w:val="02A923BB"/>
    <w:rsid w:val="031762EC"/>
    <w:rsid w:val="03196F07"/>
    <w:rsid w:val="03490A1B"/>
    <w:rsid w:val="03562FE3"/>
    <w:rsid w:val="037C6F4C"/>
    <w:rsid w:val="037E320E"/>
    <w:rsid w:val="03BD3D36"/>
    <w:rsid w:val="04497378"/>
    <w:rsid w:val="04604C2D"/>
    <w:rsid w:val="04641BE5"/>
    <w:rsid w:val="04AB0032"/>
    <w:rsid w:val="04C8347A"/>
    <w:rsid w:val="04E35A1E"/>
    <w:rsid w:val="04EB163F"/>
    <w:rsid w:val="05155E9C"/>
    <w:rsid w:val="051C2E0D"/>
    <w:rsid w:val="05200439"/>
    <w:rsid w:val="052168E6"/>
    <w:rsid w:val="053022E6"/>
    <w:rsid w:val="053578FC"/>
    <w:rsid w:val="05872BAE"/>
    <w:rsid w:val="05AF7EEB"/>
    <w:rsid w:val="05BF2E95"/>
    <w:rsid w:val="061A5470"/>
    <w:rsid w:val="06530982"/>
    <w:rsid w:val="06BB7E5E"/>
    <w:rsid w:val="06C3103F"/>
    <w:rsid w:val="07866B35"/>
    <w:rsid w:val="07B74F40"/>
    <w:rsid w:val="07FE9864"/>
    <w:rsid w:val="08145EEF"/>
    <w:rsid w:val="08AB6853"/>
    <w:rsid w:val="08AF0B19"/>
    <w:rsid w:val="09137F54"/>
    <w:rsid w:val="09246605"/>
    <w:rsid w:val="0955056D"/>
    <w:rsid w:val="09A65DDE"/>
    <w:rsid w:val="09DC6722"/>
    <w:rsid w:val="09DE0562"/>
    <w:rsid w:val="0A067AB9"/>
    <w:rsid w:val="0A1641A0"/>
    <w:rsid w:val="0A467A44"/>
    <w:rsid w:val="0A7E1D45"/>
    <w:rsid w:val="0A8A2DEC"/>
    <w:rsid w:val="0AED7AD8"/>
    <w:rsid w:val="0B1B1342"/>
    <w:rsid w:val="0B2B7619"/>
    <w:rsid w:val="0B3B77D7"/>
    <w:rsid w:val="0C6A2581"/>
    <w:rsid w:val="0C7927C4"/>
    <w:rsid w:val="0CB952B6"/>
    <w:rsid w:val="0CD143AE"/>
    <w:rsid w:val="0CF478F9"/>
    <w:rsid w:val="0D5F5025"/>
    <w:rsid w:val="0DBA2892"/>
    <w:rsid w:val="0E1A3B33"/>
    <w:rsid w:val="0E2872A6"/>
    <w:rsid w:val="0E43752E"/>
    <w:rsid w:val="0E725CFA"/>
    <w:rsid w:val="0ECC63BA"/>
    <w:rsid w:val="0EDB7766"/>
    <w:rsid w:val="0EF5379F"/>
    <w:rsid w:val="0F2C7FC2"/>
    <w:rsid w:val="0FD64FB0"/>
    <w:rsid w:val="106E01BE"/>
    <w:rsid w:val="10BD6140"/>
    <w:rsid w:val="10D73F5D"/>
    <w:rsid w:val="11290C5D"/>
    <w:rsid w:val="11601B94"/>
    <w:rsid w:val="11E85E51"/>
    <w:rsid w:val="1202500A"/>
    <w:rsid w:val="122D2087"/>
    <w:rsid w:val="1235718D"/>
    <w:rsid w:val="123D62D8"/>
    <w:rsid w:val="126F08F1"/>
    <w:rsid w:val="135B70C7"/>
    <w:rsid w:val="13A14CD3"/>
    <w:rsid w:val="13C17A19"/>
    <w:rsid w:val="13DC6937"/>
    <w:rsid w:val="1425464B"/>
    <w:rsid w:val="147A4062"/>
    <w:rsid w:val="150A66AF"/>
    <w:rsid w:val="15107A3E"/>
    <w:rsid w:val="152B041F"/>
    <w:rsid w:val="152F25BA"/>
    <w:rsid w:val="15316332"/>
    <w:rsid w:val="15475B55"/>
    <w:rsid w:val="15B04200"/>
    <w:rsid w:val="15E50EB8"/>
    <w:rsid w:val="15EE6035"/>
    <w:rsid w:val="16380F13"/>
    <w:rsid w:val="164D5520"/>
    <w:rsid w:val="1761165C"/>
    <w:rsid w:val="17A728DB"/>
    <w:rsid w:val="17C50FB3"/>
    <w:rsid w:val="17D5369B"/>
    <w:rsid w:val="17E55369"/>
    <w:rsid w:val="18005ACC"/>
    <w:rsid w:val="18362A3B"/>
    <w:rsid w:val="188D1AD1"/>
    <w:rsid w:val="18D9099E"/>
    <w:rsid w:val="192501A9"/>
    <w:rsid w:val="1950250C"/>
    <w:rsid w:val="195132C8"/>
    <w:rsid w:val="19742C91"/>
    <w:rsid w:val="1977452F"/>
    <w:rsid w:val="19B62DDE"/>
    <w:rsid w:val="1A2F64A6"/>
    <w:rsid w:val="1A4C5C59"/>
    <w:rsid w:val="1AB7427D"/>
    <w:rsid w:val="1B8F5B60"/>
    <w:rsid w:val="1C250273"/>
    <w:rsid w:val="1C2509C6"/>
    <w:rsid w:val="1C694603"/>
    <w:rsid w:val="1D050E4A"/>
    <w:rsid w:val="1D091942"/>
    <w:rsid w:val="1DB23D88"/>
    <w:rsid w:val="1DF94EE2"/>
    <w:rsid w:val="1F43738D"/>
    <w:rsid w:val="1F4B7FF0"/>
    <w:rsid w:val="1FA45268"/>
    <w:rsid w:val="1FBA2C56"/>
    <w:rsid w:val="1FF70B16"/>
    <w:rsid w:val="202C6073"/>
    <w:rsid w:val="204011A4"/>
    <w:rsid w:val="207F3560"/>
    <w:rsid w:val="20937EA1"/>
    <w:rsid w:val="20A26336"/>
    <w:rsid w:val="20A71F15"/>
    <w:rsid w:val="20D14525"/>
    <w:rsid w:val="211C60E8"/>
    <w:rsid w:val="212E63F4"/>
    <w:rsid w:val="21345766"/>
    <w:rsid w:val="21B04A82"/>
    <w:rsid w:val="21BC01C5"/>
    <w:rsid w:val="21EC3348"/>
    <w:rsid w:val="220821C8"/>
    <w:rsid w:val="226300F4"/>
    <w:rsid w:val="228E5B99"/>
    <w:rsid w:val="23131E93"/>
    <w:rsid w:val="237B1C1A"/>
    <w:rsid w:val="2393640A"/>
    <w:rsid w:val="2425342B"/>
    <w:rsid w:val="25332BBA"/>
    <w:rsid w:val="25516CFC"/>
    <w:rsid w:val="25A83C0F"/>
    <w:rsid w:val="26097353"/>
    <w:rsid w:val="261721C3"/>
    <w:rsid w:val="263A2B6C"/>
    <w:rsid w:val="2644442D"/>
    <w:rsid w:val="26EA00EF"/>
    <w:rsid w:val="26EF1BA9"/>
    <w:rsid w:val="26F7280B"/>
    <w:rsid w:val="2701028C"/>
    <w:rsid w:val="2705317A"/>
    <w:rsid w:val="279623B0"/>
    <w:rsid w:val="27A26C1B"/>
    <w:rsid w:val="27E866A5"/>
    <w:rsid w:val="27F9A4AE"/>
    <w:rsid w:val="286E4D4F"/>
    <w:rsid w:val="288F719F"/>
    <w:rsid w:val="28CA467C"/>
    <w:rsid w:val="29284868"/>
    <w:rsid w:val="29626662"/>
    <w:rsid w:val="297D10CF"/>
    <w:rsid w:val="298911FC"/>
    <w:rsid w:val="2A510485"/>
    <w:rsid w:val="2A9767DF"/>
    <w:rsid w:val="2AFE07E4"/>
    <w:rsid w:val="2B876854"/>
    <w:rsid w:val="2BBD39BC"/>
    <w:rsid w:val="2C207C14"/>
    <w:rsid w:val="2C291503"/>
    <w:rsid w:val="2CB30C49"/>
    <w:rsid w:val="2CEEC469"/>
    <w:rsid w:val="2D3C6114"/>
    <w:rsid w:val="2D5B1D46"/>
    <w:rsid w:val="2D6055AE"/>
    <w:rsid w:val="2EB931C8"/>
    <w:rsid w:val="2FA84FEB"/>
    <w:rsid w:val="30DD6F16"/>
    <w:rsid w:val="31244B45"/>
    <w:rsid w:val="317168C1"/>
    <w:rsid w:val="31AD4B3A"/>
    <w:rsid w:val="31CD2AE7"/>
    <w:rsid w:val="31F9369D"/>
    <w:rsid w:val="322916B6"/>
    <w:rsid w:val="32513718"/>
    <w:rsid w:val="32AE7E18"/>
    <w:rsid w:val="32BA057B"/>
    <w:rsid w:val="32CC1FE1"/>
    <w:rsid w:val="33134E71"/>
    <w:rsid w:val="333252F7"/>
    <w:rsid w:val="33385898"/>
    <w:rsid w:val="33572FB0"/>
    <w:rsid w:val="335A484E"/>
    <w:rsid w:val="33744424"/>
    <w:rsid w:val="33857B1D"/>
    <w:rsid w:val="33A53D1B"/>
    <w:rsid w:val="33B3152B"/>
    <w:rsid w:val="33D47543"/>
    <w:rsid w:val="33E74334"/>
    <w:rsid w:val="33FB02B5"/>
    <w:rsid w:val="34076784"/>
    <w:rsid w:val="340D3949"/>
    <w:rsid w:val="34282ACF"/>
    <w:rsid w:val="345532F9"/>
    <w:rsid w:val="34DA5C46"/>
    <w:rsid w:val="34EB46A1"/>
    <w:rsid w:val="34F37F95"/>
    <w:rsid w:val="359B3200"/>
    <w:rsid w:val="35B75F88"/>
    <w:rsid w:val="35E306B7"/>
    <w:rsid w:val="36962041"/>
    <w:rsid w:val="36E120F6"/>
    <w:rsid w:val="37054AD1"/>
    <w:rsid w:val="371A0673"/>
    <w:rsid w:val="371D62BE"/>
    <w:rsid w:val="37C00FEA"/>
    <w:rsid w:val="37C67478"/>
    <w:rsid w:val="37CE371D"/>
    <w:rsid w:val="37F52D97"/>
    <w:rsid w:val="37FD31E8"/>
    <w:rsid w:val="38210DB4"/>
    <w:rsid w:val="383F3B26"/>
    <w:rsid w:val="38685317"/>
    <w:rsid w:val="38794C9E"/>
    <w:rsid w:val="38A5656B"/>
    <w:rsid w:val="38B51CDE"/>
    <w:rsid w:val="38E1218C"/>
    <w:rsid w:val="38EA6674"/>
    <w:rsid w:val="392B2900"/>
    <w:rsid w:val="39842625"/>
    <w:rsid w:val="39A04C8F"/>
    <w:rsid w:val="39A36C79"/>
    <w:rsid w:val="39F75ABE"/>
    <w:rsid w:val="3A3C334E"/>
    <w:rsid w:val="3A4F4D7F"/>
    <w:rsid w:val="3A571AE7"/>
    <w:rsid w:val="3AB91212"/>
    <w:rsid w:val="3AEDB91B"/>
    <w:rsid w:val="3B4B1025"/>
    <w:rsid w:val="3B8B1A48"/>
    <w:rsid w:val="3BE679C6"/>
    <w:rsid w:val="3BED2703"/>
    <w:rsid w:val="3BFF1525"/>
    <w:rsid w:val="3C344F48"/>
    <w:rsid w:val="3C3F0A85"/>
    <w:rsid w:val="3C673A07"/>
    <w:rsid w:val="3C805325"/>
    <w:rsid w:val="3CE62C60"/>
    <w:rsid w:val="3D406863"/>
    <w:rsid w:val="3DBE75F1"/>
    <w:rsid w:val="3DEB7868"/>
    <w:rsid w:val="3EAB0813"/>
    <w:rsid w:val="3EBE0387"/>
    <w:rsid w:val="3EBF0199"/>
    <w:rsid w:val="3F077B19"/>
    <w:rsid w:val="3F204B9E"/>
    <w:rsid w:val="3FB457A2"/>
    <w:rsid w:val="3FC92B3F"/>
    <w:rsid w:val="3FEE25A6"/>
    <w:rsid w:val="3FFD06EA"/>
    <w:rsid w:val="3FFF36F9"/>
    <w:rsid w:val="400C3625"/>
    <w:rsid w:val="402406BD"/>
    <w:rsid w:val="40324B88"/>
    <w:rsid w:val="408E20F6"/>
    <w:rsid w:val="40A86BF9"/>
    <w:rsid w:val="41232723"/>
    <w:rsid w:val="413C26ED"/>
    <w:rsid w:val="41B94E35"/>
    <w:rsid w:val="41FF0753"/>
    <w:rsid w:val="421B33FA"/>
    <w:rsid w:val="42AE24C0"/>
    <w:rsid w:val="42BE0955"/>
    <w:rsid w:val="42D71A17"/>
    <w:rsid w:val="43193DDE"/>
    <w:rsid w:val="436037BB"/>
    <w:rsid w:val="43B3534F"/>
    <w:rsid w:val="442E425D"/>
    <w:rsid w:val="4441183E"/>
    <w:rsid w:val="446D5BC0"/>
    <w:rsid w:val="447651C4"/>
    <w:rsid w:val="44FF0DB1"/>
    <w:rsid w:val="45244CBC"/>
    <w:rsid w:val="45437B07"/>
    <w:rsid w:val="4566491D"/>
    <w:rsid w:val="456926CF"/>
    <w:rsid w:val="45C00C37"/>
    <w:rsid w:val="45E002ED"/>
    <w:rsid w:val="45FB56DB"/>
    <w:rsid w:val="46611235"/>
    <w:rsid w:val="46895B79"/>
    <w:rsid w:val="473E02B7"/>
    <w:rsid w:val="47411B55"/>
    <w:rsid w:val="47B32F81"/>
    <w:rsid w:val="48050DD4"/>
    <w:rsid w:val="4812704D"/>
    <w:rsid w:val="484511D1"/>
    <w:rsid w:val="48D013E2"/>
    <w:rsid w:val="49042E3A"/>
    <w:rsid w:val="490B75D5"/>
    <w:rsid w:val="491C63D6"/>
    <w:rsid w:val="4988722B"/>
    <w:rsid w:val="499248EA"/>
    <w:rsid w:val="49ED7A7E"/>
    <w:rsid w:val="49FB193F"/>
    <w:rsid w:val="4A286FFC"/>
    <w:rsid w:val="4A3459A1"/>
    <w:rsid w:val="4A477482"/>
    <w:rsid w:val="4A791606"/>
    <w:rsid w:val="4A842484"/>
    <w:rsid w:val="4A961C9E"/>
    <w:rsid w:val="4AF34F14"/>
    <w:rsid w:val="4AF61407"/>
    <w:rsid w:val="4B3612A5"/>
    <w:rsid w:val="4B9A4D16"/>
    <w:rsid w:val="4BA24F39"/>
    <w:rsid w:val="4BB52B12"/>
    <w:rsid w:val="4C6267F5"/>
    <w:rsid w:val="4CC4300C"/>
    <w:rsid w:val="4D106251"/>
    <w:rsid w:val="4D550108"/>
    <w:rsid w:val="4D616AAD"/>
    <w:rsid w:val="4DC4703C"/>
    <w:rsid w:val="4DD63598"/>
    <w:rsid w:val="4E035DB6"/>
    <w:rsid w:val="4E12250E"/>
    <w:rsid w:val="4E3B72FE"/>
    <w:rsid w:val="4E593C28"/>
    <w:rsid w:val="4E597784"/>
    <w:rsid w:val="4E661EA1"/>
    <w:rsid w:val="4E804B84"/>
    <w:rsid w:val="4E81291C"/>
    <w:rsid w:val="4ED97782"/>
    <w:rsid w:val="4EF15C0F"/>
    <w:rsid w:val="4F3B64F7"/>
    <w:rsid w:val="4F5733FF"/>
    <w:rsid w:val="4F8C48CB"/>
    <w:rsid w:val="4FDFF28C"/>
    <w:rsid w:val="50050302"/>
    <w:rsid w:val="5032028D"/>
    <w:rsid w:val="50A54F03"/>
    <w:rsid w:val="50CF7D2C"/>
    <w:rsid w:val="50E03393"/>
    <w:rsid w:val="51415764"/>
    <w:rsid w:val="51932FAD"/>
    <w:rsid w:val="51A972D7"/>
    <w:rsid w:val="51BB311B"/>
    <w:rsid w:val="51BE02C1"/>
    <w:rsid w:val="51D75590"/>
    <w:rsid w:val="523E560F"/>
    <w:rsid w:val="531C3E18"/>
    <w:rsid w:val="533478FA"/>
    <w:rsid w:val="54041F40"/>
    <w:rsid w:val="54134879"/>
    <w:rsid w:val="54501629"/>
    <w:rsid w:val="54521C9F"/>
    <w:rsid w:val="548B440F"/>
    <w:rsid w:val="54B11C7B"/>
    <w:rsid w:val="54B37BC9"/>
    <w:rsid w:val="54BA7B1F"/>
    <w:rsid w:val="550266DC"/>
    <w:rsid w:val="55124B31"/>
    <w:rsid w:val="551D1A1F"/>
    <w:rsid w:val="552F56E3"/>
    <w:rsid w:val="55334C55"/>
    <w:rsid w:val="553817DB"/>
    <w:rsid w:val="554D5B69"/>
    <w:rsid w:val="55753A7D"/>
    <w:rsid w:val="558A5092"/>
    <w:rsid w:val="55D14FAD"/>
    <w:rsid w:val="55F54236"/>
    <w:rsid w:val="56192E84"/>
    <w:rsid w:val="56226FF5"/>
    <w:rsid w:val="56821842"/>
    <w:rsid w:val="573921B9"/>
    <w:rsid w:val="577D0987"/>
    <w:rsid w:val="57984A54"/>
    <w:rsid w:val="57DE0CFA"/>
    <w:rsid w:val="57EA1456"/>
    <w:rsid w:val="58073D98"/>
    <w:rsid w:val="58572B49"/>
    <w:rsid w:val="5884339E"/>
    <w:rsid w:val="58AB5546"/>
    <w:rsid w:val="58C16652"/>
    <w:rsid w:val="593A6404"/>
    <w:rsid w:val="59741B73"/>
    <w:rsid w:val="59833DD4"/>
    <w:rsid w:val="59DA33EA"/>
    <w:rsid w:val="59E52814"/>
    <w:rsid w:val="59F41D47"/>
    <w:rsid w:val="59FF9407"/>
    <w:rsid w:val="5A2C0443"/>
    <w:rsid w:val="5A2E41BB"/>
    <w:rsid w:val="5AA61FA3"/>
    <w:rsid w:val="5ACE63A1"/>
    <w:rsid w:val="5AE94654"/>
    <w:rsid w:val="5AEFF490"/>
    <w:rsid w:val="5B0A0784"/>
    <w:rsid w:val="5B157129"/>
    <w:rsid w:val="5B1B05DB"/>
    <w:rsid w:val="5B2D4472"/>
    <w:rsid w:val="5B4812AC"/>
    <w:rsid w:val="5B857E0A"/>
    <w:rsid w:val="5BA02E12"/>
    <w:rsid w:val="5BE865EB"/>
    <w:rsid w:val="5C82434A"/>
    <w:rsid w:val="5C8BBE9A"/>
    <w:rsid w:val="5CAF5E92"/>
    <w:rsid w:val="5CD66444"/>
    <w:rsid w:val="5CDA23D8"/>
    <w:rsid w:val="5CEF4766"/>
    <w:rsid w:val="5D041203"/>
    <w:rsid w:val="5D6F2B20"/>
    <w:rsid w:val="5DB9023F"/>
    <w:rsid w:val="5DCA12D5"/>
    <w:rsid w:val="5E03770C"/>
    <w:rsid w:val="5E6A32E8"/>
    <w:rsid w:val="5E885FA6"/>
    <w:rsid w:val="5E913C02"/>
    <w:rsid w:val="5EBA601D"/>
    <w:rsid w:val="5EBF7F26"/>
    <w:rsid w:val="5EFD3352"/>
    <w:rsid w:val="5F351B48"/>
    <w:rsid w:val="5FF72D73"/>
    <w:rsid w:val="6070530C"/>
    <w:rsid w:val="60824919"/>
    <w:rsid w:val="60AE1BB1"/>
    <w:rsid w:val="60C74A21"/>
    <w:rsid w:val="612754C0"/>
    <w:rsid w:val="6138571A"/>
    <w:rsid w:val="61447FAF"/>
    <w:rsid w:val="61554044"/>
    <w:rsid w:val="6162587E"/>
    <w:rsid w:val="616351D0"/>
    <w:rsid w:val="61730705"/>
    <w:rsid w:val="61AE524A"/>
    <w:rsid w:val="61F907B2"/>
    <w:rsid w:val="620677CB"/>
    <w:rsid w:val="625C216F"/>
    <w:rsid w:val="626B762E"/>
    <w:rsid w:val="629372B1"/>
    <w:rsid w:val="62957C63"/>
    <w:rsid w:val="62A824B4"/>
    <w:rsid w:val="634A3C26"/>
    <w:rsid w:val="634B7B8C"/>
    <w:rsid w:val="63AB4186"/>
    <w:rsid w:val="63CA0FE9"/>
    <w:rsid w:val="641A755E"/>
    <w:rsid w:val="643827D9"/>
    <w:rsid w:val="64E77440"/>
    <w:rsid w:val="654E319D"/>
    <w:rsid w:val="659D0447"/>
    <w:rsid w:val="65BD2897"/>
    <w:rsid w:val="65E6594A"/>
    <w:rsid w:val="66BE68C6"/>
    <w:rsid w:val="66F13BC4"/>
    <w:rsid w:val="675170DC"/>
    <w:rsid w:val="675B0E5D"/>
    <w:rsid w:val="677376B1"/>
    <w:rsid w:val="678216A2"/>
    <w:rsid w:val="678E44EB"/>
    <w:rsid w:val="67CE0D8B"/>
    <w:rsid w:val="67CEFF0F"/>
    <w:rsid w:val="67DA7730"/>
    <w:rsid w:val="682F3996"/>
    <w:rsid w:val="683F57E5"/>
    <w:rsid w:val="68412115"/>
    <w:rsid w:val="68464DC5"/>
    <w:rsid w:val="685A0DD1"/>
    <w:rsid w:val="687234C5"/>
    <w:rsid w:val="68F67930"/>
    <w:rsid w:val="69102C35"/>
    <w:rsid w:val="69667FCC"/>
    <w:rsid w:val="6997579D"/>
    <w:rsid w:val="6A154BF8"/>
    <w:rsid w:val="6A2151A2"/>
    <w:rsid w:val="6A31478C"/>
    <w:rsid w:val="6A570BC4"/>
    <w:rsid w:val="6ACD16BE"/>
    <w:rsid w:val="6AE46427"/>
    <w:rsid w:val="6AF15F5D"/>
    <w:rsid w:val="6C8B0FF9"/>
    <w:rsid w:val="6CF50B68"/>
    <w:rsid w:val="6D142D9C"/>
    <w:rsid w:val="6D2366DE"/>
    <w:rsid w:val="6D456D66"/>
    <w:rsid w:val="6D57712D"/>
    <w:rsid w:val="6D594C53"/>
    <w:rsid w:val="6D5C2995"/>
    <w:rsid w:val="6D844F89"/>
    <w:rsid w:val="6DA00AD4"/>
    <w:rsid w:val="6E0472B5"/>
    <w:rsid w:val="6E414D5E"/>
    <w:rsid w:val="6E565636"/>
    <w:rsid w:val="6E5B6DC1"/>
    <w:rsid w:val="6E62222D"/>
    <w:rsid w:val="6E851A78"/>
    <w:rsid w:val="6EC631CC"/>
    <w:rsid w:val="6ECD3B4B"/>
    <w:rsid w:val="6ED30613"/>
    <w:rsid w:val="6EDE5008"/>
    <w:rsid w:val="6EF221DC"/>
    <w:rsid w:val="6F392F8E"/>
    <w:rsid w:val="6F6A27DB"/>
    <w:rsid w:val="6FB46AB9"/>
    <w:rsid w:val="6FC30AAA"/>
    <w:rsid w:val="6FCC795E"/>
    <w:rsid w:val="6FDD6635"/>
    <w:rsid w:val="70294DB1"/>
    <w:rsid w:val="70CF77C1"/>
    <w:rsid w:val="70E60EF4"/>
    <w:rsid w:val="70F74EAF"/>
    <w:rsid w:val="713049DF"/>
    <w:rsid w:val="714D2D21"/>
    <w:rsid w:val="717C7162"/>
    <w:rsid w:val="720C498A"/>
    <w:rsid w:val="725A3947"/>
    <w:rsid w:val="726E2F4F"/>
    <w:rsid w:val="72D82ABE"/>
    <w:rsid w:val="72EB0A43"/>
    <w:rsid w:val="73261A7B"/>
    <w:rsid w:val="733B3EC8"/>
    <w:rsid w:val="737A5923"/>
    <w:rsid w:val="73B54BAD"/>
    <w:rsid w:val="73DD7A5D"/>
    <w:rsid w:val="73F43927"/>
    <w:rsid w:val="7448687E"/>
    <w:rsid w:val="747F61D2"/>
    <w:rsid w:val="74A0585D"/>
    <w:rsid w:val="74C115E5"/>
    <w:rsid w:val="74C94DB4"/>
    <w:rsid w:val="74DA8F6C"/>
    <w:rsid w:val="74E5D026"/>
    <w:rsid w:val="751A73BE"/>
    <w:rsid w:val="75812F99"/>
    <w:rsid w:val="75BC6DE2"/>
    <w:rsid w:val="75ED062E"/>
    <w:rsid w:val="760B4F58"/>
    <w:rsid w:val="76147EED"/>
    <w:rsid w:val="76261D92"/>
    <w:rsid w:val="762878B8"/>
    <w:rsid w:val="764C17F9"/>
    <w:rsid w:val="767174B1"/>
    <w:rsid w:val="76733229"/>
    <w:rsid w:val="76C9109B"/>
    <w:rsid w:val="76F11697"/>
    <w:rsid w:val="774E44A8"/>
    <w:rsid w:val="77853166"/>
    <w:rsid w:val="77A5716A"/>
    <w:rsid w:val="77B90264"/>
    <w:rsid w:val="77BF6C86"/>
    <w:rsid w:val="77D726AA"/>
    <w:rsid w:val="781C344D"/>
    <w:rsid w:val="78A31478"/>
    <w:rsid w:val="79164340"/>
    <w:rsid w:val="79A27982"/>
    <w:rsid w:val="79A33E26"/>
    <w:rsid w:val="79BC6C95"/>
    <w:rsid w:val="79DA711C"/>
    <w:rsid w:val="79E95064"/>
    <w:rsid w:val="7A1F3EE0"/>
    <w:rsid w:val="7A462A03"/>
    <w:rsid w:val="7A527768"/>
    <w:rsid w:val="7A583B2A"/>
    <w:rsid w:val="7A666C01"/>
    <w:rsid w:val="7AC1402C"/>
    <w:rsid w:val="7ACC6825"/>
    <w:rsid w:val="7B22521E"/>
    <w:rsid w:val="7B61574C"/>
    <w:rsid w:val="7BA33F17"/>
    <w:rsid w:val="7BB31275"/>
    <w:rsid w:val="7BE459A2"/>
    <w:rsid w:val="7C01687E"/>
    <w:rsid w:val="7C181F3F"/>
    <w:rsid w:val="7C441547"/>
    <w:rsid w:val="7CDD7957"/>
    <w:rsid w:val="7CF91FAF"/>
    <w:rsid w:val="7CFE01F6"/>
    <w:rsid w:val="7DFF721F"/>
    <w:rsid w:val="7E17093E"/>
    <w:rsid w:val="7E2D0898"/>
    <w:rsid w:val="7EC62364"/>
    <w:rsid w:val="7EE46FE3"/>
    <w:rsid w:val="7EF862DF"/>
    <w:rsid w:val="7EFE1314"/>
    <w:rsid w:val="7F08472B"/>
    <w:rsid w:val="7F341025"/>
    <w:rsid w:val="7F985AAF"/>
    <w:rsid w:val="7FAB18CC"/>
    <w:rsid w:val="7FAF2DF8"/>
    <w:rsid w:val="7FBC6B2A"/>
    <w:rsid w:val="7FFBA4ED"/>
    <w:rsid w:val="7FFF4D33"/>
    <w:rsid w:val="7FFF8C0F"/>
    <w:rsid w:val="7FFFFC58"/>
    <w:rsid w:val="889221C3"/>
    <w:rsid w:val="9FEEE0C6"/>
    <w:rsid w:val="B7D40BC6"/>
    <w:rsid w:val="B97F0772"/>
    <w:rsid w:val="BBFF595A"/>
    <w:rsid w:val="BEFEDD2D"/>
    <w:rsid w:val="BEFEFFB0"/>
    <w:rsid w:val="BFFC7446"/>
    <w:rsid w:val="C5FDF9DC"/>
    <w:rsid w:val="CAB22DC1"/>
    <w:rsid w:val="D39FA709"/>
    <w:rsid w:val="D5FF8E90"/>
    <w:rsid w:val="D7B72B16"/>
    <w:rsid w:val="D7DFCEDB"/>
    <w:rsid w:val="DBBD357A"/>
    <w:rsid w:val="DC2BEA57"/>
    <w:rsid w:val="DFEF1477"/>
    <w:rsid w:val="DFFADE92"/>
    <w:rsid w:val="E7FBE0BA"/>
    <w:rsid w:val="E7FF7E79"/>
    <w:rsid w:val="EC8B53DB"/>
    <w:rsid w:val="EFF5F07E"/>
    <w:rsid w:val="F3FD7897"/>
    <w:rsid w:val="F75E230E"/>
    <w:rsid w:val="F77F8BF0"/>
    <w:rsid w:val="F7874A8F"/>
    <w:rsid w:val="F7D3A254"/>
    <w:rsid w:val="F9E3A5FB"/>
    <w:rsid w:val="FAD6C86F"/>
    <w:rsid w:val="FB1F8CCD"/>
    <w:rsid w:val="FBE7BC11"/>
    <w:rsid w:val="FCAD55FF"/>
    <w:rsid w:val="FCE231C8"/>
    <w:rsid w:val="FDEF1380"/>
    <w:rsid w:val="FE7FD425"/>
    <w:rsid w:val="FF9F18AD"/>
    <w:rsid w:val="FFA64815"/>
    <w:rsid w:val="FFAA79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tabs>
        <w:tab w:val="left" w:pos="420"/>
        <w:tab w:val="clear" w:pos="0"/>
      </w:tabs>
      <w:adjustRightInd/>
      <w:spacing w:before="340" w:beforeAutospacing="0" w:after="330" w:afterAutospacing="0" w:line="360" w:lineRule="auto"/>
      <w:ind w:left="0" w:firstLine="0" w:firstLineChars="0"/>
      <w:jc w:val="left"/>
      <w:outlineLvl w:val="0"/>
    </w:pPr>
    <w:rPr>
      <w:rFonts w:ascii="Times New Roman" w:hAnsi="Times New Roman" w:eastAsia="黑体"/>
      <w:b/>
      <w:kern w:val="44"/>
      <w:sz w:val="32"/>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1"/>
    <w:pPr>
      <w:ind w:left="1122"/>
      <w:outlineLvl w:val="2"/>
    </w:pPr>
    <w:rPr>
      <w:rFonts w:eastAsia="宋体" w:cs="Times New Roman"/>
      <w:b/>
      <w:bCs/>
      <w:sz w:val="30"/>
      <w:szCs w:val="3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before="100" w:beforeAutospacing="1" w:line="360" w:lineRule="auto"/>
      <w:ind w:firstLine="1040" w:firstLineChars="200"/>
    </w:pPr>
    <w:rPr>
      <w:sz w:val="24"/>
    </w:rPr>
  </w:style>
  <w:style w:type="paragraph" w:styleId="6">
    <w:name w:val="Normal Indent"/>
    <w:basedOn w:val="1"/>
    <w:qFormat/>
    <w:uiPriority w:val="0"/>
    <w:pPr>
      <w:ind w:firstLine="420" w:firstLineChars="200"/>
    </w:pPr>
    <w:rPr>
      <w:rFonts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99"/>
    <w:rPr>
      <w:rFonts w:ascii="Arial" w:hAnsi="Arial" w:eastAsia="Arial" w:cs="Arial"/>
      <w:sz w:val="21"/>
      <w:szCs w:val="21"/>
      <w:lang w:val="en-US" w:eastAsia="en-US" w:bidi="ar-SA"/>
    </w:rPr>
  </w:style>
  <w:style w:type="paragraph" w:styleId="9">
    <w:name w:val="toc 2"/>
    <w:basedOn w:val="1"/>
    <w:next w:val="1"/>
    <w:qFormat/>
    <w:uiPriority w:val="0"/>
    <w:pPr>
      <w:ind w:left="420" w:leftChars="200"/>
    </w:pPr>
    <w:rPr>
      <w:rFonts w:eastAsia="黑体" w:cs="Times New Roman"/>
    </w:rPr>
  </w:style>
  <w:style w:type="paragraph" w:styleId="10">
    <w:name w:val="Body Text Indent"/>
    <w:basedOn w:val="1"/>
    <w:qFormat/>
    <w:uiPriority w:val="0"/>
    <w:pPr>
      <w:tabs>
        <w:tab w:val="left" w:pos="735"/>
      </w:tabs>
      <w:spacing w:line="360" w:lineRule="auto"/>
      <w:ind w:firstLine="480" w:firstLineChars="200"/>
    </w:pPr>
    <w:rPr>
      <w:rFonts w:ascii="宋体" w:hAnsi="宋体" w:eastAsia="宋体" w:cs="Times New Roman"/>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eastAsia="宋体" w:cs="Times New Roman"/>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snapToGrid w:val="0"/>
    </w:pPr>
    <w:rPr>
      <w:rFonts w:ascii="Times New Roman" w:hAnsi="Times New Roman" w:eastAsia="宋体" w:cs="Times New Roman"/>
      <w:sz w:val="18"/>
      <w:szCs w:val="1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Title"/>
    <w:basedOn w:val="1"/>
    <w:next w:val="1"/>
    <w:qFormat/>
    <w:uiPriority w:val="99"/>
    <w:pPr>
      <w:spacing w:before="240" w:after="60"/>
      <w:outlineLvl w:val="0"/>
    </w:pPr>
    <w:rPr>
      <w:rFonts w:ascii="Calibri Light" w:hAnsi="Calibri Light" w:eastAsia="宋体" w:cs="Times New Roman"/>
      <w:bCs/>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rFonts w:ascii="Times New Roman" w:hAnsi="Times New Roman" w:eastAsia="宋体" w:cs="Times New Roman"/>
      <w:b/>
    </w:rPr>
  </w:style>
  <w:style w:type="character" w:styleId="21">
    <w:name w:val="page number"/>
    <w:basedOn w:val="19"/>
    <w:qFormat/>
    <w:uiPriority w:val="0"/>
  </w:style>
  <w:style w:type="character" w:styleId="22">
    <w:name w:val="FollowedHyperlink"/>
    <w:basedOn w:val="19"/>
    <w:qFormat/>
    <w:uiPriority w:val="0"/>
    <w:rPr>
      <w:rFonts w:ascii="Times New Roman" w:hAnsi="Times New Roman" w:eastAsia="宋体" w:cs="Times New Roman"/>
      <w:color w:val="000000"/>
      <w:u w:val="none"/>
    </w:rPr>
  </w:style>
  <w:style w:type="character" w:styleId="23">
    <w:name w:val="Hyperlink"/>
    <w:basedOn w:val="19"/>
    <w:qFormat/>
    <w:uiPriority w:val="0"/>
    <w:rPr>
      <w:rFonts w:ascii="Times New Roman" w:hAnsi="Times New Roman" w:eastAsia="宋体" w:cs="Times New Roman"/>
      <w:color w:val="000000"/>
      <w:u w:val="none"/>
    </w:rPr>
  </w:style>
  <w:style w:type="character" w:customStyle="1" w:styleId="24">
    <w:name w:val="15"/>
    <w:qFormat/>
    <w:uiPriority w:val="0"/>
    <w:rPr>
      <w:rFonts w:hint="default" w:ascii="Calibri" w:hAnsi="Calibri" w:eastAsia="宋体" w:cs="Times New Roman"/>
    </w:rPr>
  </w:style>
  <w:style w:type="character" w:customStyle="1" w:styleId="25">
    <w:name w:val="NormalCharacter"/>
    <w:qFormat/>
    <w:uiPriority w:val="0"/>
    <w:rPr>
      <w:rFonts w:ascii="Calibri" w:hAnsi="Calibri" w:eastAsia="宋体" w:cs="Times New Roman"/>
      <w:kern w:val="2"/>
      <w:sz w:val="21"/>
      <w:szCs w:val="24"/>
      <w:lang w:val="en-US" w:eastAsia="zh-CN" w:bidi="ar-SA"/>
    </w:rPr>
  </w:style>
  <w:style w:type="paragraph" w:customStyle="1" w:styleId="26">
    <w:name w:val="UserStyle_4"/>
    <w:basedOn w:val="1"/>
    <w:qFormat/>
    <w:uiPriority w:val="0"/>
    <w:pPr>
      <w:shd w:val="clear" w:color="auto" w:fill="FFFFFF"/>
      <w:spacing w:after="140" w:line="382" w:lineRule="auto"/>
      <w:ind w:firstLine="400"/>
      <w:jc w:val="both"/>
      <w:textAlignment w:val="baseline"/>
    </w:pPr>
    <w:rPr>
      <w:rFonts w:ascii="MingLiU" w:hAnsi="MingLiU" w:eastAsia="MingLiU" w:cs="Times New Roman"/>
      <w:kern w:val="2"/>
      <w:sz w:val="46"/>
      <w:szCs w:val="46"/>
      <w:lang w:val="zh-CN" w:eastAsia="zh-CN" w:bidi="zh-CN"/>
    </w:rPr>
  </w:style>
  <w:style w:type="paragraph" w:customStyle="1" w:styleId="27">
    <w:name w:val="Body text|2"/>
    <w:basedOn w:val="1"/>
    <w:qFormat/>
    <w:uiPriority w:val="0"/>
    <w:pPr>
      <w:widowControl w:val="0"/>
      <w:shd w:val="clear" w:color="auto" w:fill="auto"/>
      <w:spacing w:line="437" w:lineRule="exact"/>
      <w:ind w:left="620" w:firstLine="58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3701</Words>
  <Characters>3706</Characters>
  <Lines>2</Lines>
  <Paragraphs>1</Paragraphs>
  <TotalTime>71</TotalTime>
  <ScaleCrop>false</ScaleCrop>
  <LinksUpToDate>false</LinksUpToDate>
  <CharactersWithSpaces>3752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2023-12-22T19:30:00Z</dcterms:created>
  <dc:creator>Administrator</dc:creator>
  <cp:lastModifiedBy>a</cp:lastModifiedBy>
  <cp:lastPrinted>2024-11-01T15:39:00Z</cp:lastPrinted>
  <dcterms:modified xsi:type="dcterms:W3CDTF">2025-04-25T16:45:57Z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BCA48BE734F924EEC54B0B683519FBE0_43</vt:lpwstr>
  </property>
</Properties>
</file>