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庐山市人社局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庐山市人社局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庐山市人社局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庐山市人社局</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60CD5187">
      <w:pPr>
        <w:widowControl/>
        <w:spacing w:line="580" w:lineRule="exact"/>
        <w:jc w:val="center"/>
        <w:rPr>
          <w:rFonts w:ascii="仿宋_GB2312" w:eastAsia="仿宋_GB2312"/>
          <w:b/>
          <w:color w:val="auto"/>
          <w:sz w:val="32"/>
          <w:szCs w:val="30"/>
        </w:rPr>
      </w:pPr>
    </w:p>
    <w:p w14:paraId="4EF51BF4">
      <w:pPr>
        <w:widowControl/>
        <w:spacing w:line="580" w:lineRule="exact"/>
        <w:jc w:val="center"/>
        <w:rPr>
          <w:rFonts w:ascii="仿宋_GB2312" w:eastAsia="仿宋_GB2312"/>
          <w:b/>
          <w:color w:val="auto"/>
          <w:sz w:val="32"/>
          <w:szCs w:val="30"/>
        </w:rPr>
      </w:pP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庐山市人社局</w:t>
      </w:r>
      <w:r>
        <w:rPr>
          <w:color w:val="auto"/>
        </w:rPr>
        <w:fldChar w:fldCharType="end"/>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72135AA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（一）拟定全市人力资源和社会保障事业发展规划和年度工作计划，起草人力资源和社会保障规范性文件草案，并组织实施和监督检查；对全市人力资源和社会保障工作进行综合管理、监督指导、协调服务。</w:t>
      </w:r>
    </w:p>
    <w:p w14:paraId="799F91B6">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（二）拟定并组织实施全市人力资源市场发展规划和人力资源服务业发展、人力资源流动政策，促进人力资源合理流动、有效配置。</w:t>
      </w:r>
    </w:p>
    <w:p w14:paraId="01C334EE">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三）负责全市促进就业工作,拟订统筹城乡的就业发展规划和政策,完善公共就业服务体系,统筹建立面向城乡劳动者的职业技能培训制度，组织落实就业援助、特殊群体就业等政策，牵头落实高校毕业生就业政策,会同有关部门落实高技能人才、农村实用人才培训和激励政策。</w:t>
      </w:r>
    </w:p>
    <w:p w14:paraId="5ECCB889">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四）统筹推进建立全市覆盖城乡的多层次社会保障体系。组织实施养老、失业、工伤等社会保险及其补充保险政策和标准，落实养老、失业、工伤等社会保险及其补充保险基金管理和监督制度，编制相关社会保险基金预决算草案。会同有关部门实施全民参保计划并建立全市统一的社会保险公共服务平台。</w:t>
      </w:r>
    </w:p>
    <w:p w14:paraId="4901ECF8">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（五）负责全市就业、失业和相关社会保险基金预测预警和信息引导，拟订应对预案，实施预防、调节和控制，保持就业形势稳定和社会保险基金总体收支平衡。</w:t>
      </w:r>
    </w:p>
    <w:p w14:paraId="42F05E26">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六）统筹实施劳动人事争议调解仲裁制度；落实劳动关系相关政策，完善劳动关系协商协调机制；监督落实职工工作时间、休息休假和假期制度；监督落实消除非法使用童工政策和女工、未成年工特殊劳动保护政策；组织实施劳动保障监察，协调劳动者维权工作，依法查处重大案件；协调指导处理人力资源和社会保障信访事项和突发事件。</w:t>
      </w:r>
    </w:p>
    <w:p w14:paraId="3E667EE1">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（七）牵头推进深化职称制度改革，归口管理专业技术人员职称工作；组织拟订技能人才培养、评价、使用和激励制度；完善职业资格制度，健全职业技能多元化评价政策。</w:t>
      </w:r>
    </w:p>
    <w:p w14:paraId="72A87B7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（八）会同有关部门指导事业单位人事制度改革，按照管理权限负责规范事业单位岗位设置、公开招聘、聘用合同等人事综合管理工作，负责事业单位工作人员和机关工勤人员综合管理工作。</w:t>
      </w:r>
    </w:p>
    <w:p w14:paraId="39D3DDB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九）负责全市事业单位工资收入分配综合管理，组织实施事业单位人员工资收入分配政策，配合相关部门审核纳入市级财政统一发放工资范围的事业单位及人员的工资、奖金、津补贴标准和离退休费，落实企事业单位人员福利和离退休政策，建立企事业单位人员工资决定、正常增长和支付保障机制，指导和监督国有企业工资总额管理和企业负责人收入分配。</w:t>
      </w:r>
    </w:p>
    <w:p w14:paraId="6F7F5F83">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（十）会同有关部门拟订全市农民工工作综合性政策和规划，推动农民工相关政策的落实，参与协调解决农民工工作中的重点难点问题，维护农民工合法权益。</w:t>
      </w:r>
    </w:p>
    <w:p w14:paraId="60B56FBB">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（十一）会同有关部门拟定政府表彰奖励制度，综合管理表彰奖励工作，根据授权承办以市委、市政府名义开展的表彰奖励活动相关工作，承担全市评比达标表彰有关工作。</w:t>
      </w:r>
    </w:p>
    <w:p w14:paraId="78A9F93B">
      <w:pPr>
        <w:widowControl/>
        <w:spacing w:line="580" w:lineRule="exact"/>
        <w:ind w:firstLine="640"/>
        <w:jc w:val="left"/>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rPr>
        <w:t>（十二）完成市委和市政府交办的其他任务。</w:t>
      </w:r>
    </w:p>
    <w:p w14:paraId="530E3921">
      <w:pPr>
        <w:rPr>
          <w:b/>
          <w:color w:val="auto"/>
          <w:sz w:val="36"/>
          <w:szCs w:val="36"/>
        </w:rPr>
      </w:pPr>
      <w:r>
        <w:rPr>
          <w:rFonts w:hint="eastAsia"/>
          <w:b/>
          <w:color w:val="auto"/>
          <w:sz w:val="36"/>
          <w:szCs w:val="36"/>
        </w:rPr>
        <w:t>二、机构设置及人员情况</w:t>
      </w:r>
    </w:p>
    <w:p w14:paraId="11C5D6F5">
      <w:pPr>
        <w:ind w:firstLine="640" w:firstLineChars="200"/>
        <w:rPr>
          <w:rFonts w:hint="eastAsia" w:ascii="仿宋" w:hAnsi="仿宋" w:eastAsia="仿宋"/>
          <w:color w:val="auto"/>
          <w:sz w:val="32"/>
          <w:szCs w:val="32"/>
          <w:u w:val="none"/>
          <w:lang w:val="en-US"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庐山市人社局</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w:t>
      </w:r>
      <w:r>
        <w:rPr>
          <w:rFonts w:hint="eastAsia" w:ascii="仿宋_GB2312" w:hAnsi="仿宋_GB2312" w:eastAsia="仿宋_GB2312" w:cs="仿宋_GB2312"/>
          <w:color w:val="auto"/>
          <w:sz w:val="32"/>
          <w:szCs w:val="32"/>
          <w:lang w:val="en-US" w:eastAsia="zh-CN"/>
        </w:rPr>
        <w:t>内设2个中心、1个大队、5个股室，包括就业创业服务中心、社会保险管理中心、劳动保障监察大队、人事与工资福利股、财务与基金监管股、档案股、政务服务股和办公室</w:t>
      </w:r>
      <w:r>
        <w:rPr>
          <w:rFonts w:hint="eastAsia" w:ascii="仿宋" w:hAnsi="仿宋" w:eastAsia="仿宋"/>
          <w:color w:val="auto"/>
          <w:sz w:val="32"/>
          <w:szCs w:val="32"/>
          <w:u w:val="none"/>
          <w:lang w:val="en-US" w:eastAsia="zh-CN"/>
        </w:rPr>
        <w:t>。</w:t>
      </w:r>
    </w:p>
    <w:p w14:paraId="08E86772">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64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12</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52</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64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64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12</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52</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36</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1</w:t>
      </w:r>
      <w:r>
        <w:rPr>
          <w:rFonts w:ascii="仿宋" w:hAnsi="仿宋" w:eastAsia="仿宋"/>
          <w:color w:val="auto"/>
          <w:sz w:val="32"/>
          <w:szCs w:val="32"/>
        </w:rPr>
        <w:t>人。</w:t>
      </w:r>
      <w:r>
        <w:rPr>
          <w:color w:val="auto"/>
        </w:rPr>
        <w:fldChar w:fldCharType="end"/>
      </w:r>
    </w:p>
    <w:p w14:paraId="0765199F">
      <w:pPr>
        <w:widowControl/>
        <w:spacing w:line="580" w:lineRule="exact"/>
        <w:jc w:val="both"/>
        <w:rPr>
          <w:rFonts w:ascii="仿宋_GB2312" w:eastAsia="仿宋_GB2312"/>
          <w:b/>
          <w:color w:val="auto"/>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庐山市人社局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7D97A51F">
      <w:pPr>
        <w:ind w:firstLine="640" w:firstLineChars="200"/>
        <w:jc w:val="left"/>
        <w:rPr>
          <w:rStyle w:val="10"/>
          <w:rFonts w:ascii="仿宋" w:hAnsi="仿宋" w:eastAsia="仿宋"/>
          <w:bCs/>
          <w:color w:val="auto"/>
          <w:sz w:val="32"/>
          <w:szCs w:val="32"/>
        </w:rPr>
      </w:pPr>
    </w:p>
    <w:p w14:paraId="1B0E66FB">
      <w:pPr>
        <w:ind w:firstLine="640" w:firstLineChars="200"/>
        <w:jc w:val="left"/>
        <w:rPr>
          <w:rStyle w:val="10"/>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庐山市人社局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庐山市人社局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19251.57</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1214.43</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19244.83</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771.17</w:t>
      </w:r>
      <w:r>
        <w:rPr>
          <w:rFonts w:ascii="仿宋" w:hAnsi="仿宋" w:eastAsia="仿宋" w:cs="Times New Roman"/>
          <w:color w:val="auto"/>
          <w:kern w:val="0"/>
          <w:sz w:val="32"/>
          <w:szCs w:val="32"/>
        </w:rPr>
        <w:t>万元;事业单位经营收入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万元,较上年预算安排增加（减少）</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减少变化原因为上年创业担保贷款贴息及奖补资金为1186万元;对高校毕业生到基层任职补助较上年减少40.16万元。</w:t>
      </w:r>
    </w:p>
    <w:p w14:paraId="7467D43D">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庐山市人社局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Style w:val="10"/>
          <w:rFonts w:hint="eastAsia" w:ascii="仿宋" w:hAnsi="仿宋" w:eastAsia="仿宋"/>
          <w:color w:val="auto"/>
          <w:sz w:val="32"/>
          <w:szCs w:val="32"/>
          <w:lang w:val="en-US" w:eastAsia="zh-CN"/>
        </w:rPr>
        <w:t>19251.57</w:t>
      </w:r>
      <w:r>
        <w:rPr>
          <w:rStyle w:val="10"/>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lang w:val="en-US" w:eastAsia="zh-CN"/>
        </w:rPr>
        <w:t>1214.43</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减少原因为上年创业担保贷款贴息及奖补资金为1186万元;对高校毕业生到基层任职补助较上年减少40.16万元。</w:t>
      </w:r>
    </w:p>
    <w:p w14:paraId="347A5A02">
      <w:pPr>
        <w:widowControl/>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1250.8</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2.31</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1047.51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104.5</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98.79</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18000.77</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1216.74</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607.54</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5</w:t>
      </w:r>
      <w:r>
        <w:rPr>
          <w:rStyle w:val="10"/>
          <w:rFonts w:ascii="仿宋" w:hAnsi="仿宋" w:eastAsia="仿宋"/>
          <w:color w:val="auto"/>
          <w:sz w:val="32"/>
          <w:szCs w:val="32"/>
        </w:rPr>
        <w:t>万元。</w:t>
      </w:r>
      <w:r>
        <w:rPr>
          <w:color w:val="auto"/>
        </w:rPr>
        <w:fldChar w:fldCharType="end"/>
      </w:r>
    </w:p>
    <w:p w14:paraId="1F108E63">
      <w:pPr>
        <w:ind w:firstLine="640" w:firstLineChars="200"/>
        <w:rPr>
          <w:rStyle w:val="10"/>
          <w:rFonts w:hint="eastAsia" w:ascii="仿宋" w:hAnsi="仿宋" w:eastAsia="仿宋"/>
          <w:b/>
          <w:color w:val="auto"/>
          <w:sz w:val="20"/>
          <w:szCs w:val="32"/>
          <w:lang w:val="en-US" w:eastAsia="zh-CN"/>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15</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18610.9</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217.24</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63.89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2.99</w:t>
      </w:r>
      <w:r>
        <w:rPr>
          <w:rStyle w:val="10"/>
          <w:rFonts w:ascii="仿宋" w:hAnsi="仿宋" w:eastAsia="仿宋"/>
          <w:color w:val="auto"/>
          <w:sz w:val="32"/>
          <w:szCs w:val="32"/>
        </w:rPr>
        <w:t>万元;</w:t>
      </w:r>
      <w:r>
        <w:rPr>
          <w:rStyle w:val="10"/>
          <w:rFonts w:hint="eastAsia" w:ascii="仿宋" w:hAnsi="仿宋" w:eastAsia="仿宋"/>
          <w:color w:val="auto"/>
          <w:sz w:val="32"/>
          <w:szCs w:val="32"/>
          <w:lang w:val="en-US" w:eastAsia="zh-CN"/>
        </w:rPr>
        <w:t>农林水支出472万元，</w:t>
      </w:r>
      <w:r>
        <w:rPr>
          <w:rStyle w:val="10"/>
          <w:rFonts w:ascii="仿宋" w:hAnsi="仿宋" w:eastAsia="仿宋"/>
          <w:color w:val="auto"/>
          <w:sz w:val="32"/>
          <w:szCs w:val="32"/>
        </w:rPr>
        <w:t>较上年预算安排减少</w:t>
      </w:r>
      <w:r>
        <w:rPr>
          <w:rStyle w:val="10"/>
          <w:rFonts w:hint="eastAsia" w:ascii="仿宋" w:hAnsi="仿宋" w:eastAsia="仿宋"/>
          <w:color w:val="auto"/>
          <w:sz w:val="32"/>
          <w:szCs w:val="32"/>
          <w:lang w:val="en-US" w:eastAsia="zh-CN"/>
        </w:rPr>
        <w:t>1016.16</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87.71</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1.09</w:t>
      </w:r>
      <w:r>
        <w:rPr>
          <w:rStyle w:val="10"/>
          <w:rFonts w:ascii="仿宋" w:hAnsi="仿宋" w:eastAsia="仿宋"/>
          <w:color w:val="auto"/>
          <w:sz w:val="32"/>
          <w:szCs w:val="32"/>
        </w:rPr>
        <w:t>万元;</w:t>
      </w:r>
      <w:r>
        <w:rPr>
          <w:color w:val="auto"/>
        </w:rPr>
        <w:fldChar w:fldCharType="end"/>
      </w:r>
      <w:r>
        <w:rPr>
          <w:rStyle w:val="10"/>
          <w:rFonts w:hint="eastAsia" w:ascii="仿宋" w:hAnsi="仿宋" w:eastAsia="仿宋" w:cs="Times New Roman"/>
          <w:color w:val="auto"/>
          <w:sz w:val="32"/>
          <w:szCs w:val="32"/>
        </w:rPr>
        <w:t>国有资本经营预算支出</w:t>
      </w:r>
      <w:r>
        <w:rPr>
          <w:rStyle w:val="10"/>
          <w:rFonts w:hint="eastAsia" w:ascii="仿宋" w:hAnsi="仿宋" w:eastAsia="仿宋" w:cs="Times New Roman"/>
          <w:color w:val="auto"/>
          <w:sz w:val="32"/>
          <w:szCs w:val="32"/>
          <w:lang w:val="en-US" w:eastAsia="zh-CN"/>
        </w:rPr>
        <w:t>2.07万元，</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lang w:val="en-US" w:eastAsia="zh-CN"/>
        </w:rPr>
        <w:t>2.07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p>
    <w:p w14:paraId="68D1FECB">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1051.21</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167.49</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712.03</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0.74</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17483.33</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971.38</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76.3</w:t>
      </w:r>
      <w:r>
        <w:rPr>
          <w:rStyle w:val="10"/>
          <w:rFonts w:ascii="仿宋" w:hAnsi="仿宋" w:eastAsia="仿宋"/>
          <w:color w:val="auto"/>
          <w:sz w:val="32"/>
          <w:szCs w:val="32"/>
        </w:rPr>
        <w:t>万元。</w:t>
      </w:r>
      <w:r>
        <w:rPr>
          <w:color w:val="auto"/>
        </w:rPr>
        <w:fldChar w:fldCharType="end"/>
      </w: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庐山市人社局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19244.83</w:t>
      </w:r>
      <w:r>
        <w:rPr>
          <w:rStyle w:val="10"/>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lang w:val="en-US" w:eastAsia="zh-CN"/>
        </w:rPr>
        <w:t>771.17</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减少变化原因为上年创业担保贷款贴息及奖补资金为1186万元;对高校毕业生到基层任职补助较上年减少40.16万元。</w:t>
      </w:r>
    </w:p>
    <w:p w14:paraId="52CF4ECA">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${page400644146.ds247441498_REP_BGT_T_HC1100002019DXQ01_GNCBMX}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15</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社会保障和就业支出</w:t>
      </w:r>
      <w:r>
        <w:rPr>
          <w:rStyle w:val="10"/>
          <w:rFonts w:hint="eastAsia" w:ascii="仿宋" w:hAnsi="仿宋" w:eastAsia="仿宋"/>
          <w:color w:val="auto"/>
          <w:sz w:val="32"/>
          <w:szCs w:val="32"/>
          <w:lang w:val="en-US" w:eastAsia="zh-CN"/>
        </w:rPr>
        <w:t>18604.16</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207.98</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63.89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2.99</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hint="eastAsia" w:ascii="仿宋" w:hAnsi="仿宋" w:eastAsia="仿宋"/>
          <w:color w:val="auto"/>
          <w:sz w:val="32"/>
          <w:szCs w:val="32"/>
          <w:lang w:val="en-US" w:eastAsia="zh-CN"/>
        </w:rPr>
        <w:t>农林水支出472万元，</w:t>
      </w:r>
      <w:r>
        <w:rPr>
          <w:rStyle w:val="10"/>
          <w:rFonts w:ascii="仿宋" w:hAnsi="仿宋" w:eastAsia="仿宋"/>
          <w:color w:val="auto"/>
          <w:sz w:val="32"/>
          <w:szCs w:val="32"/>
        </w:rPr>
        <w:t>较上年预算安排减少</w:t>
      </w:r>
      <w:r>
        <w:rPr>
          <w:rStyle w:val="10"/>
          <w:rFonts w:hint="eastAsia" w:ascii="仿宋" w:hAnsi="仿宋" w:eastAsia="仿宋"/>
          <w:color w:val="auto"/>
          <w:sz w:val="32"/>
          <w:szCs w:val="32"/>
          <w:lang w:val="en-US" w:eastAsia="zh-CN"/>
        </w:rPr>
        <w:t>582.16</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87.71</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较上年预算安排减少</w:t>
      </w:r>
      <w:r>
        <w:rPr>
          <w:rStyle w:val="10"/>
          <w:rFonts w:hint="eastAsia" w:ascii="仿宋" w:hAnsi="仿宋" w:eastAsia="仿宋"/>
          <w:color w:val="auto"/>
          <w:sz w:val="32"/>
          <w:szCs w:val="32"/>
          <w:lang w:val="en-US" w:eastAsia="zh-CN"/>
        </w:rPr>
        <w:t>1.09</w:t>
      </w:r>
      <w:r>
        <w:rPr>
          <w:rStyle w:val="10"/>
          <w:rFonts w:ascii="仿宋" w:hAnsi="仿宋" w:eastAsia="仿宋"/>
          <w:color w:val="auto"/>
          <w:sz w:val="32"/>
          <w:szCs w:val="32"/>
        </w:rPr>
        <w:t>万元;</w:t>
      </w:r>
      <w:r>
        <w:rPr>
          <w:rStyle w:val="10"/>
          <w:rFonts w:hint="eastAsia" w:ascii="仿宋" w:hAnsi="仿宋" w:eastAsia="仿宋" w:cs="Times New Roman"/>
          <w:color w:val="auto"/>
          <w:sz w:val="32"/>
          <w:szCs w:val="32"/>
        </w:rPr>
        <w:t>国有资本经营预算支出</w:t>
      </w:r>
      <w:r>
        <w:rPr>
          <w:rStyle w:val="10"/>
          <w:rFonts w:hint="eastAsia" w:ascii="仿宋" w:hAnsi="仿宋" w:eastAsia="仿宋" w:cs="Times New Roman"/>
          <w:color w:val="auto"/>
          <w:sz w:val="32"/>
          <w:szCs w:val="32"/>
          <w:lang w:val="en-US" w:eastAsia="zh-CN"/>
        </w:rPr>
        <w:t>2.07万元，</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lang w:val="en-US" w:eastAsia="zh-CN"/>
        </w:rPr>
        <w:t>2.07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color w:val="auto"/>
        </w:rPr>
        <w:fldChar w:fldCharType="end"/>
      </w:r>
    </w:p>
    <w:p w14:paraId="287DE466">
      <w:pPr>
        <w:ind w:firstLine="640" w:firstLineChars="200"/>
        <w:rPr>
          <w:color w:val="auto"/>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1250.8</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2.31</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1047.51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104.5</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97.79</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17994.03</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773.48</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604</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5</w:t>
      </w:r>
      <w:r>
        <w:rPr>
          <w:rStyle w:val="10"/>
          <w:rFonts w:ascii="仿宋" w:hAnsi="仿宋" w:eastAsia="仿宋"/>
          <w:color w:val="auto"/>
          <w:sz w:val="32"/>
          <w:szCs w:val="32"/>
        </w:rPr>
        <w:t>万元。</w:t>
      </w:r>
      <w:r>
        <w:rPr>
          <w:color w:val="auto"/>
        </w:rPr>
        <w:fldChar w:fldCharType="end"/>
      </w:r>
    </w:p>
    <w:p w14:paraId="5762BF84">
      <w:pPr>
        <w:ind w:firstLine="420" w:firstLineChars="200"/>
        <w:rPr>
          <w:color w:val="auto"/>
        </w:rPr>
      </w:pPr>
    </w:p>
    <w:p w14:paraId="054F1A82">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20D16BF6">
      <w:pPr>
        <w:ind w:firstLine="640" w:firstLineChars="200"/>
        <w:rPr>
          <w:rStyle w:val="10"/>
          <w:rFonts w:ascii="仿宋" w:hAnsi="仿宋" w:eastAsia="仿宋" w:cs="Times New Roman"/>
          <w:color w:val="auto"/>
          <w:sz w:val="32"/>
          <w:szCs w:val="32"/>
        </w:rPr>
      </w:pPr>
      <w:r>
        <w:rPr>
          <w:rStyle w:val="10"/>
          <w:rFonts w:hint="eastAsia" w:ascii="仿宋" w:hAnsi="仿宋" w:eastAsia="仿宋" w:cs="Times New Roman"/>
          <w:color w:val="auto"/>
          <w:sz w:val="32"/>
          <w:szCs w:val="32"/>
        </w:rPr>
        <w:t>本部门没有使用政府性基金预算拨款安排的支出</w:t>
      </w:r>
    </w:p>
    <w:p w14:paraId="6EA92DE2">
      <w:pPr>
        <w:numPr>
          <w:ilvl w:val="0"/>
          <w:numId w:val="1"/>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国有资本经营情况</w:t>
      </w:r>
    </w:p>
    <w:p w14:paraId="0D50A51A">
      <w:pPr>
        <w:ind w:firstLine="640" w:firstLineChars="200"/>
        <w:rPr>
          <w:rStyle w:val="10"/>
          <w:rFonts w:hint="default" w:ascii="仿宋" w:hAnsi="仿宋" w:eastAsia="仿宋"/>
          <w:color w:val="auto"/>
          <w:sz w:val="32"/>
          <w:szCs w:val="32"/>
          <w:lang w:val="en-US" w:eastAsia="zh-CN"/>
        </w:rPr>
      </w:pPr>
      <w:r>
        <w:rPr>
          <w:rStyle w:val="10"/>
          <w:rFonts w:hint="eastAsia" w:ascii="仿宋" w:hAnsi="仿宋" w:eastAsia="仿宋"/>
          <w:color w:val="auto"/>
          <w:sz w:val="32"/>
          <w:szCs w:val="32"/>
        </w:rPr>
        <w:t>按支出项目类别划分：国有企业退休人员社会化管理补助支出</w:t>
      </w:r>
      <w:r>
        <w:rPr>
          <w:rStyle w:val="10"/>
          <w:rFonts w:hint="eastAsia" w:ascii="仿宋" w:hAnsi="仿宋" w:eastAsia="仿宋"/>
          <w:color w:val="auto"/>
          <w:sz w:val="32"/>
          <w:szCs w:val="32"/>
          <w:lang w:val="en-US" w:eastAsia="zh-CN"/>
        </w:rPr>
        <w:t>2.08万元。</w:t>
      </w:r>
    </w:p>
    <w:p w14:paraId="48F5BC63">
      <w:pPr>
        <w:ind w:firstLine="321" w:firstLineChars="100"/>
        <w:rPr>
          <w:rStyle w:val="10"/>
          <w:rFonts w:ascii="Adobe 仿宋 Std R" w:hAnsi="Adobe 仿宋 Std R" w:eastAsia="Adobe 仿宋 Std R"/>
          <w:b/>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104.5</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13.07</w:t>
      </w:r>
      <w:r>
        <w:rPr>
          <w:rFonts w:hint="eastAsia" w:ascii="Adobe 仿宋 Std R" w:hAnsi="Adobe 仿宋 Std R" w:eastAsia="Adobe 仿宋 Std R"/>
          <w:color w:val="auto"/>
          <w:sz w:val="32"/>
          <w:szCs w:val="32"/>
        </w:rPr>
        <w:t>万元，增长</w:t>
      </w:r>
      <w:r>
        <w:rPr>
          <w:rFonts w:hint="eastAsia" w:ascii="Adobe 仿宋 Std R" w:hAnsi="Adobe 仿宋 Std R" w:eastAsia="Adobe 仿宋 Std R"/>
          <w:color w:val="auto"/>
          <w:sz w:val="32"/>
          <w:szCs w:val="32"/>
          <w:lang w:val="en-US" w:eastAsia="zh-CN"/>
        </w:rPr>
        <w:t>14.3</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增长变化原因为公车补贴为9.98万元。</w:t>
      </w:r>
    </w:p>
    <w:p w14:paraId="3ABB5D41">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12万元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2万元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3万元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劳务费28.5万元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工会经费12万元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14万元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其他交通费用9.98万元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其他商品服务支出14.32万元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8.7万元</w:t>
      </w:r>
      <w:r>
        <w:rPr>
          <w:rFonts w:hint="eastAsia" w:ascii="Adobe 仿宋 Std R" w:hAnsi="Adobe 仿宋 Std R" w:eastAsia="Adobe 仿宋 Std R"/>
          <w:color w:val="auto"/>
          <w:sz w:val="32"/>
          <w:szCs w:val="32"/>
        </w:rPr>
        <w:t>、办公用房取暖费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、办公用房物业管理费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0万元。</w:t>
      </w:r>
    </w:p>
    <w:p w14:paraId="636C61E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3FAC88B9">
      <w:pPr>
        <w:rPr>
          <w:rFonts w:ascii="Adobe 仿宋 Std R" w:hAnsi="Adobe 仿宋 Std R" w:eastAsia="Adobe 仿宋 Std R"/>
          <w:color w:val="auto"/>
          <w:sz w:val="32"/>
          <w:szCs w:val="32"/>
        </w:rPr>
      </w:pPr>
      <w:r>
        <w:rPr>
          <w:rStyle w:val="10"/>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1191AFC">
      <w:pPr>
        <w:widowControl/>
        <w:spacing w:line="580" w:lineRule="exact"/>
        <w:ind w:firstLine="320" w:firstLineChars="100"/>
        <w:jc w:val="left"/>
        <w:rPr>
          <w:rStyle w:val="10"/>
          <w:rFonts w:ascii="Adobe 仿宋 Std R" w:hAnsi="Adobe 仿宋 Std R" w:eastAsia="Adobe 仿宋 Std R"/>
          <w:b/>
          <w:color w:val="auto"/>
          <w:sz w:val="32"/>
          <w:szCs w:val="32"/>
        </w:rPr>
      </w:pPr>
      <w:r>
        <w:rPr>
          <w:rFonts w:hint="eastAsia"/>
          <w:color w:val="auto"/>
          <w:sz w:val="32"/>
        </w:rPr>
        <w:t xml:space="preserve"> </w:t>
      </w:r>
      <w:r>
        <w:rPr>
          <w:rStyle w:val="10"/>
          <w:rFonts w:hint="eastAsia" w:ascii="Adobe 仿宋 Std R" w:hAnsi="Adobe 仿宋 Std R" w:eastAsia="Adobe 仿宋 Std R"/>
          <w:b/>
          <w:color w:val="auto"/>
          <w:sz w:val="32"/>
          <w:szCs w:val="32"/>
        </w:rPr>
        <w:t>(八)国有资产占有使用情况</w:t>
      </w:r>
    </w:p>
    <w:p w14:paraId="5E6BBC70">
      <w:pPr>
        <w:ind w:firstLine="642"/>
        <w:rPr>
          <w:rFonts w:ascii="Adobe 仿宋 Std R" w:hAnsi="Adobe 仿宋 Std R" w:eastAsia="Adobe 仿宋 Std R"/>
          <w:b/>
          <w:color w:val="auto"/>
          <w:sz w:val="20"/>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${page400644146.ds532982397_REP_JX_BAS_AGENCY_INFO_ZYFRS_S_CLSYS}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部门共有车辆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6B5C0A65">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年部门预算安排购置车辆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u w:val="none"/>
        </w:rPr>
        <w:t>辆，安排购置单位价值200万元以上大型设备具体为：</w:t>
      </w:r>
      <w:r>
        <w:rPr>
          <w:rFonts w:hint="eastAsia" w:ascii="仿宋_GB2312" w:eastAsia="仿宋_GB2312"/>
          <w:color w:val="auto"/>
          <w:sz w:val="32"/>
          <w:szCs w:val="30"/>
          <w:u w:val="none"/>
          <w:lang w:val="en-US" w:eastAsia="zh-CN"/>
        </w:rPr>
        <w:t>0</w:t>
      </w:r>
      <w:r>
        <w:rPr>
          <w:rFonts w:hint="eastAsia" w:ascii="仿宋_GB2312" w:eastAsia="仿宋_GB2312"/>
          <w:color w:val="auto"/>
          <w:sz w:val="32"/>
          <w:szCs w:val="30"/>
          <w:u w:val="none"/>
        </w:rPr>
        <w:t>。</w:t>
      </w:r>
      <w:bookmarkStart w:id="0" w:name="_GoBack"/>
      <w:bookmarkEnd w:id="0"/>
    </w:p>
    <w:p w14:paraId="59A43C58">
      <w:pPr>
        <w:ind w:firstLine="321" w:firstLineChars="100"/>
        <w:rPr>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（九）</w:t>
      </w:r>
      <w:r>
        <w:rPr>
          <w:rStyle w:val="10"/>
          <w:rFonts w:hint="eastAsia" w:ascii="Adobe 仿宋 Std R" w:hAnsi="Adobe 仿宋 Std R" w:eastAsia="Adobe 仿宋 Std R"/>
          <w:b/>
          <w:color w:val="auto"/>
          <w:sz w:val="32"/>
          <w:szCs w:val="32"/>
          <w:lang w:val="en-US" w:eastAsia="zh-CN"/>
        </w:rPr>
        <w:t>庐山市人社局</w:t>
      </w:r>
      <w:r>
        <w:rPr>
          <w:rStyle w:val="10"/>
          <w:rFonts w:hint="eastAsia" w:ascii="Adobe 仿宋 Std R" w:hAnsi="Adobe 仿宋 Std R" w:eastAsia="Adobe 仿宋 Std R"/>
          <w:b/>
          <w:color w:val="auto"/>
          <w:sz w:val="32"/>
          <w:szCs w:val="32"/>
        </w:rPr>
        <w:t>项目情况说明</w:t>
      </w:r>
    </w:p>
    <w:p w14:paraId="33409D48">
      <w:pPr>
        <w:numPr>
          <w:ilvl w:val="0"/>
          <w:numId w:val="2"/>
        </w:num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担保县级配套资金</w:t>
      </w:r>
    </w:p>
    <w:p w14:paraId="20DF685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：为创业者提供贷款担保，为创业者提供了资金支持与风险保障</w:t>
      </w:r>
    </w:p>
    <w:p w14:paraId="4B736202">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南银发[</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17]133</w:t>
      </w:r>
      <w:r>
        <w:rPr>
          <w:rFonts w:hint="eastAsia" w:ascii="仿宋_GB2312" w:hAnsi="仿宋_GB2312" w:eastAsia="仿宋_GB2312" w:cs="仿宋_GB2312"/>
          <w:color w:val="auto"/>
          <w:sz w:val="32"/>
          <w:szCs w:val="32"/>
          <w:lang w:eastAsia="zh-CN"/>
        </w:rPr>
        <w:t>号文件</w:t>
      </w:r>
    </w:p>
    <w:p w14:paraId="52710E0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2C20A1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47C7F9A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B6AC8B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100万元</w:t>
      </w:r>
    </w:p>
    <w:p w14:paraId="32BD1C6E">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贴息县级配套资金</w:t>
      </w:r>
    </w:p>
    <w:p w14:paraId="566375E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：为实施更加积极的就业政策，以创业带动就业，助力大众创业，依据普惠金融政策，为小微企业创业担保贷款进行贴息</w:t>
      </w:r>
    </w:p>
    <w:p w14:paraId="598B88DE">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南银发[</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17]133</w:t>
      </w:r>
      <w:r>
        <w:rPr>
          <w:rFonts w:hint="eastAsia" w:ascii="仿宋_GB2312" w:hAnsi="仿宋_GB2312" w:eastAsia="仿宋_GB2312" w:cs="仿宋_GB2312"/>
          <w:color w:val="auto"/>
          <w:sz w:val="32"/>
          <w:szCs w:val="32"/>
          <w:lang w:eastAsia="zh-CN"/>
        </w:rPr>
        <w:t>号文件</w:t>
      </w:r>
    </w:p>
    <w:p w14:paraId="185732B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2070D5C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3A2473C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6548C4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210万元</w:t>
      </w:r>
    </w:p>
    <w:p w14:paraId="73A8213D">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返城未安置就业知青、手联社和城镇大集体退休人员养老保障市级补助</w:t>
      </w:r>
    </w:p>
    <w:p w14:paraId="503B3F6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：用于发放手工联社及大集体退休人员的养老补助</w:t>
      </w:r>
    </w:p>
    <w:p w14:paraId="7BD3487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：赣府厅发〔2010〕29号、赣轻字〔2010〕13号</w:t>
      </w:r>
    </w:p>
    <w:p w14:paraId="3D900B1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05D58B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1C75D6A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25D9112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99万元</w:t>
      </w:r>
    </w:p>
    <w:p w14:paraId="327B42A4">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企业立功获奖人员提高退休养老待遇资金</w:t>
      </w:r>
    </w:p>
    <w:p w14:paraId="6FAD501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：用于企业立功获奖人员的养老补助待遇发放，提高补助人员退休待遇</w:t>
      </w:r>
    </w:p>
    <w:p w14:paraId="7742485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：赣人社发〔2023〕32号</w:t>
      </w:r>
    </w:p>
    <w:p w14:paraId="25C8B83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6317DD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0E0025A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58697A9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1.56万元</w:t>
      </w:r>
    </w:p>
    <w:p w14:paraId="1F627D19">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企业职工基本养老助保贷利息补贴</w:t>
      </w:r>
    </w:p>
    <w:p w14:paraId="459E80F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：助力困难群体缴纳保费，为困难全体减免利息负担</w:t>
      </w:r>
    </w:p>
    <w:p w14:paraId="25F7F01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：赣人社字〔2022〕289号</w:t>
      </w:r>
    </w:p>
    <w:p w14:paraId="316E9F3E">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7B2E9D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19C2263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7686F9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1.881万元</w:t>
      </w:r>
    </w:p>
    <w:p w14:paraId="4C23B88C">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偿还改制企业挂账资金</w:t>
      </w:r>
    </w:p>
    <w:p w14:paraId="74FC727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：按照省财政厅、人社厅印发《关于企业职工养老保险基金结余上缴和政府挂帐资金偿还情况的通报》精神，用于分五年偿还改制企业养老保险清欠资金。</w:t>
      </w:r>
    </w:p>
    <w:p w14:paraId="5699AC8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：庐人社文〔2022〕4号</w:t>
      </w:r>
    </w:p>
    <w:p w14:paraId="64DD873C">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A2D7B4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：2025年按照计划申拨448万</w:t>
      </w:r>
      <w:r>
        <w:rPr>
          <w:rFonts w:hint="eastAsia" w:ascii="Adobe 仿宋 Std R" w:hAnsi="Adobe 仿宋 Std R" w:eastAsia="Adobe 仿宋 Std R"/>
          <w:color w:val="auto"/>
          <w:sz w:val="32"/>
          <w:szCs w:val="32"/>
          <w:lang w:val="en-US" w:eastAsia="zh-CN"/>
        </w:rPr>
        <w:t>元</w:t>
      </w:r>
    </w:p>
    <w:p w14:paraId="1A76243C">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211D12C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448万元</w:t>
      </w:r>
    </w:p>
    <w:p w14:paraId="7FE0C16A">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关破改国有企业工伤人员补助</w:t>
      </w:r>
    </w:p>
    <w:p w14:paraId="0F86F24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确保</w:t>
      </w:r>
      <w:r>
        <w:rPr>
          <w:rFonts w:hint="default" w:ascii="Adobe 仿宋 Std R" w:hAnsi="Adobe 仿宋 Std R" w:eastAsia="Adobe 仿宋 Std R"/>
          <w:color w:val="auto"/>
          <w:sz w:val="32"/>
          <w:szCs w:val="32"/>
          <w:lang w:val="en-US" w:eastAsia="zh-CN"/>
        </w:rPr>
        <w:t>关破改国有企业工伤人员</w:t>
      </w:r>
      <w:r>
        <w:rPr>
          <w:rFonts w:hint="eastAsia" w:ascii="Adobe 仿宋 Std R" w:hAnsi="Adobe 仿宋 Std R" w:eastAsia="Adobe 仿宋 Std R"/>
          <w:color w:val="auto"/>
          <w:sz w:val="32"/>
          <w:szCs w:val="32"/>
          <w:lang w:val="en-US" w:eastAsia="zh-CN"/>
        </w:rPr>
        <w:t>保险待遇及时发放</w:t>
      </w:r>
    </w:p>
    <w:p w14:paraId="38BDA86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：人社部发〔2010〕10号</w:t>
      </w:r>
    </w:p>
    <w:p w14:paraId="4186A60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1F30BC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7CD45477">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7F5AFB2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1.5万元</w:t>
      </w:r>
    </w:p>
    <w:p w14:paraId="0C5349AC">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失地农民生活补贴</w:t>
      </w:r>
    </w:p>
    <w:p w14:paraId="4DCF72F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确保失地农民退休人员能按时享受相关补助，领取退休待遇，保障失地农民的基本生活水平</w:t>
      </w:r>
    </w:p>
    <w:p w14:paraId="1039F13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：星府办发〔2010〕17号</w:t>
      </w:r>
    </w:p>
    <w:p w14:paraId="1DD917D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188BAC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2D9028D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4CA63A3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105万元</w:t>
      </w:r>
    </w:p>
    <w:p w14:paraId="2F284962">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2025年国有企业退休人员社会化管理补助资金</w:t>
      </w:r>
    </w:p>
    <w:p w14:paraId="3A90692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用于退休人员档案管理等方面</w:t>
      </w:r>
    </w:p>
    <w:p w14:paraId="6607781A">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：庐财资指</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2024</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2号</w:t>
      </w:r>
    </w:p>
    <w:p w14:paraId="1B72C13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6E16A7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08D6654B">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7BBE45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2.07万元</w:t>
      </w:r>
    </w:p>
    <w:p w14:paraId="4F6E0453">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高层次人才引进工作经费</w:t>
      </w:r>
    </w:p>
    <w:p w14:paraId="511AE13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用于资格审查及面试工作劳务费</w:t>
      </w:r>
    </w:p>
    <w:p w14:paraId="7D660EB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：九人社字</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2024</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18号、九人社字</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2024</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67号</w:t>
      </w:r>
    </w:p>
    <w:p w14:paraId="67A45B5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D7039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地方财政配套实施，由人社局负责发放。</w:t>
      </w:r>
    </w:p>
    <w:p w14:paraId="78D0AE5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0F2912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30万元</w:t>
      </w:r>
    </w:p>
    <w:p w14:paraId="4B3F7178">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2025年人才发展专项经费</w:t>
      </w:r>
    </w:p>
    <w:p w14:paraId="14F5B1B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为了引进优秀人才，通过提高高新住房科研经费等优惠条件，吸引高层次人才到庐山市工作</w:t>
      </w:r>
    </w:p>
    <w:p w14:paraId="72E31BE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：庐财行指</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2024</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16号</w:t>
      </w:r>
    </w:p>
    <w:p w14:paraId="18BC208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6F3B1D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地方财政配套实施，由人社局负责发放。</w:t>
      </w:r>
    </w:p>
    <w:p w14:paraId="0532002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79224E6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15万元</w:t>
      </w:r>
    </w:p>
    <w:p w14:paraId="1B1434A0">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“三支一扶”工作经费</w:t>
      </w:r>
    </w:p>
    <w:p w14:paraId="4F27845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我市20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w:t>
      </w:r>
      <w:r>
        <w:rPr>
          <w:rFonts w:hint="eastAsia" w:ascii="仿宋_GB2312" w:hAnsi="仿宋_GB2312" w:eastAsia="仿宋_GB2312" w:cs="仿宋_GB2312"/>
          <w:color w:val="auto"/>
          <w:sz w:val="32"/>
          <w:szCs w:val="32"/>
          <w:lang w:val="en-US" w:eastAsia="zh-CN"/>
        </w:rPr>
        <w:t>和2025年</w:t>
      </w:r>
      <w:r>
        <w:rPr>
          <w:rFonts w:hint="eastAsia" w:ascii="仿宋_GB2312" w:hAnsi="仿宋_GB2312" w:eastAsia="仿宋_GB2312" w:cs="仿宋_GB2312"/>
          <w:color w:val="auto"/>
          <w:sz w:val="32"/>
          <w:szCs w:val="32"/>
          <w:lang w:eastAsia="zh-CN"/>
        </w:rPr>
        <w:t>招募“三支一扶”工作人员</w:t>
      </w:r>
      <w:r>
        <w:rPr>
          <w:rFonts w:hint="eastAsia" w:ascii="仿宋_GB2312" w:hAnsi="仿宋_GB2312" w:eastAsia="仿宋_GB2312" w:cs="仿宋_GB2312"/>
          <w:color w:val="auto"/>
          <w:sz w:val="32"/>
          <w:szCs w:val="32"/>
          <w:lang w:val="en-US" w:eastAsia="zh-CN"/>
        </w:rPr>
        <w:t>33</w:t>
      </w:r>
      <w:r>
        <w:rPr>
          <w:rFonts w:hint="eastAsia" w:ascii="仿宋_GB2312" w:hAnsi="仿宋_GB2312" w:eastAsia="仿宋_GB2312" w:cs="仿宋_GB2312"/>
          <w:color w:val="auto"/>
          <w:sz w:val="32"/>
          <w:szCs w:val="32"/>
          <w:lang w:eastAsia="zh-CN"/>
        </w:rPr>
        <w:t>人，我局承担全市“三支一扶”的补贴、奖金、安家补助及五险的扣缴工作</w:t>
      </w:r>
    </w:p>
    <w:p w14:paraId="4EB1250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：九三支一扶办字〔2024〕1号</w:t>
      </w:r>
    </w:p>
    <w:p w14:paraId="78550FA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12D114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该项目有上级财政资金保障和地方财政配套实施，每年由人社局负责发放。</w:t>
      </w:r>
    </w:p>
    <w:p w14:paraId="441F3F2C">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6C9A394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162万元</w:t>
      </w:r>
    </w:p>
    <w:p w14:paraId="09A9274A">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农民工工资应急周转金</w:t>
      </w:r>
    </w:p>
    <w:p w14:paraId="3843492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用于保障农名工工资能及时发放</w:t>
      </w:r>
    </w:p>
    <w:p w14:paraId="401E506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：九府厅字[2014]162号</w:t>
      </w:r>
    </w:p>
    <w:p w14:paraId="586EDB2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557B1A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地方财政配套实施，由人社局负责发放。</w:t>
      </w:r>
    </w:p>
    <w:p w14:paraId="74639889">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A7DD76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100万元</w:t>
      </w:r>
    </w:p>
    <w:p w14:paraId="4CF2C9CF">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就业见习补贴_2025年基本民生保障</w:t>
      </w:r>
    </w:p>
    <w:p w14:paraId="47497EB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：资金按规定用于职业培训补贴、职业技能鉴定补贴、社会保险补贴、公益性岗位补贴、就业见习补贴、求职创业补贴、就业创业服务补贴、高技能人才培养补助等支出以及经省级人民政府批准的其他支出项目</w:t>
      </w:r>
    </w:p>
    <w:p w14:paraId="2817FF1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：赣财社〔2023〕181号</w:t>
      </w:r>
    </w:p>
    <w:p w14:paraId="4EFEB16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20AF1A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6AE488C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7890A75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365万元</w:t>
      </w:r>
    </w:p>
    <w:p w14:paraId="70C35F13">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财政对机关事业单位养老保险的补助_人社局</w:t>
      </w:r>
    </w:p>
    <w:p w14:paraId="225B858F">
      <w:pPr>
        <w:keepNext w:val="0"/>
        <w:keepLines w:val="0"/>
        <w:pageBreakBefore w:val="0"/>
        <w:widowControl w:val="0"/>
        <w:kinsoku/>
        <w:wordWrap/>
        <w:overflowPunct/>
        <w:topLinePunct w:val="0"/>
        <w:autoSpaceDE/>
        <w:autoSpaceDN/>
        <w:bidi w:val="0"/>
        <w:adjustRightInd/>
        <w:snapToGrid/>
        <w:ind w:left="0" w:right="0"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仿宋_GB2312" w:hAnsi="仿宋_GB2312" w:eastAsia="仿宋_GB2312" w:cs="仿宋_GB2312"/>
          <w:color w:val="auto"/>
          <w:sz w:val="32"/>
          <w:szCs w:val="32"/>
          <w:lang w:eastAsia="zh-CN"/>
        </w:rPr>
        <w:t>：我市</w:t>
      </w:r>
      <w:r>
        <w:rPr>
          <w:rFonts w:hint="eastAsia" w:ascii="仿宋_GB2312" w:hAnsi="仿宋_GB2312" w:eastAsia="仿宋_GB2312" w:cs="仿宋_GB2312"/>
          <w:color w:val="auto"/>
          <w:sz w:val="32"/>
          <w:szCs w:val="32"/>
          <w:lang w:val="en-US" w:eastAsia="zh-CN"/>
        </w:rPr>
        <w:t>机关养老保险退休人员的养老金发放</w:t>
      </w:r>
      <w:r>
        <w:rPr>
          <w:rFonts w:hint="eastAsia" w:ascii="仿宋_GB2312" w:hAnsi="仿宋_GB2312" w:eastAsia="仿宋_GB2312" w:cs="仿宋_GB2312"/>
          <w:color w:val="auto"/>
          <w:sz w:val="32"/>
          <w:szCs w:val="32"/>
          <w:lang w:eastAsia="zh-CN"/>
        </w:rPr>
        <w:t>。</w:t>
      </w:r>
    </w:p>
    <w:p w14:paraId="2F22C5A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国发[2015]2号</w:t>
      </w:r>
    </w:p>
    <w:p w14:paraId="684A53F9">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仿宋_GB2312" w:hAnsi="仿宋_GB2312" w:eastAsia="仿宋_GB2312" w:cs="仿宋_GB2312"/>
          <w:color w:val="auto"/>
          <w:sz w:val="32"/>
          <w:szCs w:val="32"/>
          <w:lang w:eastAsia="zh-CN"/>
        </w:rPr>
        <w:t>：庐山市人力资源和社会保障局</w:t>
      </w:r>
    </w:p>
    <w:p w14:paraId="35E9289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上级财政资金保障和地方财政配套实施，每年由人社局负责发放。</w:t>
      </w:r>
    </w:p>
    <w:p w14:paraId="196DE63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50E8831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13430万元</w:t>
      </w:r>
    </w:p>
    <w:p w14:paraId="17D289C1">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城乡居民基本养老保险_2025年社会保障体系建设</w:t>
      </w:r>
    </w:p>
    <w:p w14:paraId="5368D8A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：进一步提高城乡居民基本养老保险参保群众的待遇领取水平，确保全市60周岁以上参保居民基本养老金及时足额发放</w:t>
      </w:r>
    </w:p>
    <w:p w14:paraId="3A62A5B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：国发〔2014〕8号</w:t>
      </w:r>
    </w:p>
    <w:p w14:paraId="46542BF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5BAD076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上级财政资金保障和地方财政配套实施，每年由人社局负责发放。</w:t>
      </w:r>
    </w:p>
    <w:p w14:paraId="47BC260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5A00CFF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2578.12万元</w:t>
      </w:r>
    </w:p>
    <w:p w14:paraId="507BADCF">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非经营性国有资产收入的分配支出</w:t>
      </w:r>
    </w:p>
    <w:p w14:paraId="501244D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用于单位日常运转支出</w:t>
      </w:r>
    </w:p>
    <w:p w14:paraId="7F60951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非税预测表</w:t>
      </w:r>
    </w:p>
    <w:p w14:paraId="392BDA70">
      <w:pPr>
        <w:ind w:firstLine="642"/>
        <w:rPr>
          <w:rFonts w:ascii="Adobe 仿宋 Std R" w:hAnsi="Adobe 仿宋 Std R" w:eastAsia="Adobe 仿宋 Std R"/>
          <w:b/>
          <w:bCs/>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7F86060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由人社局本单位承担全年所需开销</w:t>
      </w:r>
    </w:p>
    <w:p w14:paraId="33AFBD1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1C37346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340万元</w:t>
      </w:r>
    </w:p>
    <w:p w14:paraId="52834120">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一般非税收入的分配支出</w:t>
      </w:r>
    </w:p>
    <w:p w14:paraId="1BDEBB3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用于单位日常运转支出</w:t>
      </w:r>
    </w:p>
    <w:p w14:paraId="6CB490F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：《劳动保障监察条例》</w:t>
      </w:r>
    </w:p>
    <w:p w14:paraId="31C15ED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671D71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由人社局本单位承担全年所需开销</w:t>
      </w:r>
    </w:p>
    <w:p w14:paraId="7B55FAC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5D58A4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4.9万元</w:t>
      </w:r>
    </w:p>
    <w:p w14:paraId="32D45BCB">
      <w:pPr>
        <w:numPr>
          <w:ilvl w:val="0"/>
          <w:numId w:val="2"/>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单位自有资金账户收入的分配支出</w:t>
      </w:r>
    </w:p>
    <w:p w14:paraId="7AC3454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用于单位日常运转支出</w:t>
      </w:r>
    </w:p>
    <w:p w14:paraId="33E82F8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非税预测表</w:t>
      </w:r>
    </w:p>
    <w:p w14:paraId="37E066D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FB23B9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由人社局本单位承担全年所需开销</w:t>
      </w:r>
    </w:p>
    <w:p w14:paraId="6BD61665">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1B7AEBE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6.74万元</w:t>
      </w:r>
    </w:p>
    <w:p w14:paraId="6F805602">
      <w:pPr>
        <w:numPr>
          <w:ilvl w:val="0"/>
          <w:numId w:val="0"/>
        </w:numPr>
        <w:rPr>
          <w:rFonts w:hint="default" w:ascii="Adobe 仿宋 Std R" w:hAnsi="Adobe 仿宋 Std R" w:eastAsia="Adobe 仿宋 Std R"/>
          <w:color w:val="auto"/>
          <w:sz w:val="32"/>
          <w:szCs w:val="32"/>
          <w:lang w:val="en-US" w:eastAsia="zh-CN"/>
        </w:rPr>
      </w:pPr>
    </w:p>
    <w:p w14:paraId="0CEB14D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庐山市人社局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2.55</w:t>
      </w:r>
      <w:r>
        <w:rPr>
          <w:rFonts w:hint="eastAsia" w:ascii="仿宋" w:hAnsi="仿宋" w:eastAsia="仿宋"/>
          <w:bCs/>
          <w:color w:val="auto"/>
          <w:sz w:val="32"/>
          <w:szCs w:val="32"/>
        </w:rPr>
        <w:t>万元，其中：</w:t>
      </w:r>
    </w:p>
    <w:p w14:paraId="67A56010">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6629B3E1">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2.55</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0.99</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应政策要求，过紧日子，节省</w:t>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lang w:val="en-US" w:eastAsia="zh-CN"/>
        </w:rPr>
        <w:t>经费开支</w:t>
      </w:r>
      <w:r>
        <w:rPr>
          <w:rFonts w:ascii="仿宋" w:hAnsi="仿宋" w:eastAsia="仿宋"/>
          <w:bCs/>
          <w:color w:val="auto"/>
          <w:sz w:val="32"/>
          <w:szCs w:val="32"/>
        </w:rPr>
        <w:t>。</w:t>
      </w:r>
    </w:p>
    <w:p w14:paraId="3523E5A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0481566">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3DD59E9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EF4C702">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1FF24471">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1CBEC9C">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A738CCA">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auto"/>
          <w:sz w:val="32"/>
          <w:szCs w:val="32"/>
        </w:rPr>
      </w:pPr>
    </w:p>
    <w:p w14:paraId="31218EF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933BF7"/>
    <w:multiLevelType w:val="singleLevel"/>
    <w:tmpl w:val="C2933BF7"/>
    <w:lvl w:ilvl="0" w:tentative="0">
      <w:start w:val="1"/>
      <w:numFmt w:val="decimal"/>
      <w:suff w:val="nothing"/>
      <w:lvlText w:val="%1、"/>
      <w:lvlJc w:val="left"/>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69374E58"/>
    <w:multiLevelType w:val="singleLevel"/>
    <w:tmpl w:val="69374E58"/>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4EF56A7"/>
    <w:rsid w:val="06543E82"/>
    <w:rsid w:val="067A6028"/>
    <w:rsid w:val="09D05E45"/>
    <w:rsid w:val="0C71390F"/>
    <w:rsid w:val="0C97247A"/>
    <w:rsid w:val="0DB3098E"/>
    <w:rsid w:val="0E356BBF"/>
    <w:rsid w:val="0FEC2C40"/>
    <w:rsid w:val="11FF1959"/>
    <w:rsid w:val="138A29AA"/>
    <w:rsid w:val="15453B8B"/>
    <w:rsid w:val="15827B15"/>
    <w:rsid w:val="206D0602"/>
    <w:rsid w:val="212C5238"/>
    <w:rsid w:val="22430342"/>
    <w:rsid w:val="25B931E9"/>
    <w:rsid w:val="2828673B"/>
    <w:rsid w:val="2BC74EA2"/>
    <w:rsid w:val="2C57797E"/>
    <w:rsid w:val="32213853"/>
    <w:rsid w:val="3328400E"/>
    <w:rsid w:val="35D602C2"/>
    <w:rsid w:val="36031C0A"/>
    <w:rsid w:val="38C20ECB"/>
    <w:rsid w:val="3A086DB2"/>
    <w:rsid w:val="3A841EE9"/>
    <w:rsid w:val="3A9F1A72"/>
    <w:rsid w:val="3B7D1841"/>
    <w:rsid w:val="3C6D657C"/>
    <w:rsid w:val="3D2909BB"/>
    <w:rsid w:val="3DBD6105"/>
    <w:rsid w:val="3DF13D37"/>
    <w:rsid w:val="3E0D0E3B"/>
    <w:rsid w:val="3F383632"/>
    <w:rsid w:val="40074AB7"/>
    <w:rsid w:val="4052753A"/>
    <w:rsid w:val="45BD0053"/>
    <w:rsid w:val="45C116B1"/>
    <w:rsid w:val="465313B5"/>
    <w:rsid w:val="48A83B8E"/>
    <w:rsid w:val="4FE237A9"/>
    <w:rsid w:val="502E68D6"/>
    <w:rsid w:val="53516268"/>
    <w:rsid w:val="565526B4"/>
    <w:rsid w:val="566D64C3"/>
    <w:rsid w:val="56C47F55"/>
    <w:rsid w:val="57CB2345"/>
    <w:rsid w:val="57D75ADC"/>
    <w:rsid w:val="5C497514"/>
    <w:rsid w:val="618D7A19"/>
    <w:rsid w:val="61E0552E"/>
    <w:rsid w:val="62D6302D"/>
    <w:rsid w:val="63306EE5"/>
    <w:rsid w:val="633916A0"/>
    <w:rsid w:val="63E33020"/>
    <w:rsid w:val="6464197D"/>
    <w:rsid w:val="64EB571C"/>
    <w:rsid w:val="656A2922"/>
    <w:rsid w:val="65810156"/>
    <w:rsid w:val="6BE248E5"/>
    <w:rsid w:val="6EDB6140"/>
    <w:rsid w:val="6F8655D8"/>
    <w:rsid w:val="71996B2B"/>
    <w:rsid w:val="73A85115"/>
    <w:rsid w:val="745F0A5C"/>
    <w:rsid w:val="77B358A8"/>
    <w:rsid w:val="795E480A"/>
    <w:rsid w:val="7A140880"/>
    <w:rsid w:val="7B374E23"/>
    <w:rsid w:val="7BB06386"/>
    <w:rsid w:val="7D844F3F"/>
    <w:rsid w:val="7F4A7DF6"/>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1409</Words>
  <Characters>1424</Characters>
  <Lines>51</Lines>
  <Paragraphs>14</Paragraphs>
  <TotalTime>37</TotalTime>
  <ScaleCrop>false</ScaleCrop>
  <LinksUpToDate>false</LinksUpToDate>
  <CharactersWithSpaces>1442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 ♂</cp:lastModifiedBy>
  <dcterms:modified xsi:type="dcterms:W3CDTF">2025-01-09T06:39:37Z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eyJoZGlkIjoiOTlmYThlYzJkYjMzZWVhMTJmYmU3YWIyODg3YWY5MjAiLCJ1c2VySWQiOiIzNzk4NDc4MjEifQ==</vt:lpwstr>
  </property>
</Properties>
</file>