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D5C73">
      <w:pPr>
        <w:widowControl/>
        <w:spacing w:line="520" w:lineRule="atLeast"/>
        <w:rPr>
          <w:rFonts w:ascii="黑体" w:hAnsi="黑体" w:eastAsia="黑体" w:cs="Times New Roman"/>
          <w:b/>
          <w:bCs/>
          <w:color w:val="auto"/>
          <w:kern w:val="0"/>
          <w:sz w:val="44"/>
          <w:szCs w:val="44"/>
          <w:highlight w:val="none"/>
        </w:rPr>
      </w:pPr>
      <w:r>
        <w:rPr>
          <w:rFonts w:hint="eastAsia" w:ascii="黑体" w:hAnsi="黑体" w:eastAsia="黑体" w:cs="Times New Roman"/>
          <w:b/>
          <w:bCs/>
          <w:color w:val="auto"/>
          <w:kern w:val="0"/>
          <w:sz w:val="44"/>
          <w:szCs w:val="44"/>
          <w:highlight w:val="none"/>
          <w:lang w:eastAsia="zh-CN"/>
        </w:rPr>
        <w:t>庐山市沙湖山九年制学校</w:t>
      </w:r>
      <w:r>
        <w:rPr>
          <w:rFonts w:hint="eastAsia" w:ascii="黑体" w:hAnsi="黑体" w:eastAsia="黑体" w:cs="Times New Roman"/>
          <w:b/>
          <w:bCs/>
          <w:color w:val="auto"/>
          <w:kern w:val="0"/>
          <w:sz w:val="44"/>
          <w:szCs w:val="44"/>
          <w:highlight w:val="none"/>
          <w:lang w:val="en-US" w:eastAsia="zh-CN"/>
        </w:rPr>
        <w:t>2025</w:t>
      </w:r>
      <w:r>
        <w:rPr>
          <w:rFonts w:hint="eastAsia" w:ascii="黑体" w:hAnsi="黑体" w:eastAsia="黑体" w:cs="Times New Roman"/>
          <w:b/>
          <w:bCs/>
          <w:color w:val="auto"/>
          <w:kern w:val="0"/>
          <w:sz w:val="44"/>
          <w:szCs w:val="44"/>
          <w:highlight w:val="none"/>
        </w:rPr>
        <w:t>年</w:t>
      </w:r>
      <w:r>
        <w:rPr>
          <w:rFonts w:hint="eastAsia" w:ascii="黑体" w:hAnsi="黑体" w:eastAsia="黑体" w:cs="Times New Roman"/>
          <w:b/>
          <w:bCs/>
          <w:color w:val="auto"/>
          <w:kern w:val="0"/>
          <w:sz w:val="44"/>
          <w:szCs w:val="44"/>
        </w:rPr>
        <w:t>单位</w:t>
      </w:r>
      <w:r>
        <w:rPr>
          <w:rFonts w:hint="eastAsia" w:ascii="黑体" w:hAnsi="黑体" w:eastAsia="黑体" w:cs="Times New Roman"/>
          <w:b/>
          <w:bCs/>
          <w:color w:val="auto"/>
          <w:kern w:val="0"/>
          <w:sz w:val="44"/>
          <w:szCs w:val="44"/>
          <w:highlight w:val="none"/>
        </w:rPr>
        <w:t>预算</w:t>
      </w:r>
    </w:p>
    <w:p w14:paraId="65297B4B">
      <w:pPr>
        <w:pStyle w:val="12"/>
        <w:spacing w:line="600" w:lineRule="atLeast"/>
        <w:jc w:val="center"/>
        <w:rPr>
          <w:rFonts w:ascii="黑体" w:hAnsi="黑体" w:eastAsia="黑体"/>
          <w:color w:val="auto"/>
          <w:sz w:val="32"/>
          <w:szCs w:val="32"/>
          <w:highlight w:val="none"/>
        </w:rPr>
      </w:pPr>
    </w:p>
    <w:p w14:paraId="228D5A92">
      <w:pPr>
        <w:pStyle w:val="12"/>
        <w:spacing w:line="600" w:lineRule="atLeas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目    录</w:t>
      </w:r>
    </w:p>
    <w:p w14:paraId="4DBC094A">
      <w:pPr>
        <w:pStyle w:val="12"/>
        <w:rPr>
          <w:rFonts w:ascii="宋体" w:hAnsi="宋体"/>
          <w:color w:val="auto"/>
          <w:highlight w:val="none"/>
        </w:rPr>
      </w:pPr>
    </w:p>
    <w:p w14:paraId="69D703E2">
      <w:pPr>
        <w:pStyle w:val="12"/>
        <w:tabs>
          <w:tab w:val="right" w:pos="8306"/>
        </w:tabs>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第一部分  </w:t>
      </w:r>
      <w:r>
        <w:rPr>
          <w:rFonts w:hint="eastAsia" w:ascii="仿宋_GB2312" w:eastAsia="仿宋_GB2312"/>
          <w:b/>
          <w:bCs/>
          <w:color w:val="auto"/>
          <w:sz w:val="32"/>
          <w:szCs w:val="32"/>
          <w:highlight w:val="none"/>
          <w:lang w:eastAsia="zh-CN"/>
        </w:rPr>
        <w:t>庐山市沙湖山九年制学校</w:t>
      </w:r>
      <w:r>
        <w:rPr>
          <w:rFonts w:hint="eastAsia" w:ascii="仿宋_GB2312" w:eastAsia="仿宋_GB2312"/>
          <w:b/>
          <w:bCs/>
          <w:color w:val="auto"/>
          <w:sz w:val="32"/>
          <w:szCs w:val="32"/>
          <w:highlight w:val="none"/>
        </w:rPr>
        <w:t>概况</w:t>
      </w:r>
      <w:r>
        <w:rPr>
          <w:rFonts w:ascii="仿宋_GB2312" w:eastAsia="仿宋_GB2312"/>
          <w:b/>
          <w:bCs/>
          <w:color w:val="auto"/>
          <w:sz w:val="32"/>
          <w:szCs w:val="32"/>
          <w:highlight w:val="none"/>
        </w:rPr>
        <w:tab/>
      </w:r>
    </w:p>
    <w:p w14:paraId="095314D6">
      <w:pPr>
        <w:pStyle w:val="12"/>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 xml:space="preserve"> </w:t>
      </w:r>
      <w:r>
        <w:rPr>
          <w:rFonts w:ascii="Adobe 仿宋 Std R" w:hAnsi="Adobe 仿宋 Std R" w:eastAsia="Adobe 仿宋 Std R" w:cstheme="minorBidi"/>
          <w:color w:val="auto"/>
          <w:kern w:val="2"/>
          <w:sz w:val="32"/>
          <w:szCs w:val="30"/>
          <w:highlight w:val="none"/>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highlight w:val="none"/>
        </w:rPr>
        <w:t>主要职责</w:t>
      </w:r>
    </w:p>
    <w:p w14:paraId="0E96F27A">
      <w:pPr>
        <w:pStyle w:val="12"/>
        <w:spacing w:line="600" w:lineRule="atLeast"/>
        <w:ind w:firstLine="1280" w:firstLineChars="40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机构设置及人员情况</w:t>
      </w:r>
    </w:p>
    <w:p w14:paraId="0E5BBF58">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第二部分  </w:t>
      </w:r>
      <w:r>
        <w:rPr>
          <w:rFonts w:hint="eastAsia" w:ascii="仿宋_GB2312" w:eastAsia="仿宋_GB2312"/>
          <w:b/>
          <w:bCs/>
          <w:color w:val="auto"/>
          <w:sz w:val="32"/>
          <w:szCs w:val="32"/>
          <w:highlight w:val="none"/>
          <w:lang w:eastAsia="zh-CN"/>
        </w:rPr>
        <w:t>庐山市沙湖山九年制学校</w:t>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w:t>
      </w:r>
      <w:r>
        <w:rPr>
          <w:rFonts w:hint="eastAsia" w:ascii="仿宋_GB2312" w:eastAsia="仿宋_GB2312"/>
          <w:b/>
          <w:bCs/>
          <w:color w:val="auto"/>
          <w:sz w:val="32"/>
          <w:szCs w:val="32"/>
        </w:rPr>
        <w:t>单位</w:t>
      </w:r>
      <w:r>
        <w:rPr>
          <w:rFonts w:hint="eastAsia" w:ascii="仿宋_GB2312" w:eastAsia="仿宋_GB2312"/>
          <w:b/>
          <w:bCs/>
          <w:color w:val="auto"/>
          <w:sz w:val="32"/>
          <w:szCs w:val="32"/>
          <w:highlight w:val="none"/>
        </w:rPr>
        <w:t>预算表</w:t>
      </w:r>
    </w:p>
    <w:p w14:paraId="25E50FB1">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14:paraId="1306FEE0">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highlight w:val="none"/>
        </w:rPr>
        <w:t>收入总表》</w:t>
      </w:r>
    </w:p>
    <w:p w14:paraId="157BCB49">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highlight w:val="none"/>
        </w:rPr>
        <w:t>支出总表》</w:t>
      </w:r>
    </w:p>
    <w:p w14:paraId="62A89EE9">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四、《财政拨款收支总表》</w:t>
      </w:r>
    </w:p>
    <w:p w14:paraId="35A89F21">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五、《一般公共预算支出表》</w:t>
      </w:r>
    </w:p>
    <w:p w14:paraId="11FAF4C5">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六、《一般公共预算基本支出表》</w:t>
      </w:r>
    </w:p>
    <w:p w14:paraId="4EA84343">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七、《财政拨款“三公”经费支出表》</w:t>
      </w:r>
    </w:p>
    <w:p w14:paraId="77AF4040">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八、《政府性基金预算支出表》</w:t>
      </w:r>
    </w:p>
    <w:p w14:paraId="5334D31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r>
        <w:rPr>
          <w:rFonts w:hint="eastAsia" w:ascii="Adobe 仿宋 Std R" w:hAnsi="Adobe 仿宋 Std R" w:eastAsia="Adobe 仿宋 Std R" w:cstheme="minorBidi"/>
          <w:color w:val="auto"/>
          <w:kern w:val="2"/>
          <w:sz w:val="32"/>
          <w:szCs w:val="30"/>
          <w:highlight w:val="none"/>
        </w:rPr>
        <w:tab/>
      </w:r>
    </w:p>
    <w:p w14:paraId="7E2E04F2">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14:paraId="10E10EE5">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第三部分 </w:t>
      </w:r>
      <w:r>
        <w:rPr>
          <w:rFonts w:hint="eastAsia" w:ascii="仿宋_GB2312" w:eastAsia="仿宋_GB2312"/>
          <w:b/>
          <w:bCs/>
          <w:color w:val="auto"/>
          <w:sz w:val="32"/>
          <w:szCs w:val="32"/>
          <w:highlight w:val="none"/>
          <w:lang w:eastAsia="zh-CN"/>
        </w:rPr>
        <w:t>庐山市沙湖山九年制学校</w:t>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w:t>
      </w:r>
      <w:r>
        <w:rPr>
          <w:rFonts w:hint="eastAsia" w:ascii="仿宋_GB2312" w:eastAsia="仿宋_GB2312"/>
          <w:b/>
          <w:bCs/>
          <w:color w:val="auto"/>
          <w:sz w:val="32"/>
          <w:szCs w:val="32"/>
        </w:rPr>
        <w:t>单位</w:t>
      </w:r>
      <w:r>
        <w:rPr>
          <w:rFonts w:hint="eastAsia" w:ascii="仿宋_GB2312" w:eastAsia="仿宋_GB2312"/>
          <w:b/>
          <w:bCs/>
          <w:color w:val="auto"/>
          <w:sz w:val="32"/>
          <w:szCs w:val="32"/>
          <w:highlight w:val="none"/>
        </w:rPr>
        <w:t>预算情况说明</w:t>
      </w:r>
    </w:p>
    <w:p w14:paraId="2ADA8E1A">
      <w:pPr>
        <w:pStyle w:val="12"/>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一、202</w:t>
      </w:r>
      <w:r>
        <w:rPr>
          <w:rFonts w:hint="eastAsia" w:ascii="Adobe 仿宋 Std R" w:hAnsi="Adobe 仿宋 Std R" w:eastAsia="Adobe 仿宋 Std R" w:cstheme="minorBidi"/>
          <w:color w:val="auto"/>
          <w:kern w:val="2"/>
          <w:sz w:val="32"/>
          <w:szCs w:val="30"/>
          <w:highlight w:val="none"/>
          <w:lang w:val="en-US" w:eastAsia="zh-CN"/>
        </w:rPr>
        <w:t>5</w:t>
      </w:r>
      <w:r>
        <w:rPr>
          <w:rFonts w:ascii="Adobe 仿宋 Std R" w:hAnsi="Adobe 仿宋 Std R" w:eastAsia="Adobe 仿宋 Std R" w:cstheme="minorBidi"/>
          <w:color w:val="auto"/>
          <w:kern w:val="2"/>
          <w:sz w:val="32"/>
          <w:szCs w:val="30"/>
          <w:highlight w:val="none"/>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highlight w:val="none"/>
        </w:rPr>
        <w:t>预算收支情况说明</w:t>
      </w:r>
    </w:p>
    <w:p w14:paraId="43CA362A">
      <w:pPr>
        <w:pStyle w:val="12"/>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 xml:space="preserve"> 二、202</w:t>
      </w:r>
      <w:r>
        <w:rPr>
          <w:rFonts w:hint="eastAsia" w:ascii="Adobe 仿宋 Std R" w:hAnsi="Adobe 仿宋 Std R" w:eastAsia="Adobe 仿宋 Std R" w:cstheme="minorBidi"/>
          <w:color w:val="auto"/>
          <w:kern w:val="2"/>
          <w:sz w:val="32"/>
          <w:szCs w:val="30"/>
          <w:highlight w:val="none"/>
          <w:lang w:val="en-US" w:eastAsia="zh-CN"/>
        </w:rPr>
        <w:t>5</w:t>
      </w:r>
      <w:r>
        <w:rPr>
          <w:rFonts w:ascii="Adobe 仿宋 Std R" w:hAnsi="Adobe 仿宋 Std R" w:eastAsia="Adobe 仿宋 Std R" w:cstheme="minorBidi"/>
          <w:color w:val="auto"/>
          <w:kern w:val="2"/>
          <w:sz w:val="32"/>
          <w:szCs w:val="30"/>
          <w:highlight w:val="none"/>
        </w:rPr>
        <w:t>年“三公”经费预算情况说明</w:t>
      </w:r>
    </w:p>
    <w:p w14:paraId="1B12CCBB">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p>
    <w:p w14:paraId="63A71C98">
      <w:pPr>
        <w:pStyle w:val="12"/>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第四部分  名词解释</w:t>
      </w:r>
    </w:p>
    <w:p w14:paraId="3699D5F1">
      <w:pPr>
        <w:widowControl/>
        <w:spacing w:line="580" w:lineRule="exact"/>
        <w:jc w:val="center"/>
        <w:rPr>
          <w:rFonts w:ascii="仿宋_GB2312" w:eastAsia="仿宋_GB2312"/>
          <w:b/>
          <w:color w:val="auto"/>
          <w:sz w:val="32"/>
          <w:szCs w:val="30"/>
          <w:highlight w:val="none"/>
        </w:rPr>
      </w:pPr>
    </w:p>
    <w:p w14:paraId="659B5049">
      <w:pPr>
        <w:widowControl/>
        <w:spacing w:line="580" w:lineRule="exact"/>
        <w:jc w:val="center"/>
        <w:rPr>
          <w:rFonts w:ascii="仿宋_GB2312" w:eastAsia="仿宋_GB2312"/>
          <w:b/>
          <w:color w:val="auto"/>
          <w:sz w:val="32"/>
          <w:szCs w:val="30"/>
          <w:highlight w:val="none"/>
        </w:rPr>
      </w:pPr>
    </w:p>
    <w:p w14:paraId="3D91468B">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第一部分  </w:t>
      </w:r>
      <w:r>
        <w:rPr>
          <w:rFonts w:hint="eastAsia" w:ascii="仿宋_GB2312" w:eastAsia="仿宋_GB2312"/>
          <w:b/>
          <w:color w:val="auto"/>
          <w:sz w:val="32"/>
          <w:szCs w:val="30"/>
          <w:highlight w:val="none"/>
          <w:lang w:eastAsia="zh-CN"/>
        </w:rPr>
        <w:t>庐山市沙湖山九年制学校</w:t>
      </w:r>
      <w:r>
        <w:rPr>
          <w:rFonts w:hint="eastAsia" w:ascii="仿宋_GB2312" w:eastAsia="仿宋_GB2312"/>
          <w:b/>
          <w:color w:val="auto"/>
          <w:sz w:val="32"/>
          <w:szCs w:val="30"/>
          <w:highlight w:val="none"/>
        </w:rPr>
        <w:t>概况</w:t>
      </w:r>
    </w:p>
    <w:p w14:paraId="2C1042AF">
      <w:pPr>
        <w:widowControl/>
        <w:spacing w:line="580" w:lineRule="exact"/>
        <w:jc w:val="left"/>
        <w:rPr>
          <w:rFonts w:asciiTheme="minorEastAsia" w:hAnsiTheme="minorEastAsia"/>
          <w:b/>
          <w:color w:val="auto"/>
          <w:sz w:val="36"/>
          <w:szCs w:val="36"/>
          <w:highlight w:val="none"/>
        </w:rPr>
      </w:pPr>
    </w:p>
    <w:p w14:paraId="221A199D">
      <w:pPr>
        <w:widowControl/>
        <w:spacing w:line="580" w:lineRule="exact"/>
        <w:jc w:val="left"/>
        <w:rPr>
          <w:rFonts w:asciiTheme="minorEastAsia" w:hAnsiTheme="minorEastAsia"/>
          <w:b/>
          <w:color w:val="auto"/>
          <w:sz w:val="36"/>
          <w:szCs w:val="36"/>
          <w:highlight w:val="none"/>
        </w:rPr>
      </w:pPr>
      <w:r>
        <w:rPr>
          <w:rFonts w:hint="eastAsia" w:asciiTheme="minorEastAsia" w:hAnsiTheme="minorEastAsia"/>
          <w:b/>
          <w:color w:val="auto"/>
          <w:sz w:val="36"/>
          <w:szCs w:val="36"/>
          <w:highlight w:val="none"/>
        </w:rPr>
        <w:t>一、</w:t>
      </w:r>
      <w:r>
        <w:rPr>
          <w:rFonts w:hint="eastAsia" w:asciiTheme="minorEastAsia" w:hAnsiTheme="minorEastAsia"/>
          <w:b/>
          <w:color w:val="auto"/>
          <w:sz w:val="36"/>
          <w:szCs w:val="36"/>
        </w:rPr>
        <w:t>单位</w:t>
      </w:r>
      <w:r>
        <w:rPr>
          <w:rFonts w:hint="eastAsia" w:asciiTheme="minorEastAsia" w:hAnsiTheme="minorEastAsia"/>
          <w:b/>
          <w:color w:val="auto"/>
          <w:sz w:val="36"/>
          <w:szCs w:val="36"/>
          <w:highlight w:val="none"/>
        </w:rPr>
        <w:t>主要职责</w:t>
      </w:r>
    </w:p>
    <w:p w14:paraId="64E109B5">
      <w:pPr>
        <w:jc w:val="left"/>
        <w:rPr>
          <w:rFonts w:ascii="宋体" w:hAnsi="宋体" w:eastAsia="仿宋_GB2312" w:cs="仿宋_GB2312"/>
          <w:color w:val="auto"/>
          <w:sz w:val="32"/>
          <w:szCs w:val="32"/>
          <w:highlight w:val="none"/>
        </w:rPr>
      </w:pPr>
      <w:r>
        <w:rPr>
          <w:rFonts w:hint="eastAsia" w:ascii="宋体" w:hAnsi="宋体" w:eastAsia="仿宋_GB2312" w:cs="仿宋_GB2312"/>
          <w:color w:val="auto"/>
          <w:sz w:val="32"/>
          <w:szCs w:val="32"/>
          <w:highlight w:val="none"/>
        </w:rPr>
        <w:t>庐山市</w:t>
      </w:r>
      <w:r>
        <w:rPr>
          <w:rFonts w:hint="eastAsia" w:ascii="宋体" w:hAnsi="宋体" w:eastAsia="仿宋_GB2312" w:cs="仿宋_GB2312"/>
          <w:color w:val="auto"/>
          <w:sz w:val="32"/>
          <w:szCs w:val="32"/>
          <w:highlight w:val="none"/>
          <w:lang w:eastAsia="zh-CN"/>
        </w:rPr>
        <w:t>沙湖山九年制学校</w:t>
      </w:r>
      <w:r>
        <w:rPr>
          <w:rFonts w:hint="eastAsia" w:ascii="宋体" w:hAnsi="宋体" w:eastAsia="仿宋_GB2312" w:cs="仿宋_GB2312"/>
          <w:color w:val="auto"/>
          <w:sz w:val="32"/>
          <w:szCs w:val="32"/>
          <w:highlight w:val="none"/>
        </w:rPr>
        <w:t>是一所公办小学，主要职责是：</w:t>
      </w:r>
    </w:p>
    <w:p w14:paraId="531CDD1A">
      <w:pPr>
        <w:numPr>
          <w:ilvl w:val="0"/>
          <w:numId w:val="1"/>
        </w:numPr>
        <w:ind w:firstLine="600" w:firstLineChars="200"/>
        <w:jc w:val="left"/>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贯彻落实党的教育和体育工作的方针、政策、法律和法规，研究全市教育改革发展重大问题，综合指导、协调和管理全市的教育体育工作。</w:t>
      </w:r>
    </w:p>
    <w:p w14:paraId="02DCFD0F">
      <w:pPr>
        <w:numPr>
          <w:numId w:val="0"/>
        </w:num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（二）编制庐山市</w:t>
      </w:r>
      <w:r>
        <w:rPr>
          <w:rFonts w:hint="eastAsia" w:ascii="仿宋_GB2312" w:hAnsi="宋体" w:eastAsia="仿宋_GB2312" w:cs="宋体"/>
          <w:color w:val="auto"/>
          <w:kern w:val="0"/>
          <w:sz w:val="30"/>
          <w:szCs w:val="30"/>
          <w:highlight w:val="none"/>
          <w:lang w:eastAsia="zh-CN"/>
        </w:rPr>
        <w:t>沙湖山九年制学校</w:t>
      </w:r>
      <w:r>
        <w:rPr>
          <w:rFonts w:hint="eastAsia" w:ascii="仿宋_GB2312" w:hAnsi="宋体" w:eastAsia="仿宋_GB2312" w:cs="宋体"/>
          <w:color w:val="auto"/>
          <w:kern w:val="0"/>
          <w:sz w:val="30"/>
          <w:szCs w:val="30"/>
          <w:highlight w:val="none"/>
        </w:rPr>
        <w:t>教育事业发展规划、计划的实施，指导全镇办学体制改革，理顺教育内部和外部的关系，建立适应全镇经济社会发展的教育体制及运营机制。</w:t>
      </w:r>
    </w:p>
    <w:p w14:paraId="61E45262">
      <w:p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（三）综合管理全镇学前教育、小学教育</w:t>
      </w:r>
      <w:r>
        <w:rPr>
          <w:rFonts w:hint="eastAsia" w:ascii="仿宋_GB2312" w:hAnsi="宋体" w:eastAsia="仿宋_GB2312" w:cs="宋体"/>
          <w:color w:val="auto"/>
          <w:kern w:val="0"/>
          <w:sz w:val="30"/>
          <w:szCs w:val="30"/>
          <w:highlight w:val="none"/>
          <w:lang w:eastAsia="zh-CN"/>
        </w:rPr>
        <w:t>、初中教育</w:t>
      </w:r>
      <w:r>
        <w:rPr>
          <w:rFonts w:hint="eastAsia" w:ascii="仿宋_GB2312" w:hAnsi="宋体" w:eastAsia="仿宋_GB2312" w:cs="宋体"/>
          <w:color w:val="auto"/>
          <w:kern w:val="0"/>
          <w:sz w:val="30"/>
          <w:szCs w:val="30"/>
          <w:highlight w:val="none"/>
        </w:rPr>
        <w:t>及社会力量办学工作，指导和管理小学的教育教学工作，负责教育督导与评估。</w:t>
      </w:r>
    </w:p>
    <w:p w14:paraId="7BA7337F">
      <w:p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（四）负责推进教育均衡发展和促进教育公平，全面实施素质教育。统筹管理全镇教育系统对外交流工作。</w:t>
      </w:r>
    </w:p>
    <w:p w14:paraId="2AC317BE">
      <w:pPr>
        <w:pStyle w:val="4"/>
        <w:spacing w:before="0" w:beforeAutospacing="0" w:after="0" w:afterAutospacing="0"/>
        <w:ind w:firstLine="750" w:firstLineChars="250"/>
        <w:rPr>
          <w:rFonts w:ascii="仿宋_GB2312" w:eastAsia="仿宋_GB2312"/>
          <w:color w:val="auto"/>
          <w:sz w:val="30"/>
          <w:szCs w:val="30"/>
          <w:highlight w:val="none"/>
        </w:rPr>
      </w:pPr>
      <w:bookmarkStart w:id="0" w:name="_GoBack"/>
      <w:bookmarkEnd w:id="0"/>
      <w:r>
        <w:rPr>
          <w:rFonts w:hint="eastAsia" w:ascii="仿宋_GB2312" w:eastAsia="仿宋_GB2312"/>
          <w:color w:val="auto"/>
          <w:sz w:val="30"/>
          <w:szCs w:val="30"/>
          <w:highlight w:val="none"/>
        </w:rPr>
        <w:t>（五）负责教师队伍建设和教师继续教育工作；负责教师管理工作，组织实施教师资格制度；负责管理语言文字工作；指导和组织推广普通话和规范汉字书写工作；承担教师资格认定申报工作；负责对发展教育事业做出突出贡献者进行奖励；在庐山市教体局的指导下接受大中专院校毕业生就业工作。</w:t>
      </w:r>
    </w:p>
    <w:p w14:paraId="18067999">
      <w:p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（六）统筹管理本单位教育经费，会同有关</w:t>
      </w:r>
      <w:r>
        <w:rPr>
          <w:rFonts w:hint="eastAsia" w:ascii="仿宋_GB2312" w:hAnsi="宋体" w:eastAsia="仿宋_GB2312" w:cs="宋体"/>
          <w:color w:val="auto"/>
          <w:kern w:val="0"/>
          <w:sz w:val="30"/>
          <w:szCs w:val="30"/>
          <w:highlight w:val="none"/>
          <w:lang w:val="en-US" w:eastAsia="zh-CN"/>
        </w:rPr>
        <w:t>单位</w:t>
      </w:r>
      <w:r>
        <w:rPr>
          <w:rFonts w:hint="eastAsia" w:ascii="仿宋_GB2312" w:hAnsi="宋体" w:eastAsia="仿宋_GB2312" w:cs="宋体"/>
          <w:color w:val="auto"/>
          <w:kern w:val="0"/>
          <w:sz w:val="30"/>
          <w:szCs w:val="30"/>
          <w:highlight w:val="none"/>
        </w:rPr>
        <w:t>拟定筹措教育经费、教育基建投资的规划，按有关规定管理中央、省、市对全市的教育拨、贷款及捐赠资金，监督测评全市教育经费的筹措和使用管理情况。</w:t>
      </w:r>
    </w:p>
    <w:p w14:paraId="722E9DEC">
      <w:p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（七）归口庐山市教育体育局工作。</w:t>
      </w:r>
    </w:p>
    <w:p w14:paraId="4852AA84">
      <w:p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（八）协助有关</w:t>
      </w:r>
      <w:r>
        <w:rPr>
          <w:rFonts w:hint="eastAsia" w:ascii="仿宋_GB2312" w:hAnsi="宋体" w:eastAsia="仿宋_GB2312" w:cs="宋体"/>
          <w:color w:val="auto"/>
          <w:kern w:val="0"/>
          <w:sz w:val="30"/>
          <w:szCs w:val="30"/>
          <w:highlight w:val="none"/>
          <w:lang w:val="en-US" w:eastAsia="zh-CN"/>
        </w:rPr>
        <w:t>单位</w:t>
      </w:r>
      <w:r>
        <w:rPr>
          <w:rFonts w:hint="eastAsia" w:ascii="仿宋_GB2312" w:hAnsi="宋体" w:eastAsia="仿宋_GB2312" w:cs="宋体"/>
          <w:color w:val="auto"/>
          <w:kern w:val="0"/>
          <w:sz w:val="30"/>
          <w:szCs w:val="30"/>
          <w:highlight w:val="none"/>
        </w:rPr>
        <w:t>指导学校的思想政治工作、德育工作、体育卫生艺术教育及国防教育工作，统筹协调学校的安全稳定工作。</w:t>
      </w:r>
    </w:p>
    <w:p w14:paraId="762D0DC6">
      <w:p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（九）指导庐山市</w:t>
      </w:r>
      <w:r>
        <w:rPr>
          <w:rFonts w:hint="eastAsia" w:ascii="仿宋_GB2312" w:hAnsi="宋体" w:eastAsia="仿宋_GB2312" w:cs="宋体"/>
          <w:color w:val="auto"/>
          <w:kern w:val="0"/>
          <w:sz w:val="30"/>
          <w:szCs w:val="30"/>
          <w:highlight w:val="none"/>
          <w:lang w:eastAsia="zh-CN"/>
        </w:rPr>
        <w:t>沙湖山九年制学校</w:t>
      </w:r>
      <w:r>
        <w:rPr>
          <w:rFonts w:hint="eastAsia" w:ascii="仿宋_GB2312" w:hAnsi="宋体" w:eastAsia="仿宋_GB2312" w:cs="宋体"/>
          <w:color w:val="auto"/>
          <w:kern w:val="0"/>
          <w:sz w:val="30"/>
          <w:szCs w:val="30"/>
          <w:highlight w:val="none"/>
        </w:rPr>
        <w:t>教育宣传、教育系统信息化建设和现代远程教育及校园网络建设工作。承担学校教育基本信息的统计、分析和发布。</w:t>
      </w:r>
    </w:p>
    <w:p w14:paraId="5897796D">
      <w:pPr>
        <w:ind w:firstLine="600" w:firstLineChars="20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（十）统筹规划竞技体育发展，竟技运动项目设置与重点布局。组织安排各类赛事。</w:t>
      </w:r>
    </w:p>
    <w:p w14:paraId="364AB921">
      <w:pPr>
        <w:ind w:firstLine="64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（十一）实施全民健身计划，指导群众性体育活动的发展，实施国家体育锻炼标准，开展国民体质监测；加强社区体育工作，正确引导群众的健身活动；</w:t>
      </w:r>
    </w:p>
    <w:p w14:paraId="29C2993D">
      <w:pPr>
        <w:ind w:firstLine="640"/>
        <w:jc w:val="left"/>
        <w:rPr>
          <w:rFonts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（十二）承办市政府交办的其他工作。</w:t>
      </w:r>
    </w:p>
    <w:p w14:paraId="6AF8D607">
      <w:pPr>
        <w:rPr>
          <w:b/>
          <w:color w:val="auto"/>
          <w:sz w:val="36"/>
          <w:szCs w:val="36"/>
          <w:highlight w:val="none"/>
        </w:rPr>
      </w:pPr>
      <w:r>
        <w:rPr>
          <w:rFonts w:hint="eastAsia"/>
          <w:b/>
          <w:color w:val="auto"/>
          <w:sz w:val="36"/>
          <w:szCs w:val="36"/>
          <w:highlight w:val="none"/>
        </w:rPr>
        <w:t>二、机构设置及人员情况</w:t>
      </w:r>
    </w:p>
    <w:p w14:paraId="18D36195">
      <w:pPr>
        <w:pStyle w:val="12"/>
        <w:spacing w:line="600" w:lineRule="atLeast"/>
        <w:ind w:firstLine="640" w:firstLineChars="200"/>
        <w:jc w:val="left"/>
        <w:rPr>
          <w:rFonts w:hint="eastAsia" w:ascii="Adobe 仿宋 Std R" w:hAnsi="Adobe 仿宋 Std R" w:eastAsia="Adobe 仿宋 Std R" w:cstheme="minorBidi"/>
          <w:kern w:val="2"/>
          <w:sz w:val="32"/>
          <w:szCs w:val="30"/>
        </w:rPr>
      </w:pPr>
      <w:r>
        <w:rPr>
          <w:rFonts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庐山市沙湖山九年制学校</w:t>
      </w:r>
      <w:r>
        <w:rPr>
          <w:rFonts w:hint="eastAsia" w:ascii="Adobe 仿宋 Std R" w:hAnsi="Adobe 仿宋 Std R" w:eastAsia="Adobe 仿宋 Std R" w:cstheme="minorBidi"/>
          <w:kern w:val="2"/>
          <w:sz w:val="32"/>
          <w:szCs w:val="30"/>
        </w:rPr>
        <w:t>内设</w:t>
      </w:r>
      <w:r>
        <w:rPr>
          <w:rFonts w:hint="eastAsia" w:ascii="Adobe 仿宋 Std R" w:hAnsi="Adobe 仿宋 Std R" w:eastAsia="Adobe 仿宋 Std R" w:cstheme="minorBidi"/>
          <w:kern w:val="2"/>
          <w:sz w:val="32"/>
          <w:szCs w:val="30"/>
          <w:lang w:val="en-US" w:eastAsia="zh-CN"/>
        </w:rPr>
        <w:t>机构4</w:t>
      </w:r>
      <w:r>
        <w:rPr>
          <w:rFonts w:hint="eastAsia" w:ascii="Adobe 仿宋 Std R" w:hAnsi="Adobe 仿宋 Std R" w:eastAsia="Adobe 仿宋 Std R" w:cstheme="minorBidi"/>
          <w:kern w:val="2"/>
          <w:sz w:val="32"/>
          <w:szCs w:val="30"/>
        </w:rPr>
        <w:t>个，</w:t>
      </w:r>
      <w:r>
        <w:rPr>
          <w:rFonts w:ascii="Adobe 仿宋 Std R" w:hAnsi="Adobe 仿宋 Std R" w:eastAsia="Adobe 仿宋 Std R" w:cstheme="minorBidi"/>
          <w:kern w:val="2"/>
          <w:sz w:val="32"/>
          <w:szCs w:val="30"/>
        </w:rPr>
        <w:t>包括</w:t>
      </w:r>
      <w:r>
        <w:rPr>
          <w:rFonts w:hint="eastAsia"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lang w:eastAsia="zh-CN"/>
        </w:rPr>
        <w:t>沙湖山九年制学校</w:t>
      </w:r>
      <w:r>
        <w:rPr>
          <w:rFonts w:hint="eastAsia" w:ascii="Adobe 仿宋 Std R" w:hAnsi="Adobe 仿宋 Std R" w:eastAsia="Adobe 仿宋 Std R" w:cstheme="minorBidi"/>
          <w:kern w:val="2"/>
          <w:sz w:val="32"/>
          <w:szCs w:val="30"/>
          <w:lang w:val="en-US" w:eastAsia="zh-CN"/>
        </w:rPr>
        <w:t>教导处、总务处、保卫科、德育处</w:t>
      </w:r>
      <w:r>
        <w:rPr>
          <w:rFonts w:hint="eastAsia" w:ascii="Adobe 仿宋 Std R" w:hAnsi="Adobe 仿宋 Std R" w:eastAsia="Adobe 仿宋 Std R" w:cstheme="minorBidi"/>
          <w:kern w:val="2"/>
          <w:sz w:val="32"/>
          <w:szCs w:val="30"/>
        </w:rPr>
        <w:t>。</w:t>
      </w:r>
    </w:p>
    <w:p w14:paraId="64A0D7F3">
      <w:pPr>
        <w:pStyle w:val="12"/>
        <w:spacing w:line="600" w:lineRule="atLeast"/>
        <w:ind w:firstLine="640" w:firstLineChars="200"/>
        <w:jc w:val="left"/>
        <w:rPr>
          <w:rFonts w:hint="eastAsia" w:ascii="仿宋" w:hAnsi="仿宋" w:eastAsia="仿宋"/>
          <w:color w:val="auto"/>
          <w:sz w:val="32"/>
          <w:szCs w:val="32"/>
          <w:highlight w:val="none"/>
        </w:rPr>
      </w:pP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编制人数小计</w:t>
      </w:r>
      <w:r>
        <w:rPr>
          <w:rFonts w:hint="eastAsia" w:ascii="仿宋" w:hAnsi="仿宋" w:eastAsia="仿宋"/>
          <w:color w:val="auto"/>
          <w:sz w:val="32"/>
          <w:szCs w:val="32"/>
          <w:highlight w:val="none"/>
          <w:lang w:val="en-US" w:eastAsia="zh-CN"/>
        </w:rPr>
        <w:t>20</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行政编制人数</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人,全</w:t>
      </w:r>
      <w:r>
        <w:rPr>
          <w:rFonts w:hint="eastAsia" w:ascii="仿宋" w:hAnsi="仿宋" w:eastAsia="仿宋"/>
          <w:color w:val="auto"/>
          <w:sz w:val="32"/>
          <w:szCs w:val="32"/>
          <w:highlight w:val="none"/>
          <w:lang w:eastAsia="zh-CN"/>
        </w:rPr>
        <w:t>额</w:t>
      </w:r>
      <w:r>
        <w:rPr>
          <w:rFonts w:ascii="仿宋" w:hAnsi="仿宋" w:eastAsia="仿宋"/>
          <w:color w:val="auto"/>
          <w:sz w:val="32"/>
          <w:szCs w:val="32"/>
          <w:highlight w:val="none"/>
        </w:rPr>
        <w:t>事业编制人数</w:t>
      </w:r>
      <w:r>
        <w:rPr>
          <w:rFonts w:hint="eastAsia" w:ascii="仿宋" w:hAnsi="仿宋" w:eastAsia="仿宋"/>
          <w:color w:val="auto"/>
          <w:sz w:val="32"/>
          <w:szCs w:val="32"/>
          <w:highlight w:val="none"/>
          <w:lang w:val="en-US" w:eastAsia="zh-CN"/>
        </w:rPr>
        <w:t>20</w:t>
      </w:r>
      <w:r>
        <w:rPr>
          <w:rFonts w:ascii="仿宋" w:hAnsi="仿宋" w:eastAsia="仿宋"/>
          <w:color w:val="auto"/>
          <w:sz w:val="32"/>
          <w:szCs w:val="32"/>
          <w:highlight w:val="none"/>
        </w:rPr>
        <w:t>人,部分补助事业编制人数</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${page400644146.ds532982397_REP_JX_BAS_AGENCY_INFO_ZYFRS_S_SYRSXJ}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实有人数小计</w:t>
      </w:r>
      <w:r>
        <w:rPr>
          <w:rFonts w:hint="eastAsia" w:ascii="仿宋" w:hAnsi="仿宋" w:eastAsia="仿宋"/>
          <w:color w:val="auto"/>
          <w:sz w:val="32"/>
          <w:szCs w:val="32"/>
          <w:highlight w:val="none"/>
          <w:lang w:val="en-US" w:eastAsia="zh-CN"/>
        </w:rPr>
        <w:t>20</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在职人数小计</w:t>
      </w:r>
      <w:r>
        <w:rPr>
          <w:rFonts w:hint="eastAsia" w:ascii="仿宋" w:hAnsi="仿宋" w:eastAsia="仿宋"/>
          <w:color w:val="auto"/>
          <w:sz w:val="32"/>
          <w:szCs w:val="32"/>
          <w:highlight w:val="none"/>
          <w:lang w:val="en-US" w:eastAsia="zh-CN"/>
        </w:rPr>
        <w:t>20</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行政在职人数</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人,全部补助事业在职人数</w:t>
      </w:r>
      <w:r>
        <w:rPr>
          <w:rFonts w:hint="eastAsia" w:ascii="仿宋" w:hAnsi="仿宋" w:eastAsia="仿宋"/>
          <w:color w:val="auto"/>
          <w:sz w:val="32"/>
          <w:szCs w:val="32"/>
          <w:highlight w:val="none"/>
          <w:lang w:val="en-US" w:eastAsia="zh-CN"/>
        </w:rPr>
        <w:t>20</w:t>
      </w:r>
      <w:r>
        <w:rPr>
          <w:rFonts w:ascii="仿宋" w:hAnsi="仿宋" w:eastAsia="仿宋"/>
          <w:color w:val="auto"/>
          <w:sz w:val="32"/>
          <w:szCs w:val="32"/>
          <w:highlight w:val="none"/>
        </w:rPr>
        <w:t>人,部分补助事业在职人数</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${page400644146.ds532982397_REP_JX_BAS_AGENCY_INFO_ZYFRS_S_QTRSMX}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离休人数小计</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人,退休人数小计</w:t>
      </w:r>
      <w:r>
        <w:rPr>
          <w:rFonts w:hint="eastAsia" w:ascii="仿宋" w:hAnsi="仿宋" w:eastAsia="仿宋"/>
          <w:color w:val="auto"/>
          <w:sz w:val="32"/>
          <w:szCs w:val="32"/>
          <w:highlight w:val="none"/>
          <w:lang w:val="en-US" w:eastAsia="zh-CN"/>
        </w:rPr>
        <w:t>11</w:t>
      </w:r>
      <w:r>
        <w:rPr>
          <w:rFonts w:ascii="仿宋" w:hAnsi="仿宋" w:eastAsia="仿宋"/>
          <w:color w:val="auto"/>
          <w:sz w:val="32"/>
          <w:szCs w:val="32"/>
          <w:highlight w:val="none"/>
        </w:rPr>
        <w:t>人,遗属人数</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人。</w:t>
      </w:r>
      <w:r>
        <w:rPr>
          <w:color w:val="auto"/>
          <w:highlight w:val="none"/>
        </w:rPr>
        <w:fldChar w:fldCharType="end"/>
      </w:r>
    </w:p>
    <w:p w14:paraId="23C4031A">
      <w:pPr>
        <w:ind w:firstLine="640" w:firstLineChars="200"/>
        <w:rPr>
          <w:rFonts w:hint="eastAsia" w:ascii="仿宋" w:hAnsi="仿宋" w:eastAsia="仿宋"/>
          <w:color w:val="auto"/>
          <w:sz w:val="32"/>
          <w:szCs w:val="32"/>
          <w:highlight w:val="none"/>
        </w:rPr>
      </w:pPr>
    </w:p>
    <w:p w14:paraId="277375C0">
      <w:pPr>
        <w:widowControl/>
        <w:spacing w:line="580" w:lineRule="exact"/>
        <w:jc w:val="center"/>
        <w:rPr>
          <w:rFonts w:ascii="仿宋_GB2312" w:eastAsia="仿宋_GB2312"/>
          <w:b/>
          <w:color w:val="auto"/>
          <w:szCs w:val="30"/>
          <w:highlight w:val="none"/>
        </w:rPr>
      </w:pPr>
    </w:p>
    <w:p w14:paraId="204A9CE6">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第二部分  </w:t>
      </w:r>
      <w:r>
        <w:rPr>
          <w:rFonts w:hint="eastAsia" w:ascii="仿宋_GB2312" w:eastAsia="仿宋_GB2312"/>
          <w:b/>
          <w:color w:val="auto"/>
          <w:sz w:val="32"/>
          <w:szCs w:val="30"/>
          <w:highlight w:val="none"/>
          <w:lang w:eastAsia="zh-CN"/>
        </w:rPr>
        <w:t>庐山市沙湖山九年制学校</w:t>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w:t>
      </w:r>
      <w:r>
        <w:rPr>
          <w:rFonts w:hint="eastAsia" w:ascii="仿宋_GB2312" w:eastAsia="仿宋_GB2312"/>
          <w:b/>
          <w:color w:val="auto"/>
          <w:sz w:val="32"/>
          <w:szCs w:val="30"/>
        </w:rPr>
        <w:t>单位</w:t>
      </w:r>
      <w:r>
        <w:rPr>
          <w:rFonts w:hint="eastAsia" w:ascii="仿宋_GB2312" w:eastAsia="仿宋_GB2312"/>
          <w:b/>
          <w:color w:val="auto"/>
          <w:sz w:val="32"/>
          <w:szCs w:val="30"/>
          <w:highlight w:val="none"/>
        </w:rPr>
        <w:t>预算表</w:t>
      </w:r>
    </w:p>
    <w:p w14:paraId="369F667B">
      <w:pPr>
        <w:widowControl/>
        <w:numPr>
          <w:ilvl w:val="0"/>
          <w:numId w:val="0"/>
        </w:numPr>
        <w:spacing w:line="580" w:lineRule="exact"/>
        <w:jc w:val="both"/>
        <w:rPr>
          <w:rFonts w:hint="eastAsia" w:ascii="仿宋_GB2312" w:eastAsia="仿宋_GB2312"/>
          <w:b/>
          <w:color w:val="auto"/>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14:paraId="22873FDE">
      <w:pPr>
        <w:ind w:firstLine="640" w:firstLineChars="200"/>
        <w:jc w:val="left"/>
        <w:rPr>
          <w:rStyle w:val="11"/>
          <w:rFonts w:hint="eastAsia" w:ascii="仿宋" w:hAnsi="仿宋" w:eastAsia="仿宋"/>
          <w:bCs/>
          <w:color w:val="auto"/>
          <w:sz w:val="32"/>
          <w:szCs w:val="32"/>
          <w:highlight w:val="none"/>
          <w:lang w:eastAsia="zh-CN"/>
        </w:rPr>
      </w:pPr>
      <w:r>
        <w:rPr>
          <w:rStyle w:val="11"/>
          <w:rFonts w:hint="eastAsia" w:ascii="仿宋" w:hAnsi="仿宋" w:eastAsia="仿宋"/>
          <w:bCs/>
          <w:color w:val="auto"/>
          <w:sz w:val="32"/>
          <w:szCs w:val="32"/>
          <w:highlight w:val="none"/>
          <w:lang w:eastAsia="zh-CN"/>
        </w:rPr>
        <w:drawing>
          <wp:inline distT="0" distB="0" distL="114300" distR="114300">
            <wp:extent cx="4186555" cy="3117215"/>
            <wp:effectExtent l="0" t="0" r="4445" b="6985"/>
            <wp:docPr id="3" name="图片 3" descr="5f8bbb4ac89349fd840da553bc008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f8bbb4ac89349fd840da553bc008e1"/>
                    <pic:cNvPicPr>
                      <a:picLocks noChangeAspect="1"/>
                    </pic:cNvPicPr>
                  </pic:nvPicPr>
                  <pic:blipFill>
                    <a:blip r:embed="rId5"/>
                    <a:stretch>
                      <a:fillRect/>
                    </a:stretch>
                  </pic:blipFill>
                  <pic:spPr>
                    <a:xfrm>
                      <a:off x="0" y="0"/>
                      <a:ext cx="4186555" cy="3117215"/>
                    </a:xfrm>
                    <a:prstGeom prst="rect">
                      <a:avLst/>
                    </a:prstGeom>
                  </pic:spPr>
                </pic:pic>
              </a:graphicData>
            </a:graphic>
          </wp:inline>
        </w:drawing>
      </w:r>
    </w:p>
    <w:p w14:paraId="3CC2D073">
      <w:pPr>
        <w:numPr>
          <w:ilvl w:val="0"/>
          <w:numId w:val="2"/>
        </w:numPr>
        <w:jc w:val="left"/>
        <w:rPr>
          <w:rStyle w:val="11"/>
          <w:rFonts w:hint="eastAsia" w:ascii="仿宋" w:hAnsi="仿宋" w:eastAsia="Adobe 仿宋 Std R"/>
          <w:bCs/>
          <w:color w:val="auto"/>
          <w:sz w:val="32"/>
          <w:szCs w:val="32"/>
          <w:highlight w:val="none"/>
          <w:lang w:eastAsia="zh-CN"/>
        </w:rPr>
      </w:pP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收入总表》</w:t>
      </w:r>
      <w:r>
        <w:rPr>
          <w:rStyle w:val="11"/>
          <w:rFonts w:hint="eastAsia" w:ascii="仿宋" w:hAnsi="仿宋" w:eastAsia="Adobe 仿宋 Std R"/>
          <w:bCs/>
          <w:color w:val="auto"/>
          <w:sz w:val="32"/>
          <w:szCs w:val="32"/>
          <w:highlight w:val="none"/>
          <w:lang w:eastAsia="zh-CN"/>
        </w:rPr>
        <w:drawing>
          <wp:inline distT="0" distB="0" distL="114300" distR="114300">
            <wp:extent cx="5270500" cy="2679700"/>
            <wp:effectExtent l="0" t="0" r="6350" b="6350"/>
            <wp:docPr id="4" name="图片 4" descr="1736240295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6240295221"/>
                    <pic:cNvPicPr>
                      <a:picLocks noChangeAspect="1"/>
                    </pic:cNvPicPr>
                  </pic:nvPicPr>
                  <pic:blipFill>
                    <a:blip r:embed="rId6"/>
                    <a:stretch>
                      <a:fillRect/>
                    </a:stretch>
                  </pic:blipFill>
                  <pic:spPr>
                    <a:xfrm>
                      <a:off x="0" y="0"/>
                      <a:ext cx="5270500" cy="2679700"/>
                    </a:xfrm>
                    <a:prstGeom prst="rect">
                      <a:avLst/>
                    </a:prstGeom>
                  </pic:spPr>
                </pic:pic>
              </a:graphicData>
            </a:graphic>
          </wp:inline>
        </w:drawing>
      </w:r>
    </w:p>
    <w:p w14:paraId="7166B5AE">
      <w:pPr>
        <w:numPr>
          <w:ilvl w:val="0"/>
          <w:numId w:val="2"/>
        </w:numPr>
        <w:ind w:left="0" w:leftChars="0" w:firstLine="0" w:firstLineChars="0"/>
        <w:jc w:val="left"/>
        <w:rPr>
          <w:rStyle w:val="11"/>
          <w:rFonts w:hint="eastAsia" w:ascii="仿宋" w:hAnsi="仿宋" w:eastAsia="Adobe 仿宋 Std R"/>
          <w:bCs/>
          <w:color w:val="auto"/>
          <w:sz w:val="32"/>
          <w:szCs w:val="32"/>
          <w:highlight w:val="none"/>
          <w:lang w:eastAsia="zh-CN"/>
        </w:rPr>
      </w:pP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单位</w:t>
      </w:r>
      <w:r>
        <w:rPr>
          <w:rFonts w:ascii="Adobe 仿宋 Std R" w:hAnsi="Adobe 仿宋 Std R" w:eastAsia="Adobe 仿宋 Std R" w:cstheme="minorBidi"/>
          <w:color w:val="auto"/>
          <w:kern w:val="2"/>
          <w:sz w:val="32"/>
          <w:szCs w:val="30"/>
          <w:highlight w:val="none"/>
        </w:rPr>
        <w:t>支出总表》</w:t>
      </w:r>
      <w:r>
        <w:rPr>
          <w:rStyle w:val="11"/>
          <w:rFonts w:hint="eastAsia" w:ascii="仿宋" w:hAnsi="仿宋" w:eastAsia="Adobe 仿宋 Std R"/>
          <w:bCs/>
          <w:color w:val="auto"/>
          <w:sz w:val="32"/>
          <w:szCs w:val="32"/>
          <w:highlight w:val="none"/>
          <w:lang w:eastAsia="zh-CN"/>
        </w:rPr>
        <w:drawing>
          <wp:inline distT="0" distB="0" distL="114300" distR="114300">
            <wp:extent cx="5273040" cy="4166235"/>
            <wp:effectExtent l="0" t="0" r="3810" b="5715"/>
            <wp:docPr id="5" name="图片 5" descr="1736240314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36240314919"/>
                    <pic:cNvPicPr>
                      <a:picLocks noChangeAspect="1"/>
                    </pic:cNvPicPr>
                  </pic:nvPicPr>
                  <pic:blipFill>
                    <a:blip r:embed="rId7"/>
                    <a:stretch>
                      <a:fillRect/>
                    </a:stretch>
                  </pic:blipFill>
                  <pic:spPr>
                    <a:xfrm>
                      <a:off x="0" y="0"/>
                      <a:ext cx="5273040" cy="4166235"/>
                    </a:xfrm>
                    <a:prstGeom prst="rect">
                      <a:avLst/>
                    </a:prstGeom>
                  </pic:spPr>
                </pic:pic>
              </a:graphicData>
            </a:graphic>
          </wp:inline>
        </w:drawing>
      </w:r>
    </w:p>
    <w:p w14:paraId="0F7FC89B">
      <w:pPr>
        <w:numPr>
          <w:ilvl w:val="0"/>
          <w:numId w:val="2"/>
        </w:numPr>
        <w:ind w:left="0" w:leftChars="0" w:firstLine="0" w:firstLineChars="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《财政拨款收支总表》</w:t>
      </w:r>
    </w:p>
    <w:p w14:paraId="6FA45A93">
      <w:pPr>
        <w:numPr>
          <w:ilvl w:val="0"/>
          <w:numId w:val="0"/>
        </w:numPr>
        <w:ind w:leftChars="0"/>
        <w:jc w:val="left"/>
        <w:rPr>
          <w:rFonts w:hint="eastAsia" w:ascii="Adobe 仿宋 Std R" w:hAnsi="Adobe 仿宋 Std R" w:eastAsia="Adobe 仿宋 Std R" w:cstheme="minorBidi"/>
          <w:color w:val="auto"/>
          <w:kern w:val="2"/>
          <w:sz w:val="32"/>
          <w:szCs w:val="30"/>
          <w:highlight w:val="none"/>
          <w:lang w:eastAsia="zh-CN"/>
        </w:rPr>
      </w:pPr>
      <w:r>
        <w:rPr>
          <w:rFonts w:hint="eastAsia" w:ascii="Adobe 仿宋 Std R" w:hAnsi="Adobe 仿宋 Std R" w:eastAsia="Adobe 仿宋 Std R" w:cstheme="minorBidi"/>
          <w:color w:val="auto"/>
          <w:kern w:val="2"/>
          <w:sz w:val="32"/>
          <w:szCs w:val="30"/>
          <w:highlight w:val="none"/>
          <w:lang w:eastAsia="zh-CN"/>
        </w:rPr>
        <w:drawing>
          <wp:inline distT="0" distB="0" distL="114300" distR="114300">
            <wp:extent cx="5273040" cy="2205355"/>
            <wp:effectExtent l="0" t="0" r="3810" b="4445"/>
            <wp:docPr id="6" name="图片 6" descr="1736240339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36240339013"/>
                    <pic:cNvPicPr>
                      <a:picLocks noChangeAspect="1"/>
                    </pic:cNvPicPr>
                  </pic:nvPicPr>
                  <pic:blipFill>
                    <a:blip r:embed="rId8"/>
                    <a:stretch>
                      <a:fillRect/>
                    </a:stretch>
                  </pic:blipFill>
                  <pic:spPr>
                    <a:xfrm>
                      <a:off x="0" y="0"/>
                      <a:ext cx="5273040" cy="2205355"/>
                    </a:xfrm>
                    <a:prstGeom prst="rect">
                      <a:avLst/>
                    </a:prstGeom>
                  </pic:spPr>
                </pic:pic>
              </a:graphicData>
            </a:graphic>
          </wp:inline>
        </w:drawing>
      </w:r>
    </w:p>
    <w:p w14:paraId="383A93D6">
      <w:pPr>
        <w:ind w:firstLine="640" w:firstLineChars="200"/>
        <w:jc w:val="left"/>
        <w:rPr>
          <w:rStyle w:val="11"/>
          <w:rFonts w:hint="eastAsia" w:ascii="仿宋" w:hAnsi="仿宋" w:eastAsia="仿宋"/>
          <w:bCs/>
          <w:color w:val="auto"/>
          <w:sz w:val="32"/>
          <w:szCs w:val="32"/>
          <w:highlight w:val="none"/>
          <w:lang w:eastAsia="zh-CN"/>
        </w:rPr>
      </w:pPr>
    </w:p>
    <w:p w14:paraId="6FDB14D9">
      <w:pPr>
        <w:pStyle w:val="12"/>
        <w:spacing w:line="600" w:lineRule="atLeast"/>
        <w:jc w:val="left"/>
        <w:rPr>
          <w:rFonts w:hint="eastAsia" w:ascii="Adobe 仿宋 Std R" w:hAnsi="Adobe 仿宋 Std R" w:eastAsia="Adobe 仿宋 Std R" w:cstheme="minorBidi"/>
          <w:color w:val="auto"/>
          <w:kern w:val="2"/>
          <w:sz w:val="32"/>
          <w:szCs w:val="30"/>
          <w:highlight w:val="none"/>
          <w:lang w:eastAsia="zh-CN"/>
        </w:rPr>
      </w:pPr>
      <w:r>
        <w:rPr>
          <w:rFonts w:ascii="Adobe 仿宋 Std R" w:hAnsi="Adobe 仿宋 Std R" w:eastAsia="Adobe 仿宋 Std R" w:cstheme="minorBidi"/>
          <w:color w:val="auto"/>
          <w:kern w:val="2"/>
          <w:sz w:val="32"/>
          <w:szCs w:val="30"/>
          <w:highlight w:val="none"/>
        </w:rPr>
        <w:t>五、《一般公共预算支出表》</w:t>
      </w:r>
    </w:p>
    <w:p w14:paraId="1176456B">
      <w:pPr>
        <w:jc w:val="left"/>
        <w:rPr>
          <w:rStyle w:val="11"/>
          <w:rFonts w:hint="eastAsia" w:ascii="仿宋" w:hAnsi="仿宋" w:eastAsia="仿宋"/>
          <w:bCs/>
          <w:color w:val="auto"/>
          <w:sz w:val="32"/>
          <w:szCs w:val="32"/>
          <w:highlight w:val="none"/>
          <w:lang w:eastAsia="zh-CN"/>
        </w:rPr>
      </w:pPr>
      <w:r>
        <w:rPr>
          <w:rStyle w:val="11"/>
          <w:rFonts w:hint="eastAsia" w:ascii="仿宋" w:hAnsi="仿宋" w:eastAsia="仿宋"/>
          <w:bCs/>
          <w:color w:val="auto"/>
          <w:sz w:val="32"/>
          <w:szCs w:val="32"/>
          <w:highlight w:val="none"/>
          <w:lang w:eastAsia="zh-CN"/>
        </w:rPr>
        <w:drawing>
          <wp:inline distT="0" distB="0" distL="114300" distR="114300">
            <wp:extent cx="5272405" cy="4524375"/>
            <wp:effectExtent l="0" t="0" r="635" b="1905"/>
            <wp:docPr id="7" name="图片 7" descr="173624037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36240372793"/>
                    <pic:cNvPicPr>
                      <a:picLocks noChangeAspect="1"/>
                    </pic:cNvPicPr>
                  </pic:nvPicPr>
                  <pic:blipFill>
                    <a:blip r:embed="rId9"/>
                    <a:stretch>
                      <a:fillRect/>
                    </a:stretch>
                  </pic:blipFill>
                  <pic:spPr>
                    <a:xfrm>
                      <a:off x="0" y="0"/>
                      <a:ext cx="5272405" cy="4524375"/>
                    </a:xfrm>
                    <a:prstGeom prst="rect">
                      <a:avLst/>
                    </a:prstGeom>
                  </pic:spPr>
                </pic:pic>
              </a:graphicData>
            </a:graphic>
          </wp:inline>
        </w:drawing>
      </w:r>
    </w:p>
    <w:p w14:paraId="5A4F0F0C">
      <w:pPr>
        <w:pStyle w:val="12"/>
        <w:spacing w:line="600" w:lineRule="atLeast"/>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lang w:eastAsia="zh-CN"/>
        </w:rPr>
        <w:t>六、</w:t>
      </w:r>
      <w:r>
        <w:rPr>
          <w:rFonts w:ascii="Adobe 仿宋 Std R" w:hAnsi="Adobe 仿宋 Std R" w:eastAsia="Adobe 仿宋 Std R" w:cstheme="minorBidi"/>
          <w:color w:val="auto"/>
          <w:kern w:val="2"/>
          <w:sz w:val="32"/>
          <w:szCs w:val="30"/>
          <w:highlight w:val="none"/>
        </w:rPr>
        <w:t>《一般公共预算基本支出表》</w:t>
      </w:r>
    </w:p>
    <w:p w14:paraId="0478AD03">
      <w:pPr>
        <w:jc w:val="left"/>
        <w:rPr>
          <w:rStyle w:val="11"/>
          <w:rFonts w:hint="eastAsia" w:ascii="仿宋" w:hAnsi="仿宋" w:eastAsia="仿宋"/>
          <w:bCs/>
          <w:color w:val="auto"/>
          <w:sz w:val="32"/>
          <w:szCs w:val="32"/>
          <w:highlight w:val="none"/>
          <w:lang w:eastAsia="zh-CN"/>
        </w:rPr>
      </w:pPr>
      <w:r>
        <w:rPr>
          <w:rStyle w:val="11"/>
          <w:rFonts w:hint="eastAsia" w:ascii="仿宋" w:hAnsi="仿宋" w:eastAsia="仿宋"/>
          <w:bCs/>
          <w:color w:val="auto"/>
          <w:sz w:val="32"/>
          <w:szCs w:val="32"/>
          <w:highlight w:val="none"/>
          <w:lang w:eastAsia="zh-CN"/>
        </w:rPr>
        <w:drawing>
          <wp:inline distT="0" distB="0" distL="114300" distR="114300">
            <wp:extent cx="5272405" cy="3927475"/>
            <wp:effectExtent l="0" t="0" r="4445" b="15875"/>
            <wp:docPr id="8" name="图片 8" descr="1736240396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36240396182"/>
                    <pic:cNvPicPr>
                      <a:picLocks noChangeAspect="1"/>
                    </pic:cNvPicPr>
                  </pic:nvPicPr>
                  <pic:blipFill>
                    <a:blip r:embed="rId10"/>
                    <a:stretch>
                      <a:fillRect/>
                    </a:stretch>
                  </pic:blipFill>
                  <pic:spPr>
                    <a:xfrm>
                      <a:off x="0" y="0"/>
                      <a:ext cx="5272405" cy="3927475"/>
                    </a:xfrm>
                    <a:prstGeom prst="rect">
                      <a:avLst/>
                    </a:prstGeom>
                  </pic:spPr>
                </pic:pic>
              </a:graphicData>
            </a:graphic>
          </wp:inline>
        </w:drawing>
      </w:r>
    </w:p>
    <w:p w14:paraId="27C18D3B">
      <w:pPr>
        <w:pStyle w:val="12"/>
        <w:spacing w:line="600" w:lineRule="atLeast"/>
        <w:jc w:val="left"/>
        <w:rPr>
          <w:rFonts w:hint="eastAsia" w:ascii="Adobe 仿宋 Std R" w:hAnsi="Adobe 仿宋 Std R" w:eastAsia="Adobe 仿宋 Std R" w:cstheme="minorBidi"/>
          <w:color w:val="auto"/>
          <w:kern w:val="2"/>
          <w:sz w:val="32"/>
          <w:szCs w:val="30"/>
          <w:highlight w:val="none"/>
          <w:lang w:eastAsia="zh-CN"/>
        </w:rPr>
      </w:pPr>
      <w:r>
        <w:rPr>
          <w:rFonts w:ascii="Adobe 仿宋 Std R" w:hAnsi="Adobe 仿宋 Std R" w:eastAsia="Adobe 仿宋 Std R" w:cstheme="minorBidi"/>
          <w:color w:val="auto"/>
          <w:kern w:val="2"/>
          <w:sz w:val="32"/>
          <w:szCs w:val="30"/>
          <w:highlight w:val="none"/>
        </w:rPr>
        <w:t>七、《财政拨款“三公”经费支出表》</w:t>
      </w:r>
      <w:r>
        <w:rPr>
          <w:rFonts w:hint="eastAsia" w:ascii="Adobe 仿宋 Std R" w:hAnsi="Adobe 仿宋 Std R" w:eastAsia="Adobe 仿宋 Std R" w:cstheme="minorBidi"/>
          <w:color w:val="auto"/>
          <w:kern w:val="2"/>
          <w:sz w:val="32"/>
          <w:szCs w:val="30"/>
          <w:highlight w:val="none"/>
          <w:lang w:eastAsia="zh-CN"/>
        </w:rPr>
        <w:drawing>
          <wp:inline distT="0" distB="0" distL="114300" distR="114300">
            <wp:extent cx="5269865" cy="911860"/>
            <wp:effectExtent l="0" t="0" r="6985" b="2540"/>
            <wp:docPr id="15" name="图片 15" descr="三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三公"/>
                    <pic:cNvPicPr>
                      <a:picLocks noChangeAspect="1"/>
                    </pic:cNvPicPr>
                  </pic:nvPicPr>
                  <pic:blipFill>
                    <a:blip r:embed="rId11"/>
                    <a:stretch>
                      <a:fillRect/>
                    </a:stretch>
                  </pic:blipFill>
                  <pic:spPr>
                    <a:xfrm>
                      <a:off x="0" y="0"/>
                      <a:ext cx="5269865" cy="911860"/>
                    </a:xfrm>
                    <a:prstGeom prst="rect">
                      <a:avLst/>
                    </a:prstGeom>
                  </pic:spPr>
                </pic:pic>
              </a:graphicData>
            </a:graphic>
          </wp:inline>
        </w:drawing>
      </w:r>
    </w:p>
    <w:p w14:paraId="672CBDCD">
      <w:pPr>
        <w:jc w:val="left"/>
        <w:rPr>
          <w:rStyle w:val="11"/>
          <w:rFonts w:hint="eastAsia" w:ascii="仿宋" w:hAnsi="仿宋" w:eastAsia="Adobe 仿宋 Std R"/>
          <w:bCs/>
          <w:color w:val="auto"/>
          <w:sz w:val="32"/>
          <w:szCs w:val="32"/>
          <w:highlight w:val="none"/>
          <w:lang w:eastAsia="zh-CN"/>
        </w:rPr>
      </w:pPr>
      <w:r>
        <w:rPr>
          <w:rFonts w:ascii="Adobe 仿宋 Std R" w:hAnsi="Adobe 仿宋 Std R" w:eastAsia="Adobe 仿宋 Std R" w:cstheme="minorBidi"/>
          <w:color w:val="auto"/>
          <w:kern w:val="2"/>
          <w:sz w:val="32"/>
          <w:szCs w:val="30"/>
          <w:highlight w:val="none"/>
        </w:rPr>
        <w:t>八、《政府性基金预算支出表》</w:t>
      </w:r>
      <w:r>
        <w:rPr>
          <w:rFonts w:ascii="Adobe 仿宋 Std R" w:hAnsi="Adobe 仿宋 Std R" w:eastAsia="Adobe 仿宋 Std R" w:cstheme="minorBidi"/>
          <w:color w:val="auto"/>
          <w:kern w:val="2"/>
          <w:sz w:val="32"/>
          <w:szCs w:val="30"/>
          <w:highlight w:val="none"/>
        </w:rPr>
        <w:drawing>
          <wp:inline distT="0" distB="0" distL="114300" distR="114300">
            <wp:extent cx="5272405" cy="933450"/>
            <wp:effectExtent l="0" t="0" r="4445" b="0"/>
            <wp:docPr id="16" name="图片 16" descr="政府性基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政府性基金"/>
                    <pic:cNvPicPr>
                      <a:picLocks noChangeAspect="1"/>
                    </pic:cNvPicPr>
                  </pic:nvPicPr>
                  <pic:blipFill>
                    <a:blip r:embed="rId12"/>
                    <a:stretch>
                      <a:fillRect/>
                    </a:stretch>
                  </pic:blipFill>
                  <pic:spPr>
                    <a:xfrm>
                      <a:off x="0" y="0"/>
                      <a:ext cx="5272405" cy="933450"/>
                    </a:xfrm>
                    <a:prstGeom prst="rect">
                      <a:avLst/>
                    </a:prstGeom>
                  </pic:spPr>
                </pic:pic>
              </a:graphicData>
            </a:graphic>
          </wp:inline>
        </w:drawing>
      </w: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r>
        <w:rPr>
          <w:rStyle w:val="11"/>
          <w:rFonts w:hint="eastAsia" w:ascii="仿宋" w:hAnsi="仿宋" w:eastAsia="Adobe 仿宋 Std R"/>
          <w:bCs/>
          <w:color w:val="auto"/>
          <w:sz w:val="32"/>
          <w:szCs w:val="32"/>
          <w:highlight w:val="none"/>
          <w:lang w:eastAsia="zh-CN"/>
        </w:rPr>
        <w:drawing>
          <wp:inline distT="0" distB="0" distL="114300" distR="114300">
            <wp:extent cx="5267325" cy="972185"/>
            <wp:effectExtent l="0" t="0" r="9525" b="18415"/>
            <wp:docPr id="17" name="图片 17" descr="国有资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国有资本"/>
                    <pic:cNvPicPr>
                      <a:picLocks noChangeAspect="1"/>
                    </pic:cNvPicPr>
                  </pic:nvPicPr>
                  <pic:blipFill>
                    <a:blip r:embed="rId13"/>
                    <a:stretch>
                      <a:fillRect/>
                    </a:stretch>
                  </pic:blipFill>
                  <pic:spPr>
                    <a:xfrm>
                      <a:off x="0" y="0"/>
                      <a:ext cx="5267325" cy="972185"/>
                    </a:xfrm>
                    <a:prstGeom prst="rect">
                      <a:avLst/>
                    </a:prstGeom>
                  </pic:spPr>
                </pic:pic>
              </a:graphicData>
            </a:graphic>
          </wp:inline>
        </w:drawing>
      </w:r>
    </w:p>
    <w:p w14:paraId="682D1EB2">
      <w:pPr>
        <w:pStyle w:val="12"/>
        <w:numPr>
          <w:ilvl w:val="0"/>
          <w:numId w:val="0"/>
        </w:numPr>
        <w:tabs>
          <w:tab w:val="left" w:pos="6546"/>
        </w:tabs>
        <w:spacing w:line="600" w:lineRule="atLeast"/>
        <w:jc w:val="left"/>
        <w:rPr>
          <w:rFonts w:ascii="Adobe 仿宋 Std R" w:hAnsi="Adobe 仿宋 Std R" w:eastAsia="Adobe 仿宋 Std R" w:cstheme="minorBidi"/>
          <w:color w:val="auto"/>
          <w:kern w:val="2"/>
          <w:sz w:val="32"/>
          <w:szCs w:val="30"/>
          <w:highlight w:val="none"/>
        </w:rPr>
      </w:pPr>
      <w:r>
        <w:rPr>
          <w:rStyle w:val="11"/>
          <w:rFonts w:hint="eastAsia" w:ascii="仿宋" w:hAnsi="仿宋" w:eastAsia="Adobe 仿宋 Std R"/>
          <w:bCs/>
          <w:color w:val="auto"/>
          <w:sz w:val="32"/>
          <w:szCs w:val="32"/>
          <w:highlight w:val="none"/>
          <w:lang w:val="en-US" w:eastAsia="zh-CN"/>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14:paraId="25049E9B">
      <w:pPr>
        <w:pStyle w:val="12"/>
        <w:numPr>
          <w:ilvl w:val="0"/>
          <w:numId w:val="0"/>
        </w:numPr>
        <w:tabs>
          <w:tab w:val="left" w:pos="6546"/>
        </w:tabs>
        <w:spacing w:line="600" w:lineRule="atLeast"/>
        <w:jc w:val="center"/>
        <w:rPr>
          <w:rFonts w:hint="eastAsia" w:ascii="Adobe 仿宋 Std R" w:hAnsi="Adobe 仿宋 Std R" w:eastAsia="Adobe 仿宋 Std R" w:cstheme="minorBidi"/>
          <w:color w:val="auto"/>
          <w:kern w:val="2"/>
          <w:sz w:val="32"/>
          <w:szCs w:val="30"/>
          <w:highlight w:val="none"/>
          <w:lang w:eastAsia="zh-CN"/>
        </w:rPr>
      </w:pPr>
      <w:r>
        <w:rPr>
          <w:rFonts w:hint="eastAsia" w:ascii="Adobe 仿宋 Std R" w:hAnsi="Adobe 仿宋 Std R" w:eastAsia="Adobe 仿宋 Std R" w:cstheme="minorBidi"/>
          <w:color w:val="auto"/>
          <w:kern w:val="2"/>
          <w:sz w:val="32"/>
          <w:szCs w:val="30"/>
          <w:highlight w:val="none"/>
          <w:lang w:eastAsia="zh-CN"/>
        </w:rPr>
        <w:drawing>
          <wp:inline distT="0" distB="0" distL="114300" distR="114300">
            <wp:extent cx="3192780" cy="4640580"/>
            <wp:effectExtent l="0" t="0" r="7620" b="7620"/>
            <wp:docPr id="1" name="图片 1" descr="df6c607d4dcc866461c329ce92d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f6c607d4dcc866461c329ce92d2882"/>
                    <pic:cNvPicPr>
                      <a:picLocks noChangeAspect="1"/>
                    </pic:cNvPicPr>
                  </pic:nvPicPr>
                  <pic:blipFill>
                    <a:blip r:embed="rId14"/>
                    <a:stretch>
                      <a:fillRect/>
                    </a:stretch>
                  </pic:blipFill>
                  <pic:spPr>
                    <a:xfrm>
                      <a:off x="0" y="0"/>
                      <a:ext cx="3192780" cy="4640580"/>
                    </a:xfrm>
                    <a:prstGeom prst="rect">
                      <a:avLst/>
                    </a:prstGeom>
                  </pic:spPr>
                </pic:pic>
              </a:graphicData>
            </a:graphic>
          </wp:inline>
        </w:drawing>
      </w:r>
      <w:r>
        <w:rPr>
          <w:rFonts w:hint="eastAsia" w:ascii="Adobe 仿宋 Std R" w:hAnsi="Adobe 仿宋 Std R" w:eastAsia="Adobe 仿宋 Std R" w:cstheme="minorBidi"/>
          <w:color w:val="auto"/>
          <w:kern w:val="2"/>
          <w:sz w:val="32"/>
          <w:szCs w:val="30"/>
          <w:highlight w:val="none"/>
          <w:lang w:eastAsia="zh-CN"/>
        </w:rPr>
        <w:drawing>
          <wp:inline distT="0" distB="0" distL="114300" distR="114300">
            <wp:extent cx="3208020" cy="4640580"/>
            <wp:effectExtent l="0" t="0" r="7620" b="7620"/>
            <wp:docPr id="2" name="图片 2" descr="fc4b24e8341cb5b49808435f5064e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c4b24e8341cb5b49808435f5064ec7"/>
                    <pic:cNvPicPr>
                      <a:picLocks noChangeAspect="1"/>
                    </pic:cNvPicPr>
                  </pic:nvPicPr>
                  <pic:blipFill>
                    <a:blip r:embed="rId15"/>
                    <a:stretch>
                      <a:fillRect/>
                    </a:stretch>
                  </pic:blipFill>
                  <pic:spPr>
                    <a:xfrm>
                      <a:off x="0" y="0"/>
                      <a:ext cx="3208020" cy="4640580"/>
                    </a:xfrm>
                    <a:prstGeom prst="rect">
                      <a:avLst/>
                    </a:prstGeom>
                  </pic:spPr>
                </pic:pic>
              </a:graphicData>
            </a:graphic>
          </wp:inline>
        </w:drawing>
      </w:r>
    </w:p>
    <w:p w14:paraId="650149B4">
      <w:pPr>
        <w:jc w:val="left"/>
        <w:rPr>
          <w:rFonts w:ascii="仿宋_GB2312" w:eastAsia="仿宋_GB2312"/>
          <w:b/>
          <w:color w:val="auto"/>
          <w:sz w:val="32"/>
          <w:szCs w:val="30"/>
          <w:highlight w:val="none"/>
        </w:rPr>
      </w:pPr>
      <w:r>
        <w:rPr>
          <w:rFonts w:hint="eastAsia" w:ascii="仿宋_GB2312" w:hAnsi="Calibri" w:eastAsia="仿宋_GB2312" w:cs="宋体"/>
          <w:b/>
          <w:color w:val="auto"/>
          <w:kern w:val="0"/>
          <w:sz w:val="32"/>
          <w:szCs w:val="32"/>
          <w:highlight w:val="none"/>
        </w:rPr>
        <w:t xml:space="preserve">第三部分 </w:t>
      </w:r>
      <w:r>
        <w:rPr>
          <w:rFonts w:hint="eastAsia" w:ascii="仿宋_GB2312" w:eastAsia="仿宋_GB2312"/>
          <w:b/>
          <w:color w:val="auto"/>
          <w:sz w:val="32"/>
          <w:szCs w:val="30"/>
          <w:highlight w:val="none"/>
        </w:rPr>
        <w:t xml:space="preserve"> </w:t>
      </w:r>
      <w:r>
        <w:rPr>
          <w:rFonts w:hint="eastAsia" w:ascii="仿宋_GB2312" w:eastAsia="仿宋_GB2312"/>
          <w:b/>
          <w:color w:val="auto"/>
          <w:sz w:val="32"/>
          <w:szCs w:val="30"/>
          <w:highlight w:val="none"/>
          <w:lang w:eastAsia="zh-CN"/>
        </w:rPr>
        <w:t>庐山市沙湖山九年制学校</w:t>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w:t>
      </w:r>
      <w:r>
        <w:rPr>
          <w:rFonts w:hint="eastAsia" w:ascii="仿宋_GB2312" w:eastAsia="仿宋_GB2312"/>
          <w:b/>
          <w:color w:val="auto"/>
          <w:sz w:val="32"/>
          <w:szCs w:val="30"/>
        </w:rPr>
        <w:t>单位</w:t>
      </w:r>
      <w:r>
        <w:rPr>
          <w:rFonts w:hint="eastAsia" w:ascii="仿宋_GB2312" w:eastAsia="仿宋_GB2312"/>
          <w:b/>
          <w:color w:val="auto"/>
          <w:sz w:val="32"/>
          <w:szCs w:val="30"/>
          <w:highlight w:val="none"/>
        </w:rPr>
        <w:t>预算情况说明</w:t>
      </w:r>
    </w:p>
    <w:p w14:paraId="47511CED">
      <w:pPr>
        <w:widowControl/>
        <w:spacing w:line="580" w:lineRule="exact"/>
        <w:jc w:val="center"/>
        <w:rPr>
          <w:rFonts w:ascii="仿宋_GB2312" w:eastAsia="仿宋_GB2312"/>
          <w:b/>
          <w:color w:val="auto"/>
          <w:sz w:val="32"/>
          <w:szCs w:val="30"/>
          <w:highlight w:val="none"/>
        </w:rPr>
      </w:pPr>
    </w:p>
    <w:p w14:paraId="2C4BBFE2">
      <w:pPr>
        <w:widowControl/>
        <w:spacing w:line="580" w:lineRule="exact"/>
        <w:jc w:val="left"/>
        <w:rPr>
          <w:rFonts w:ascii="楷体_GB2312" w:eastAsia="楷体_GB2312"/>
          <w:b/>
          <w:color w:val="auto"/>
          <w:sz w:val="32"/>
          <w:szCs w:val="30"/>
          <w:highlight w:val="none"/>
        </w:rPr>
      </w:pPr>
      <w:r>
        <w:rPr>
          <w:rFonts w:hint="eastAsia" w:ascii="楷体_GB2312" w:eastAsia="楷体_GB2312"/>
          <w:b/>
          <w:color w:val="auto"/>
          <w:sz w:val="32"/>
          <w:szCs w:val="30"/>
          <w:highlight w:val="none"/>
        </w:rPr>
        <w:t>一、202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w:t>
      </w:r>
      <w:r>
        <w:rPr>
          <w:rFonts w:hint="eastAsia" w:ascii="楷体_GB2312" w:eastAsia="楷体_GB2312"/>
          <w:b/>
          <w:color w:val="auto"/>
          <w:sz w:val="32"/>
          <w:szCs w:val="30"/>
        </w:rPr>
        <w:t>单位</w:t>
      </w:r>
      <w:r>
        <w:rPr>
          <w:rFonts w:hint="eastAsia" w:ascii="楷体_GB2312" w:eastAsia="楷体_GB2312"/>
          <w:b/>
          <w:color w:val="auto"/>
          <w:sz w:val="32"/>
          <w:szCs w:val="30"/>
          <w:highlight w:val="none"/>
        </w:rPr>
        <w:t>预算收支情况说明</w:t>
      </w:r>
    </w:p>
    <w:p w14:paraId="50AAF5F9">
      <w:pPr>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highlight w:val="none"/>
        </w:rPr>
        <w:t>202</w:t>
      </w:r>
      <w:r>
        <w:rPr>
          <w:rFonts w:hint="eastAsia" w:ascii="仿宋" w:hAnsi="仿宋" w:eastAsia="仿宋" w:cs="Times New Roman"/>
          <w:color w:val="auto"/>
          <w:kern w:val="0"/>
          <w:sz w:val="32"/>
          <w:szCs w:val="32"/>
          <w:highlight w:val="none"/>
          <w:lang w:val="en-US" w:eastAsia="zh-CN"/>
        </w:rPr>
        <w:t>5</w:t>
      </w:r>
      <w:r>
        <w:rPr>
          <w:rFonts w:hint="eastAsia" w:ascii="仿宋" w:hAnsi="仿宋" w:eastAsia="仿宋" w:cs="Times New Roman"/>
          <w:color w:val="auto"/>
          <w:kern w:val="0"/>
          <w:sz w:val="32"/>
          <w:szCs w:val="32"/>
          <w:highlight w:val="none"/>
        </w:rPr>
        <w:t>年</w:t>
      </w:r>
      <w:r>
        <w:rPr>
          <w:rFonts w:hint="eastAsia" w:ascii="仿宋" w:hAnsi="仿宋" w:eastAsia="仿宋" w:cs="Times New Roman"/>
          <w:color w:val="auto"/>
          <w:kern w:val="0"/>
          <w:sz w:val="32"/>
          <w:szCs w:val="32"/>
          <w:highlight w:val="none"/>
          <w:lang w:eastAsia="zh-CN"/>
        </w:rPr>
        <w:t>庐山市沙湖山九年制学校</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收入预算总额为</w:t>
      </w:r>
      <w:r>
        <w:rPr>
          <w:rFonts w:hint="eastAsia" w:ascii="仿宋" w:hAnsi="仿宋" w:eastAsia="仿宋" w:cs="Times New Roman"/>
          <w:color w:val="auto"/>
          <w:kern w:val="0"/>
          <w:sz w:val="32"/>
          <w:szCs w:val="32"/>
          <w:highlight w:val="none"/>
          <w:lang w:val="en-US" w:eastAsia="zh-CN"/>
        </w:rPr>
        <w:t>349.77</w:t>
      </w:r>
      <w:r>
        <w:rPr>
          <w:rFonts w:ascii="仿宋" w:hAnsi="仿宋" w:eastAsia="仿宋" w:cs="Times New Roman"/>
          <w:color w:val="auto"/>
          <w:kern w:val="0"/>
          <w:sz w:val="32"/>
          <w:szCs w:val="32"/>
          <w:highlight w:val="none"/>
        </w:rPr>
        <w:t>万元,较上年预算安排增加</w:t>
      </w:r>
      <w:r>
        <w:rPr>
          <w:rFonts w:hint="eastAsia" w:ascii="仿宋" w:hAnsi="仿宋" w:eastAsia="仿宋" w:cs="Times New Roman"/>
          <w:color w:val="auto"/>
          <w:kern w:val="0"/>
          <w:sz w:val="32"/>
          <w:szCs w:val="32"/>
          <w:highlight w:val="none"/>
          <w:lang w:val="en-US" w:eastAsia="zh-CN"/>
        </w:rPr>
        <w:t>17.04</w:t>
      </w:r>
      <w:r>
        <w:rPr>
          <w:rFonts w:ascii="仿宋" w:hAnsi="仿宋" w:eastAsia="仿宋" w:cs="Times New Roman"/>
          <w:color w:val="auto"/>
          <w:kern w:val="0"/>
          <w:sz w:val="32"/>
          <w:szCs w:val="32"/>
          <w:highlight w:val="none"/>
        </w:rPr>
        <w:t>万元</w:t>
      </w:r>
      <w:r>
        <w:rPr>
          <w:rFonts w:hint="eastAsia" w:ascii="仿宋_GB2312" w:hAnsi="仿宋_GB2312" w:eastAsia="仿宋_GB2312" w:cs="仿宋_GB2312"/>
          <w:color w:val="auto"/>
          <w:sz w:val="32"/>
          <w:szCs w:val="32"/>
          <w:highlight w:val="none"/>
          <w:lang w:eastAsia="zh-CN"/>
        </w:rPr>
        <w:t>。</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lang w:val="en-US" w:eastAsia="zh-CN"/>
        </w:rPr>
        <w:t>349.77</w:t>
      </w:r>
      <w:r>
        <w:rPr>
          <w:rFonts w:ascii="仿宋" w:hAnsi="仿宋" w:eastAsia="仿宋" w:cs="Times New Roman"/>
          <w:color w:val="auto"/>
          <w:kern w:val="0"/>
          <w:sz w:val="32"/>
          <w:szCs w:val="32"/>
          <w:highlight w:val="none"/>
        </w:rPr>
        <w:t>万元,较上年预算安排增加</w:t>
      </w:r>
      <w:r>
        <w:rPr>
          <w:rFonts w:hint="eastAsia" w:ascii="仿宋" w:hAnsi="仿宋" w:eastAsia="仿宋" w:cs="Times New Roman"/>
          <w:color w:val="auto"/>
          <w:kern w:val="0"/>
          <w:sz w:val="32"/>
          <w:szCs w:val="32"/>
          <w:highlight w:val="none"/>
          <w:lang w:val="en-US" w:eastAsia="zh-CN"/>
        </w:rPr>
        <w:t>17.04</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hint="eastAsia" w:ascii="仿宋" w:hAnsi="仿宋" w:eastAsia="仿宋" w:cs="Times New Roman"/>
          <w:color w:val="auto"/>
          <w:kern w:val="0"/>
          <w:sz w:val="32"/>
          <w:szCs w:val="32"/>
          <w:lang w:val="en-US" w:eastAsia="zh-CN"/>
        </w:rPr>
        <w:t>增加变化原因为：人员工资增加。</w:t>
      </w:r>
    </w:p>
    <w:p w14:paraId="53FE1F7F">
      <w:pPr>
        <w:widowControl/>
        <w:ind w:firstLine="420" w:firstLineChars="200"/>
        <w:rPr>
          <w:rFonts w:hint="eastAsia" w:ascii="仿宋" w:hAnsi="仿宋" w:cs="Times New Roman" w:eastAsiaTheme="minorEastAsia"/>
          <w:color w:val="auto"/>
          <w:kern w:val="0"/>
          <w:sz w:val="32"/>
          <w:highlight w:val="none"/>
          <w:lang w:eastAsia="zh-CN"/>
        </w:rPr>
      </w:pPr>
      <w:r>
        <w:rPr>
          <w:color w:val="auto"/>
          <w:highlight w:val="none"/>
        </w:rPr>
        <w:fldChar w:fldCharType="end"/>
      </w:r>
    </w:p>
    <w:p w14:paraId="5B158540">
      <w:pPr>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(二)支出预算情况</w:t>
      </w:r>
    </w:p>
    <w:p w14:paraId="4A431871">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highlight w:val="none"/>
        </w:rPr>
        <w:t>2</w:t>
      </w:r>
      <w:r>
        <w:rPr>
          <w:rStyle w:val="11"/>
          <w:rFonts w:ascii="仿宋" w:hAnsi="仿宋" w:eastAsia="仿宋"/>
          <w:color w:val="auto"/>
          <w:sz w:val="32"/>
          <w:szCs w:val="32"/>
          <w:highlight w:val="none"/>
        </w:rPr>
        <w:t>02</w:t>
      </w:r>
      <w:r>
        <w:rPr>
          <w:rStyle w:val="11"/>
          <w:rFonts w:hint="eastAsia" w:ascii="仿宋" w:hAnsi="仿宋" w:eastAsia="仿宋"/>
          <w:color w:val="auto"/>
          <w:sz w:val="32"/>
          <w:szCs w:val="32"/>
          <w:highlight w:val="none"/>
          <w:lang w:val="en-US" w:eastAsia="zh-CN"/>
        </w:rPr>
        <w:t>5</w:t>
      </w:r>
      <w:r>
        <w:rPr>
          <w:rStyle w:val="11"/>
          <w:rFonts w:hint="eastAsia" w:ascii="仿宋" w:hAnsi="仿宋" w:eastAsia="仿宋"/>
          <w:color w:val="auto"/>
          <w:sz w:val="32"/>
          <w:szCs w:val="32"/>
          <w:highlight w:val="none"/>
        </w:rPr>
        <w:t>年</w:t>
      </w:r>
      <w:r>
        <w:rPr>
          <w:rStyle w:val="11"/>
          <w:rFonts w:hint="eastAsia" w:ascii="仿宋" w:hAnsi="仿宋" w:eastAsia="仿宋"/>
          <w:color w:val="auto"/>
          <w:sz w:val="32"/>
          <w:szCs w:val="32"/>
          <w:highlight w:val="none"/>
          <w:lang w:eastAsia="zh-CN"/>
        </w:rPr>
        <w:t>庐山市沙湖山九年制学校</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${page400644146.ds215660413_REP_BGT_T_HC1100002019_DXQ02_S_ZJ}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支出预算总额为</w:t>
      </w:r>
      <w:r>
        <w:rPr>
          <w:rStyle w:val="11"/>
          <w:rFonts w:hint="eastAsia" w:ascii="仿宋" w:hAnsi="仿宋" w:eastAsia="仿宋"/>
          <w:color w:val="auto"/>
          <w:sz w:val="32"/>
          <w:szCs w:val="32"/>
          <w:highlight w:val="none"/>
          <w:lang w:val="en-US" w:eastAsia="zh-CN"/>
        </w:rPr>
        <w:t>351.42</w:t>
      </w:r>
      <w:r>
        <w:rPr>
          <w:rStyle w:val="11"/>
          <w:rFonts w:ascii="仿宋" w:hAnsi="仿宋" w:eastAsia="仿宋"/>
          <w:color w:val="auto"/>
          <w:sz w:val="32"/>
          <w:szCs w:val="32"/>
          <w:highlight w:val="none"/>
        </w:rPr>
        <w:t>元,较上年预算安排增加</w:t>
      </w:r>
      <w:r>
        <w:rPr>
          <w:rStyle w:val="11"/>
          <w:rFonts w:hint="eastAsia" w:ascii="仿宋" w:hAnsi="仿宋" w:eastAsia="仿宋"/>
          <w:color w:val="auto"/>
          <w:sz w:val="32"/>
          <w:szCs w:val="32"/>
          <w:highlight w:val="none"/>
          <w:lang w:val="en-US" w:eastAsia="zh-CN"/>
        </w:rPr>
        <w:t>65.78</w:t>
      </w:r>
      <w:r>
        <w:rPr>
          <w:rStyle w:val="11"/>
          <w:rFonts w:ascii="仿宋" w:hAnsi="仿宋" w:eastAsia="仿宋"/>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color w:val="auto"/>
          <w:highlight w:val="none"/>
        </w:rPr>
        <w:fldChar w:fldCharType="end"/>
      </w:r>
      <w:r>
        <w:rPr>
          <w:rFonts w:hint="eastAsia" w:ascii="仿宋" w:hAnsi="仿宋" w:eastAsia="仿宋" w:cs="Times New Roman"/>
          <w:color w:val="auto"/>
          <w:kern w:val="0"/>
          <w:sz w:val="32"/>
          <w:szCs w:val="32"/>
          <w:lang w:val="en-US" w:eastAsia="zh-CN"/>
        </w:rPr>
        <w:t>增加变化原因为：人员工资增加。</w:t>
      </w:r>
    </w:p>
    <w:p w14:paraId="1488F6EA">
      <w:pPr>
        <w:ind w:firstLine="640" w:firstLineChars="200"/>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其中：按支出项目类别划分：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${page400644146.ds215660413_REP_BGT_T_HC1100002019_DXQ02_JBZCQK}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lang w:val="en-US" w:eastAsia="zh-CN"/>
        </w:rPr>
        <w:t>349.77</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17.04</w:t>
      </w:r>
      <w:r>
        <w:rPr>
          <w:rStyle w:val="11"/>
          <w:rFonts w:ascii="仿宋" w:hAnsi="仿宋" w:eastAsia="仿宋"/>
          <w:color w:val="auto"/>
          <w:sz w:val="32"/>
          <w:szCs w:val="32"/>
          <w:highlight w:val="none"/>
        </w:rPr>
        <w:t>万元;其中：工资福利支出</w:t>
      </w:r>
      <w:r>
        <w:rPr>
          <w:rStyle w:val="11"/>
          <w:rFonts w:hint="eastAsia" w:ascii="仿宋" w:hAnsi="仿宋" w:eastAsia="仿宋"/>
          <w:color w:val="auto"/>
          <w:sz w:val="32"/>
          <w:szCs w:val="32"/>
          <w:highlight w:val="none"/>
          <w:lang w:val="en-US" w:eastAsia="zh-CN"/>
        </w:rPr>
        <w:t>312.96</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0.09</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3.03</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lang w:val="en-US" w:eastAsia="zh-CN"/>
        </w:rPr>
        <w:t>6.65</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1.45</w:t>
      </w:r>
      <w:r>
        <w:rPr>
          <w:rStyle w:val="11"/>
          <w:rFonts w:ascii="仿宋" w:hAnsi="仿宋" w:eastAsia="仿宋"/>
          <w:color w:val="auto"/>
          <w:sz w:val="32"/>
          <w:szCs w:val="32"/>
          <w:highlight w:val="none"/>
        </w:rPr>
        <w:t>万元;其中：</w:t>
      </w:r>
      <w:r>
        <w:rPr>
          <w:rStyle w:val="11"/>
          <w:rFonts w:hint="eastAsia" w:ascii="仿宋" w:hAnsi="仿宋" w:eastAsia="仿宋"/>
          <w:color w:val="auto"/>
          <w:sz w:val="32"/>
          <w:szCs w:val="32"/>
          <w:highlight w:val="none"/>
          <w:lang w:val="en-US" w:eastAsia="zh-CN"/>
        </w:rPr>
        <w:t>工资福利支出312.96万元，</w:t>
      </w:r>
      <w:r>
        <w:rPr>
          <w:rStyle w:val="11"/>
          <w:rFonts w:ascii="仿宋" w:hAnsi="仿宋" w:eastAsia="仿宋"/>
          <w:color w:val="auto"/>
          <w:sz w:val="32"/>
          <w:szCs w:val="32"/>
          <w:highlight w:val="none"/>
        </w:rPr>
        <w:t>商品和服务支出</w:t>
      </w:r>
      <w:r>
        <w:rPr>
          <w:rStyle w:val="11"/>
          <w:rFonts w:hint="eastAsia" w:ascii="仿宋" w:hAnsi="仿宋" w:eastAsia="仿宋"/>
          <w:color w:val="auto"/>
          <w:sz w:val="32"/>
          <w:szCs w:val="32"/>
          <w:highlight w:val="none"/>
          <w:lang w:val="en-US" w:eastAsia="zh-CN"/>
        </w:rPr>
        <w:t>0.22</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14:paraId="798F883E">
      <w:pPr>
        <w:ind w:firstLine="640" w:firstLineChars="200"/>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按支出功能科目划分：</w:t>
      </w:r>
      <w:r>
        <w:rPr>
          <w:rStyle w:val="11"/>
          <w:rFonts w:hint="eastAsia" w:ascii="仿宋" w:hAnsi="仿宋" w:eastAsia="仿宋" w:cs="仿宋"/>
          <w:color w:val="auto"/>
          <w:sz w:val="32"/>
          <w:szCs w:val="32"/>
          <w:highlight w:val="none"/>
        </w:rPr>
        <w:fldChar w:fldCharType="begin"/>
      </w:r>
      <w:r>
        <w:rPr>
          <w:rStyle w:val="11"/>
          <w:rFonts w:hint="eastAsia" w:ascii="仿宋" w:hAnsi="仿宋" w:eastAsia="仿宋" w:cs="仿宋"/>
          <w:color w:val="auto"/>
          <w:sz w:val="32"/>
          <w:szCs w:val="32"/>
          <w:highlight w:val="none"/>
        </w:rPr>
        <w:instrText xml:space="preserve">MERGEFIELD ${page540426799.ds197859873_REP_BGT_T_HC1100002019DXQ01DW_GNZJMX}</w:instrText>
      </w:r>
      <w:r>
        <w:rPr>
          <w:rStyle w:val="11"/>
          <w:rFonts w:hint="eastAsia" w:ascii="仿宋" w:hAnsi="仿宋" w:eastAsia="仿宋" w:cs="仿宋"/>
          <w:color w:val="auto"/>
          <w:sz w:val="32"/>
          <w:szCs w:val="32"/>
          <w:highlight w:val="none"/>
        </w:rPr>
        <w:fldChar w:fldCharType="separate"/>
      </w:r>
      <w:r>
        <w:rPr>
          <w:rStyle w:val="11"/>
          <w:rFonts w:hint="eastAsia" w:ascii="仿宋" w:hAnsi="仿宋" w:eastAsia="仿宋" w:cs="仿宋"/>
          <w:color w:val="auto"/>
          <w:sz w:val="32"/>
          <w:szCs w:val="32"/>
          <w:highlight w:val="none"/>
          <w:lang w:val="en-US" w:eastAsia="zh-CN"/>
        </w:rPr>
        <w:t>教育支出254.25</w:t>
      </w:r>
      <w:r>
        <w:rPr>
          <w:rStyle w:val="11"/>
          <w:rFonts w:hint="eastAsia" w:ascii="仿宋" w:hAnsi="仿宋" w:eastAsia="仿宋" w:cs="仿宋"/>
          <w:color w:val="auto"/>
          <w:sz w:val="32"/>
          <w:szCs w:val="32"/>
          <w:highlight w:val="none"/>
        </w:rPr>
        <w:t>万元,较上年预算安排</w:t>
      </w:r>
      <w:r>
        <w:rPr>
          <w:rStyle w:val="11"/>
          <w:rFonts w:hint="eastAsia" w:ascii="仿宋" w:hAnsi="仿宋" w:eastAsia="仿宋" w:cs="仿宋"/>
          <w:color w:val="auto"/>
          <w:sz w:val="32"/>
          <w:szCs w:val="32"/>
          <w:highlight w:val="none"/>
          <w:lang w:val="en-US" w:eastAsia="zh-CN"/>
        </w:rPr>
        <w:t>增加7.73</w:t>
      </w:r>
      <w:r>
        <w:rPr>
          <w:rStyle w:val="11"/>
          <w:rFonts w:hint="eastAsia" w:ascii="仿宋" w:hAnsi="仿宋" w:eastAsia="仿宋" w:cs="仿宋"/>
          <w:color w:val="auto"/>
          <w:sz w:val="32"/>
          <w:szCs w:val="32"/>
          <w:highlight w:val="none"/>
        </w:rPr>
        <w:t>万元;社会保障和就业支出</w:t>
      </w:r>
      <w:r>
        <w:rPr>
          <w:rStyle w:val="11"/>
          <w:rFonts w:hint="eastAsia" w:ascii="仿宋" w:hAnsi="仿宋" w:eastAsia="仿宋" w:cs="仿宋"/>
          <w:color w:val="auto"/>
          <w:sz w:val="32"/>
          <w:szCs w:val="32"/>
          <w:highlight w:val="none"/>
          <w:lang w:val="en-US" w:eastAsia="zh-CN"/>
        </w:rPr>
        <w:t>50.747</w:t>
      </w:r>
      <w:r>
        <w:rPr>
          <w:rStyle w:val="11"/>
          <w:rFonts w:hint="eastAsia" w:ascii="仿宋" w:hAnsi="仿宋" w:eastAsia="仿宋" w:cs="仿宋"/>
          <w:color w:val="auto"/>
          <w:sz w:val="32"/>
          <w:szCs w:val="32"/>
          <w:highlight w:val="none"/>
        </w:rPr>
        <w:t>万元,较上年预算安排增加</w:t>
      </w:r>
      <w:r>
        <w:rPr>
          <w:rStyle w:val="11"/>
          <w:rFonts w:hint="eastAsia" w:ascii="仿宋" w:hAnsi="仿宋" w:eastAsia="仿宋" w:cs="仿宋"/>
          <w:color w:val="auto"/>
          <w:sz w:val="32"/>
          <w:szCs w:val="32"/>
          <w:highlight w:val="none"/>
          <w:lang w:val="en-US" w:eastAsia="zh-CN"/>
        </w:rPr>
        <w:t>6.21</w:t>
      </w:r>
      <w:r>
        <w:rPr>
          <w:rStyle w:val="11"/>
          <w:rFonts w:hint="eastAsia" w:ascii="仿宋" w:hAnsi="仿宋" w:eastAsia="仿宋" w:cs="仿宋"/>
          <w:color w:val="auto"/>
          <w:sz w:val="32"/>
          <w:szCs w:val="32"/>
          <w:highlight w:val="none"/>
        </w:rPr>
        <w:t>万元;卫生健康支出</w:t>
      </w:r>
      <w:r>
        <w:rPr>
          <w:rStyle w:val="11"/>
          <w:rFonts w:hint="eastAsia" w:ascii="仿宋" w:hAnsi="仿宋" w:eastAsia="仿宋" w:cs="仿宋"/>
          <w:color w:val="auto"/>
          <w:sz w:val="32"/>
          <w:szCs w:val="32"/>
          <w:highlight w:val="none"/>
          <w:lang w:val="en-US" w:eastAsia="zh-CN"/>
        </w:rPr>
        <w:t>19.02</w:t>
      </w:r>
      <w:r>
        <w:rPr>
          <w:rStyle w:val="11"/>
          <w:rFonts w:hint="eastAsia" w:ascii="仿宋" w:hAnsi="仿宋" w:eastAsia="仿宋" w:cs="仿宋"/>
          <w:color w:val="auto"/>
          <w:sz w:val="32"/>
          <w:szCs w:val="32"/>
          <w:highlight w:val="none"/>
        </w:rPr>
        <w:t>万元,较上年预算安排减少</w:t>
      </w:r>
      <w:r>
        <w:rPr>
          <w:rStyle w:val="11"/>
          <w:rFonts w:hint="eastAsia" w:ascii="仿宋" w:hAnsi="仿宋" w:eastAsia="仿宋" w:cs="仿宋"/>
          <w:color w:val="auto"/>
          <w:sz w:val="32"/>
          <w:szCs w:val="32"/>
          <w:highlight w:val="none"/>
          <w:lang w:val="en-US" w:eastAsia="zh-CN"/>
        </w:rPr>
        <w:t>1.79</w:t>
      </w:r>
      <w:r>
        <w:rPr>
          <w:rStyle w:val="11"/>
          <w:rFonts w:hint="eastAsia" w:ascii="仿宋" w:hAnsi="仿宋" w:eastAsia="仿宋" w:cs="仿宋"/>
          <w:color w:val="auto"/>
          <w:sz w:val="32"/>
          <w:szCs w:val="32"/>
          <w:highlight w:val="none"/>
        </w:rPr>
        <w:t>万元;住房保障支出</w:t>
      </w:r>
      <w:r>
        <w:rPr>
          <w:rStyle w:val="11"/>
          <w:rFonts w:hint="eastAsia" w:ascii="仿宋" w:hAnsi="仿宋" w:eastAsia="仿宋" w:cs="仿宋"/>
          <w:color w:val="auto"/>
          <w:sz w:val="32"/>
          <w:szCs w:val="32"/>
          <w:highlight w:val="none"/>
          <w:lang w:val="en-US" w:eastAsia="zh-CN"/>
        </w:rPr>
        <w:t>25.75</w:t>
      </w:r>
      <w:r>
        <w:rPr>
          <w:rStyle w:val="11"/>
          <w:rFonts w:hint="eastAsia" w:ascii="仿宋" w:hAnsi="仿宋" w:eastAsia="仿宋" w:cs="仿宋"/>
          <w:color w:val="auto"/>
          <w:sz w:val="32"/>
          <w:szCs w:val="32"/>
          <w:highlight w:val="none"/>
        </w:rPr>
        <w:t>万元,较上年预算安排增加减少</w:t>
      </w:r>
      <w:r>
        <w:rPr>
          <w:rStyle w:val="11"/>
          <w:rFonts w:hint="eastAsia" w:ascii="仿宋" w:hAnsi="仿宋" w:eastAsia="仿宋" w:cs="仿宋"/>
          <w:color w:val="auto"/>
          <w:sz w:val="32"/>
          <w:szCs w:val="32"/>
          <w:highlight w:val="none"/>
          <w:lang w:val="en-US" w:eastAsia="zh-CN"/>
        </w:rPr>
        <w:t>1.3</w:t>
      </w:r>
      <w:r>
        <w:rPr>
          <w:rStyle w:val="11"/>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fldChar w:fldCharType="end"/>
      </w:r>
    </w:p>
    <w:p w14:paraId="61CCDEAA">
      <w:pPr>
        <w:ind w:firstLine="640" w:firstLineChars="200"/>
        <w:rPr>
          <w:color w:val="auto"/>
          <w:highlight w:val="none"/>
        </w:rPr>
      </w:pPr>
      <w:r>
        <w:rPr>
          <w:rStyle w:val="11"/>
          <w:rFonts w:hint="eastAsia" w:ascii="仿宋" w:hAnsi="仿宋" w:eastAsia="仿宋"/>
          <w:color w:val="auto"/>
          <w:sz w:val="32"/>
          <w:szCs w:val="32"/>
          <w:highlight w:val="none"/>
        </w:rPr>
        <w:t>按支出经济分类划分：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${page400644146.ds247441498_REP_BGT_T_HC1100002019DXQ01_JJMX}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工资福利支出</w:t>
      </w:r>
      <w:r>
        <w:rPr>
          <w:rStyle w:val="11"/>
          <w:rFonts w:hint="eastAsia" w:ascii="仿宋" w:hAnsi="仿宋" w:eastAsia="仿宋"/>
          <w:color w:val="auto"/>
          <w:sz w:val="32"/>
          <w:szCs w:val="32"/>
          <w:highlight w:val="none"/>
          <w:lang w:val="en-US" w:eastAsia="zh-CN"/>
        </w:rPr>
        <w:t>312.96</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减少16.26</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0.22</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0.13</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31.59</w:t>
      </w:r>
      <w:r>
        <w:rPr>
          <w:rStyle w:val="11"/>
          <w:rFonts w:ascii="仿宋" w:hAnsi="仿宋" w:eastAsia="仿宋"/>
          <w:color w:val="auto"/>
          <w:sz w:val="32"/>
          <w:szCs w:val="32"/>
          <w:highlight w:val="none"/>
        </w:rPr>
        <w:t>万元,较上年预算安排</w:t>
      </w:r>
      <w:r>
        <w:rPr>
          <w:rStyle w:val="11"/>
          <w:rFonts w:hint="eastAsia" w:ascii="仿宋" w:hAnsi="仿宋" w:eastAsia="仿宋"/>
          <w:color w:val="auto"/>
          <w:sz w:val="32"/>
          <w:szCs w:val="32"/>
          <w:highlight w:val="none"/>
          <w:lang w:val="en-US" w:eastAsia="zh-CN"/>
        </w:rPr>
        <w:t>增加27</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14:paraId="3DF6900E">
      <w:pPr>
        <w:ind w:firstLine="420" w:firstLineChars="200"/>
        <w:rPr>
          <w:rFonts w:hint="default" w:eastAsiaTheme="minorEastAsia"/>
          <w:color w:val="auto"/>
          <w:highlight w:val="none"/>
          <w:lang w:val="en-US" w:eastAsia="zh-CN"/>
        </w:rPr>
      </w:pPr>
    </w:p>
    <w:p w14:paraId="52AB760C">
      <w:pPr>
        <w:ind w:firstLine="420" w:firstLineChars="200"/>
        <w:rPr>
          <w:color w:val="auto"/>
          <w:highlight w:val="none"/>
        </w:rPr>
      </w:pPr>
    </w:p>
    <w:p w14:paraId="3D018E2B">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 xml:space="preserve"> (三)财政拨款支出情况</w:t>
      </w:r>
    </w:p>
    <w:p w14:paraId="2A114774">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highlight w:val="none"/>
        </w:rPr>
        <w:t>2</w:t>
      </w:r>
      <w:r>
        <w:rPr>
          <w:rStyle w:val="11"/>
          <w:rFonts w:ascii="仿宋" w:hAnsi="仿宋" w:eastAsia="仿宋"/>
          <w:color w:val="auto"/>
          <w:sz w:val="32"/>
          <w:szCs w:val="32"/>
          <w:highlight w:val="none"/>
        </w:rPr>
        <w:t>02</w:t>
      </w:r>
      <w:r>
        <w:rPr>
          <w:rStyle w:val="11"/>
          <w:rFonts w:hint="eastAsia" w:ascii="仿宋" w:hAnsi="仿宋" w:eastAsia="仿宋"/>
          <w:color w:val="auto"/>
          <w:sz w:val="32"/>
          <w:szCs w:val="32"/>
          <w:highlight w:val="none"/>
          <w:lang w:val="en-US" w:eastAsia="zh-CN"/>
        </w:rPr>
        <w:t>5</w:t>
      </w:r>
      <w:r>
        <w:rPr>
          <w:rStyle w:val="11"/>
          <w:rFonts w:hint="eastAsia" w:ascii="仿宋" w:hAnsi="仿宋" w:eastAsia="仿宋"/>
          <w:color w:val="auto"/>
          <w:sz w:val="32"/>
          <w:szCs w:val="32"/>
          <w:highlight w:val="none"/>
        </w:rPr>
        <w:t>年</w:t>
      </w:r>
      <w:r>
        <w:rPr>
          <w:rStyle w:val="11"/>
          <w:rFonts w:hint="eastAsia" w:ascii="仿宋" w:hAnsi="仿宋" w:eastAsia="仿宋"/>
          <w:color w:val="auto"/>
          <w:sz w:val="32"/>
          <w:szCs w:val="32"/>
          <w:highlight w:val="none"/>
          <w:lang w:eastAsia="zh-CN"/>
        </w:rPr>
        <w:t>庐山市沙湖山九年制学校</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${page400644146.ds215660413_REP_BGT_T_HC1100002019_DXQ02_S_CBXJ}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财政拨款支出预算总额</w:t>
      </w:r>
      <w:r>
        <w:rPr>
          <w:rStyle w:val="11"/>
          <w:rFonts w:hint="eastAsia" w:ascii="仿宋" w:hAnsi="仿宋" w:eastAsia="仿宋"/>
          <w:color w:val="auto"/>
          <w:sz w:val="32"/>
          <w:szCs w:val="32"/>
          <w:highlight w:val="none"/>
          <w:lang w:val="en-US" w:eastAsia="zh-CN"/>
        </w:rPr>
        <w:t>349.77</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17.04</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color w:val="auto"/>
          <w:highlight w:val="none"/>
        </w:rPr>
        <w:fldChar w:fldCharType="end"/>
      </w:r>
      <w:r>
        <w:rPr>
          <w:rFonts w:hint="eastAsia" w:ascii="仿宋" w:hAnsi="仿宋" w:eastAsia="仿宋" w:cs="Times New Roman"/>
          <w:color w:val="auto"/>
          <w:kern w:val="0"/>
          <w:sz w:val="32"/>
          <w:szCs w:val="32"/>
          <w:lang w:val="en-US" w:eastAsia="zh-CN"/>
        </w:rPr>
        <w:t>增加变化原因为：人员工资增加。</w:t>
      </w:r>
    </w:p>
    <w:p w14:paraId="30D39354">
      <w:pPr>
        <w:ind w:firstLine="640" w:firstLineChars="200"/>
        <w:rPr>
          <w:rFonts w:hint="eastAsia" w:ascii="仿宋" w:hAnsi="仿宋" w:eastAsia="仿宋" w:cs="仿宋"/>
          <w:color w:val="auto"/>
          <w:sz w:val="32"/>
          <w:szCs w:val="32"/>
          <w:highlight w:val="none"/>
        </w:rPr>
      </w:pPr>
      <w:r>
        <w:rPr>
          <w:rStyle w:val="11"/>
          <w:rFonts w:hint="eastAsia" w:ascii="仿宋" w:hAnsi="仿宋" w:eastAsia="仿宋"/>
          <w:color w:val="auto"/>
          <w:sz w:val="32"/>
          <w:szCs w:val="32"/>
          <w:highlight w:val="none"/>
        </w:rPr>
        <w:t>按支出功能科目划分：</w:t>
      </w:r>
      <w:r>
        <w:rPr>
          <w:rStyle w:val="11"/>
          <w:rFonts w:hint="eastAsia" w:ascii="仿宋" w:hAnsi="仿宋" w:eastAsia="仿宋" w:cs="仿宋"/>
          <w:color w:val="auto"/>
          <w:sz w:val="32"/>
          <w:szCs w:val="32"/>
          <w:highlight w:val="none"/>
        </w:rPr>
        <w:fldChar w:fldCharType="begin"/>
      </w:r>
      <w:r>
        <w:rPr>
          <w:rStyle w:val="11"/>
          <w:rFonts w:hint="eastAsia" w:ascii="仿宋" w:hAnsi="仿宋" w:eastAsia="仿宋" w:cs="仿宋"/>
          <w:color w:val="auto"/>
          <w:sz w:val="32"/>
          <w:szCs w:val="32"/>
          <w:highlight w:val="none"/>
        </w:rPr>
        <w:instrText xml:space="preserve">MERGEFIELD ${page540426799.ds197859873_REP_BGT_T_HC1100002019DXQ01DW_GNZJMX}</w:instrText>
      </w:r>
      <w:r>
        <w:rPr>
          <w:rStyle w:val="11"/>
          <w:rFonts w:hint="eastAsia" w:ascii="仿宋" w:hAnsi="仿宋" w:eastAsia="仿宋" w:cs="仿宋"/>
          <w:color w:val="auto"/>
          <w:sz w:val="32"/>
          <w:szCs w:val="32"/>
          <w:highlight w:val="none"/>
        </w:rPr>
        <w:fldChar w:fldCharType="separate"/>
      </w:r>
      <w:r>
        <w:rPr>
          <w:rStyle w:val="11"/>
          <w:rFonts w:hint="eastAsia" w:ascii="仿宋" w:hAnsi="仿宋" w:eastAsia="仿宋" w:cs="仿宋"/>
          <w:color w:val="auto"/>
          <w:sz w:val="32"/>
          <w:szCs w:val="32"/>
          <w:highlight w:val="none"/>
          <w:lang w:val="en-US" w:eastAsia="zh-CN"/>
        </w:rPr>
        <w:t>教育支出254.25</w:t>
      </w:r>
      <w:r>
        <w:rPr>
          <w:rStyle w:val="11"/>
          <w:rFonts w:hint="eastAsia" w:ascii="仿宋" w:hAnsi="仿宋" w:eastAsia="仿宋" w:cs="仿宋"/>
          <w:color w:val="auto"/>
          <w:sz w:val="32"/>
          <w:szCs w:val="32"/>
          <w:highlight w:val="none"/>
        </w:rPr>
        <w:t>万元,较上年预算安排</w:t>
      </w:r>
      <w:r>
        <w:rPr>
          <w:rStyle w:val="11"/>
          <w:rFonts w:hint="eastAsia" w:ascii="仿宋" w:hAnsi="仿宋" w:eastAsia="仿宋" w:cs="仿宋"/>
          <w:color w:val="auto"/>
          <w:sz w:val="32"/>
          <w:szCs w:val="32"/>
          <w:highlight w:val="none"/>
          <w:lang w:val="en-US" w:eastAsia="zh-CN"/>
        </w:rPr>
        <w:t>增加7.73</w:t>
      </w:r>
      <w:r>
        <w:rPr>
          <w:rStyle w:val="11"/>
          <w:rFonts w:hint="eastAsia" w:ascii="仿宋" w:hAnsi="仿宋" w:eastAsia="仿宋" w:cs="仿宋"/>
          <w:color w:val="auto"/>
          <w:sz w:val="32"/>
          <w:szCs w:val="32"/>
          <w:highlight w:val="none"/>
        </w:rPr>
        <w:t>万元;社会保障和就业支出</w:t>
      </w:r>
      <w:r>
        <w:rPr>
          <w:rStyle w:val="11"/>
          <w:rFonts w:hint="eastAsia" w:ascii="仿宋" w:hAnsi="仿宋" w:eastAsia="仿宋" w:cs="仿宋"/>
          <w:color w:val="auto"/>
          <w:sz w:val="32"/>
          <w:szCs w:val="32"/>
          <w:highlight w:val="none"/>
          <w:lang w:val="en-US" w:eastAsia="zh-CN"/>
        </w:rPr>
        <w:t>50.747</w:t>
      </w:r>
      <w:r>
        <w:rPr>
          <w:rStyle w:val="11"/>
          <w:rFonts w:hint="eastAsia" w:ascii="仿宋" w:hAnsi="仿宋" w:eastAsia="仿宋" w:cs="仿宋"/>
          <w:color w:val="auto"/>
          <w:sz w:val="32"/>
          <w:szCs w:val="32"/>
          <w:highlight w:val="none"/>
        </w:rPr>
        <w:t>万元,较上年预算安排增加</w:t>
      </w:r>
      <w:r>
        <w:rPr>
          <w:rStyle w:val="11"/>
          <w:rFonts w:hint="eastAsia" w:ascii="仿宋" w:hAnsi="仿宋" w:eastAsia="仿宋" w:cs="仿宋"/>
          <w:color w:val="auto"/>
          <w:sz w:val="32"/>
          <w:szCs w:val="32"/>
          <w:highlight w:val="none"/>
          <w:lang w:val="en-US" w:eastAsia="zh-CN"/>
        </w:rPr>
        <w:t>6.21</w:t>
      </w:r>
      <w:r>
        <w:rPr>
          <w:rStyle w:val="11"/>
          <w:rFonts w:hint="eastAsia" w:ascii="仿宋" w:hAnsi="仿宋" w:eastAsia="仿宋" w:cs="仿宋"/>
          <w:color w:val="auto"/>
          <w:sz w:val="32"/>
          <w:szCs w:val="32"/>
          <w:highlight w:val="none"/>
        </w:rPr>
        <w:t>万元;卫生健康支出</w:t>
      </w:r>
      <w:r>
        <w:rPr>
          <w:rStyle w:val="11"/>
          <w:rFonts w:hint="eastAsia" w:ascii="仿宋" w:hAnsi="仿宋" w:eastAsia="仿宋" w:cs="仿宋"/>
          <w:color w:val="auto"/>
          <w:sz w:val="32"/>
          <w:szCs w:val="32"/>
          <w:highlight w:val="none"/>
          <w:lang w:val="en-US" w:eastAsia="zh-CN"/>
        </w:rPr>
        <w:t>19.02</w:t>
      </w:r>
      <w:r>
        <w:rPr>
          <w:rStyle w:val="11"/>
          <w:rFonts w:hint="eastAsia" w:ascii="仿宋" w:hAnsi="仿宋" w:eastAsia="仿宋" w:cs="仿宋"/>
          <w:color w:val="auto"/>
          <w:sz w:val="32"/>
          <w:szCs w:val="32"/>
          <w:highlight w:val="none"/>
        </w:rPr>
        <w:t>万元,较上年预算安排减少</w:t>
      </w:r>
      <w:r>
        <w:rPr>
          <w:rStyle w:val="11"/>
          <w:rFonts w:hint="eastAsia" w:ascii="仿宋" w:hAnsi="仿宋" w:eastAsia="仿宋" w:cs="仿宋"/>
          <w:color w:val="auto"/>
          <w:sz w:val="32"/>
          <w:szCs w:val="32"/>
          <w:highlight w:val="none"/>
          <w:lang w:val="en-US" w:eastAsia="zh-CN"/>
        </w:rPr>
        <w:t>1.79</w:t>
      </w:r>
      <w:r>
        <w:rPr>
          <w:rStyle w:val="11"/>
          <w:rFonts w:hint="eastAsia" w:ascii="仿宋" w:hAnsi="仿宋" w:eastAsia="仿宋" w:cs="仿宋"/>
          <w:color w:val="auto"/>
          <w:sz w:val="32"/>
          <w:szCs w:val="32"/>
          <w:highlight w:val="none"/>
        </w:rPr>
        <w:t>万元;住房保障支出</w:t>
      </w:r>
      <w:r>
        <w:rPr>
          <w:rStyle w:val="11"/>
          <w:rFonts w:hint="eastAsia" w:ascii="仿宋" w:hAnsi="仿宋" w:eastAsia="仿宋" w:cs="仿宋"/>
          <w:color w:val="auto"/>
          <w:sz w:val="32"/>
          <w:szCs w:val="32"/>
          <w:highlight w:val="none"/>
          <w:lang w:val="en-US" w:eastAsia="zh-CN"/>
        </w:rPr>
        <w:t>25.75</w:t>
      </w:r>
      <w:r>
        <w:rPr>
          <w:rStyle w:val="11"/>
          <w:rFonts w:hint="eastAsia" w:ascii="仿宋" w:hAnsi="仿宋" w:eastAsia="仿宋" w:cs="仿宋"/>
          <w:color w:val="auto"/>
          <w:sz w:val="32"/>
          <w:szCs w:val="32"/>
          <w:highlight w:val="none"/>
        </w:rPr>
        <w:t>万元,较上年预算安排增加减少</w:t>
      </w:r>
      <w:r>
        <w:rPr>
          <w:rStyle w:val="11"/>
          <w:rFonts w:hint="eastAsia" w:ascii="仿宋" w:hAnsi="仿宋" w:eastAsia="仿宋" w:cs="仿宋"/>
          <w:color w:val="auto"/>
          <w:sz w:val="32"/>
          <w:szCs w:val="32"/>
          <w:highlight w:val="none"/>
          <w:lang w:val="en-US" w:eastAsia="zh-CN"/>
        </w:rPr>
        <w:t>1.3</w:t>
      </w:r>
      <w:r>
        <w:rPr>
          <w:rStyle w:val="11"/>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fldChar w:fldCharType="end"/>
      </w:r>
    </w:p>
    <w:p w14:paraId="5044D3C7">
      <w:pPr>
        <w:ind w:firstLine="640" w:firstLineChars="200"/>
        <w:rPr>
          <w:color w:val="auto"/>
          <w:highlight w:val="none"/>
        </w:rPr>
      </w:pPr>
      <w:r>
        <w:rPr>
          <w:rStyle w:val="11"/>
          <w:rFonts w:hint="eastAsia" w:ascii="仿宋" w:hAnsi="仿宋" w:eastAsia="仿宋"/>
          <w:color w:val="auto"/>
          <w:sz w:val="32"/>
          <w:szCs w:val="32"/>
          <w:highlight w:val="none"/>
        </w:rPr>
        <w:t>按支出项目类别划分：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${page400644146.ds215660413_REP_BGT_T_HC1100002019_DXQ02_JBZCQK}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lang w:val="en-US" w:eastAsia="zh-CN"/>
        </w:rPr>
        <w:t>349.77</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17.04</w:t>
      </w:r>
      <w:r>
        <w:rPr>
          <w:rStyle w:val="11"/>
          <w:rFonts w:ascii="仿宋" w:hAnsi="仿宋" w:eastAsia="仿宋"/>
          <w:color w:val="auto"/>
          <w:sz w:val="32"/>
          <w:szCs w:val="32"/>
          <w:highlight w:val="none"/>
        </w:rPr>
        <w:t>万元;其中：工资福利支出</w:t>
      </w:r>
      <w:r>
        <w:rPr>
          <w:rStyle w:val="11"/>
          <w:rFonts w:hint="eastAsia" w:ascii="仿宋" w:hAnsi="仿宋" w:eastAsia="仿宋"/>
          <w:color w:val="auto"/>
          <w:sz w:val="32"/>
          <w:szCs w:val="32"/>
          <w:highlight w:val="none"/>
          <w:lang w:val="en-US" w:eastAsia="zh-CN"/>
        </w:rPr>
        <w:t>312.96</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0.22</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3.03</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lang w:val="en-US" w:eastAsia="zh-CN"/>
        </w:rPr>
        <w:t>21.31</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万元;其中：</w:t>
      </w:r>
      <w:r>
        <w:rPr>
          <w:rStyle w:val="11"/>
          <w:rFonts w:hint="eastAsia" w:ascii="仿宋" w:hAnsi="仿宋" w:eastAsia="仿宋"/>
          <w:color w:val="auto"/>
          <w:sz w:val="32"/>
          <w:szCs w:val="32"/>
          <w:highlight w:val="none"/>
          <w:lang w:val="en-US" w:eastAsia="zh-CN"/>
        </w:rPr>
        <w:t>工资福利支出4.74万元，</w:t>
      </w:r>
      <w:r>
        <w:rPr>
          <w:rStyle w:val="11"/>
          <w:rFonts w:ascii="仿宋" w:hAnsi="仿宋" w:eastAsia="仿宋"/>
          <w:color w:val="auto"/>
          <w:sz w:val="32"/>
          <w:szCs w:val="32"/>
          <w:highlight w:val="none"/>
        </w:rPr>
        <w:t>商品和服务支出</w:t>
      </w:r>
      <w:r>
        <w:rPr>
          <w:rStyle w:val="11"/>
          <w:rFonts w:hint="eastAsia" w:ascii="仿宋" w:hAnsi="仿宋" w:eastAsia="仿宋"/>
          <w:color w:val="auto"/>
          <w:sz w:val="32"/>
          <w:szCs w:val="32"/>
          <w:highlight w:val="none"/>
          <w:lang w:val="en-US" w:eastAsia="zh-CN"/>
        </w:rPr>
        <w:t>0.22</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14:paraId="495B0F90">
      <w:pPr>
        <w:ind w:firstLine="420" w:firstLineChars="200"/>
        <w:rPr>
          <w:color w:val="auto"/>
          <w:highlight w:val="none"/>
        </w:rPr>
      </w:pPr>
    </w:p>
    <w:p w14:paraId="499A4E68">
      <w:pPr>
        <w:ind w:firstLine="420" w:firstLineChars="200"/>
        <w:rPr>
          <w:color w:val="auto"/>
          <w:highlight w:val="none"/>
        </w:rPr>
      </w:pPr>
    </w:p>
    <w:p w14:paraId="7696B9D0">
      <w:pPr>
        <w:ind w:firstLine="643" w:firstLineChars="2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(四)政府性基金情况</w:t>
      </w:r>
    </w:p>
    <w:p w14:paraId="0EEF93F9">
      <w:pPr>
        <w:ind w:firstLine="640" w:firstLineChars="200"/>
        <w:rPr>
          <w:rStyle w:val="11"/>
          <w:rFonts w:hint="eastAsia" w:ascii="仿宋" w:hAnsi="仿宋" w:eastAsia="仿宋"/>
          <w:color w:val="auto"/>
          <w:sz w:val="32"/>
          <w:szCs w:val="32"/>
          <w:highlight w:val="none"/>
          <w:lang w:eastAsia="zh-CN"/>
        </w:rPr>
      </w:pPr>
      <w:r>
        <w:rPr>
          <w:rStyle w:val="11"/>
          <w:rFonts w:hint="eastAsia" w:ascii="仿宋" w:hAnsi="仿宋" w:eastAsia="仿宋"/>
          <w:color w:val="auto"/>
          <w:sz w:val="32"/>
          <w:szCs w:val="32"/>
          <w:highlight w:val="none"/>
          <w:lang w:eastAsia="zh-CN"/>
        </w:rPr>
        <w:t>本单位没有使用政府性基金预算拨款安排的支出。</w:t>
      </w:r>
    </w:p>
    <w:p w14:paraId="0BB10E55">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（五）国有资本经营情况</w:t>
      </w:r>
    </w:p>
    <w:p w14:paraId="12483EFD">
      <w:pPr>
        <w:widowControl/>
        <w:ind w:firstLine="640" w:firstLineChars="200"/>
        <w:rPr>
          <w:rStyle w:val="11"/>
          <w:rFonts w:hint="eastAsia" w:ascii="Adobe 仿宋 Std R" w:hAnsi="Adobe 仿宋 Std R" w:eastAsia="Adobe 仿宋 Std R"/>
          <w:color w:val="auto"/>
          <w:sz w:val="32"/>
          <w:szCs w:val="32"/>
          <w:highlight w:val="none"/>
          <w:lang w:val="en-US" w:eastAsia="zh-CN"/>
        </w:rPr>
      </w:pPr>
      <w:r>
        <w:rPr>
          <w:rStyle w:val="11"/>
          <w:rFonts w:hint="eastAsia" w:ascii="Adobe 仿宋 Std R" w:hAnsi="Adobe 仿宋 Std R" w:eastAsia="Adobe 仿宋 Std R"/>
          <w:color w:val="auto"/>
          <w:sz w:val="32"/>
          <w:szCs w:val="32"/>
          <w:highlight w:val="none"/>
        </w:rPr>
        <w:t>本单位没有使用国有资本经营预算拨款安排的支出</w:t>
      </w:r>
      <w:r>
        <w:rPr>
          <w:rStyle w:val="11"/>
          <w:rFonts w:hint="eastAsia" w:ascii="Adobe 仿宋 Std R" w:hAnsi="Adobe 仿宋 Std R" w:eastAsia="Adobe 仿宋 Std R"/>
          <w:color w:val="auto"/>
          <w:sz w:val="32"/>
          <w:szCs w:val="32"/>
          <w:highlight w:val="none"/>
          <w:lang w:eastAsia="zh-CN"/>
        </w:rPr>
        <w:t>。</w:t>
      </w:r>
    </w:p>
    <w:p w14:paraId="60ACEC92">
      <w:pPr>
        <w:ind w:firstLine="321" w:firstLineChars="100"/>
        <w:rPr>
          <w:rStyle w:val="11"/>
          <w:rFonts w:ascii="Adobe 仿宋 Std R" w:hAnsi="Adobe 仿宋 Std R" w:eastAsia="Adobe 仿宋 Std R"/>
          <w:b/>
          <w:color w:val="auto"/>
          <w:sz w:val="32"/>
          <w:szCs w:val="32"/>
          <w:highlight w:val="none"/>
        </w:rPr>
      </w:pPr>
      <w:r>
        <w:rPr>
          <w:rStyle w:val="11"/>
          <w:rFonts w:hint="eastAsia" w:asciiTheme="majorEastAsia" w:hAnsiTheme="majorEastAsia" w:eastAsiaTheme="majorEastAsia"/>
          <w:b/>
          <w:color w:val="auto"/>
          <w:sz w:val="32"/>
          <w:szCs w:val="32"/>
          <w:highlight w:val="none"/>
        </w:rPr>
        <w:t xml:space="preserve"> </w:t>
      </w:r>
      <w:r>
        <w:rPr>
          <w:rStyle w:val="11"/>
          <w:rFonts w:hint="eastAsia" w:ascii="Adobe 仿宋 Std R" w:hAnsi="Adobe 仿宋 Std R" w:eastAsia="Adobe 仿宋 Std R"/>
          <w:b/>
          <w:color w:val="auto"/>
          <w:sz w:val="32"/>
          <w:szCs w:val="32"/>
          <w:highlight w:val="none"/>
        </w:rPr>
        <w:t>(六)机关运行经费等重要事项的说明</w:t>
      </w:r>
    </w:p>
    <w:p w14:paraId="704D0CC1">
      <w:pPr>
        <w:widowControl/>
        <w:spacing w:line="580" w:lineRule="exact"/>
        <w:ind w:firstLine="636"/>
        <w:jc w:val="left"/>
        <w:rPr>
          <w:rStyle w:val="11"/>
          <w:rFonts w:hint="eastAsia" w:ascii="Adobe 仿宋 Std R" w:hAnsi="Adobe 仿宋 Std R" w:eastAsia="Adobe 仿宋 Std R"/>
          <w:b w:val="0"/>
          <w:bCs/>
          <w:color w:val="auto"/>
          <w:sz w:val="32"/>
          <w:szCs w:val="32"/>
          <w:highlight w:val="none"/>
          <w:lang w:eastAsia="zh-CN"/>
        </w:rPr>
      </w:pPr>
      <w:r>
        <w:rPr>
          <w:rStyle w:val="11"/>
          <w:rFonts w:hint="eastAsia" w:ascii="Adobe 仿宋 Std R" w:hAnsi="Adobe 仿宋 Std R" w:eastAsia="Adobe 仿宋 Std R"/>
          <w:b w:val="0"/>
          <w:bCs/>
          <w:color w:val="auto"/>
          <w:sz w:val="32"/>
          <w:szCs w:val="32"/>
          <w:highlight w:val="none"/>
        </w:rPr>
        <w:t>本单位非行政参公单位，无机关运行经费</w:t>
      </w:r>
      <w:r>
        <w:rPr>
          <w:rStyle w:val="11"/>
          <w:rFonts w:hint="eastAsia" w:ascii="Adobe 仿宋 Std R" w:hAnsi="Adobe 仿宋 Std R" w:eastAsia="Adobe 仿宋 Std R"/>
          <w:b w:val="0"/>
          <w:bCs/>
          <w:color w:val="auto"/>
          <w:sz w:val="32"/>
          <w:szCs w:val="32"/>
          <w:highlight w:val="none"/>
          <w:lang w:eastAsia="zh-CN"/>
        </w:rPr>
        <w:t>。</w:t>
      </w:r>
    </w:p>
    <w:p w14:paraId="51BBEABD">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(七)政府采购情况</w:t>
      </w:r>
    </w:p>
    <w:p w14:paraId="588A842E">
      <w:pPr>
        <w:rPr>
          <w:rFonts w:ascii="Adobe 仿宋 Std R" w:hAnsi="Adobe 仿宋 Std R" w:eastAsia="Adobe 仿宋 Std R"/>
          <w:color w:val="auto"/>
          <w:sz w:val="32"/>
          <w:szCs w:val="32"/>
          <w:highlight w:val="none"/>
        </w:rPr>
      </w:pPr>
      <w:r>
        <w:rPr>
          <w:rStyle w:val="11"/>
          <w:rFonts w:hint="eastAsia" w:asciiTheme="majorEastAsia" w:hAnsiTheme="majorEastAsia" w:eastAsiaTheme="majorEastAsia"/>
          <w:b/>
          <w:color w:val="auto"/>
          <w:sz w:val="32"/>
          <w:szCs w:val="32"/>
          <w:highlight w:val="none"/>
        </w:rPr>
        <w:t xml:space="preserve">  </w:t>
      </w:r>
      <w:r>
        <w:rPr>
          <w:rFonts w:hint="eastAsia" w:ascii="Adobe 仿宋 Std R" w:hAnsi="Adobe 仿宋 Std R" w:eastAsia="Adobe 仿宋 Std R"/>
          <w:color w:val="auto"/>
          <w:highlight w:val="none"/>
        </w:rPr>
        <w:t xml:space="preserve"> </w:t>
      </w: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年单位政府采购总额</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其中</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政府采购货物预算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政府采购工程预算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政府采购服务预算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p>
    <w:p w14:paraId="6C796EDE">
      <w:pPr>
        <w:widowControl/>
        <w:spacing w:line="580" w:lineRule="exact"/>
        <w:ind w:firstLine="636"/>
        <w:jc w:val="left"/>
        <w:rPr>
          <w:rStyle w:val="11"/>
          <w:rFonts w:ascii="Adobe 仿宋 Std R" w:hAnsi="Adobe 仿宋 Std R" w:eastAsia="Adobe 仿宋 Std R"/>
          <w:b/>
          <w:color w:val="auto"/>
          <w:sz w:val="32"/>
          <w:szCs w:val="32"/>
          <w:highlight w:val="none"/>
        </w:rPr>
      </w:pPr>
      <w:r>
        <w:rPr>
          <w:rFonts w:hint="eastAsia"/>
          <w:color w:val="auto"/>
          <w:sz w:val="32"/>
          <w:highlight w:val="none"/>
        </w:rPr>
        <w:t xml:space="preserve"> </w:t>
      </w:r>
      <w:r>
        <w:rPr>
          <w:rStyle w:val="11"/>
          <w:rFonts w:hint="eastAsia" w:ascii="Adobe 仿宋 Std R" w:hAnsi="Adobe 仿宋 Std R" w:eastAsia="Adobe 仿宋 Std R"/>
          <w:b/>
          <w:color w:val="auto"/>
          <w:sz w:val="32"/>
          <w:szCs w:val="32"/>
          <w:highlight w:val="none"/>
        </w:rPr>
        <w:t>(八)国有资产占有使用情况</w:t>
      </w:r>
    </w:p>
    <w:p w14:paraId="02C6C1D1">
      <w:pPr>
        <w:ind w:firstLine="642"/>
        <w:rPr>
          <w:rFonts w:ascii="Adobe 仿宋 Std R" w:hAnsi="Adobe 仿宋 Std R" w:eastAsia="Adobe 仿宋 Std R"/>
          <w:b/>
          <w:color w:val="auto"/>
          <w:sz w:val="20"/>
          <w:highlight w:val="none"/>
        </w:rPr>
      </w:pPr>
      <w:r>
        <w:rPr>
          <w:rFonts w:hint="eastAsia" w:ascii="Adobe 仿宋 Std R" w:hAnsi="Adobe 仿宋 Std R" w:eastAsia="Adobe 仿宋 Std R"/>
          <w:color w:val="auto"/>
          <w:sz w:val="32"/>
          <w:szCs w:val="32"/>
          <w:highlight w:val="none"/>
        </w:rPr>
        <w:t>截至</w:t>
      </w:r>
      <w:r>
        <w:rPr>
          <w:rFonts w:hint="eastAsia" w:ascii="Adobe 仿宋 Std R" w:hAnsi="Adobe 仿宋 Std R" w:eastAsia="Adobe 仿宋 Std R"/>
          <w:color w:val="auto"/>
          <w:sz w:val="32"/>
          <w:szCs w:val="32"/>
          <w:highlight w:val="none"/>
          <w:lang w:val="en-US" w:eastAsia="zh-CN"/>
        </w:rPr>
        <w:t>2024</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val="en-US" w:eastAsia="zh-CN"/>
        </w:rPr>
        <w:t>12</w:t>
      </w:r>
      <w:r>
        <w:rPr>
          <w:rFonts w:hint="eastAsia" w:ascii="Adobe 仿宋 Std R" w:hAnsi="Adobe 仿宋 Std R" w:eastAsia="Adobe 仿宋 Std R"/>
          <w:color w:val="auto"/>
          <w:sz w:val="32"/>
          <w:szCs w:val="32"/>
          <w:highlight w:val="none"/>
        </w:rPr>
        <w:t>月</w:t>
      </w:r>
      <w:r>
        <w:rPr>
          <w:rFonts w:hint="eastAsia" w:ascii="Adobe 仿宋 Std R" w:hAnsi="Adobe 仿宋 Std R" w:eastAsia="Adobe 仿宋 Std R"/>
          <w:color w:val="auto"/>
          <w:sz w:val="32"/>
          <w:szCs w:val="32"/>
          <w:highlight w:val="none"/>
          <w:lang w:val="en-US" w:eastAsia="zh-CN"/>
        </w:rPr>
        <w:t>31</w:t>
      </w:r>
      <w:r>
        <w:rPr>
          <w:rFonts w:hint="eastAsia" w:ascii="Adobe 仿宋 Std R" w:hAnsi="Adobe 仿宋 Std R" w:eastAsia="Adobe 仿宋 Std R"/>
          <w:color w:val="auto"/>
          <w:sz w:val="32"/>
          <w:szCs w:val="32"/>
          <w:highlight w:val="none"/>
        </w:rPr>
        <w:t>日,</w:t>
      </w:r>
      <w:r>
        <w:rPr>
          <w:rFonts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${page400644146.ds532982397_REP_JX_BAS_AGENCY_INFO_ZYFRS_S_CLSYS}</w:instrText>
      </w:r>
      <w:r>
        <w:rPr>
          <w:rFonts w:ascii="Adobe 仿宋 Std R" w:hAnsi="Adobe 仿宋 Std R" w:eastAsia="Adobe 仿宋 Std R"/>
          <w:color w:val="auto"/>
          <w:sz w:val="32"/>
          <w:szCs w:val="32"/>
          <w:highlight w:val="none"/>
        </w:rPr>
        <w:fldChar w:fldCharType="separate"/>
      </w:r>
      <w:r>
        <w:rPr>
          <w:rFonts w:hint="eastAsia" w:ascii="Adobe 仿宋 Std R" w:hAnsi="Adobe 仿宋 Std R" w:eastAsia="Adobe 仿宋 Std R"/>
          <w:color w:val="auto"/>
          <w:sz w:val="32"/>
          <w:szCs w:val="32"/>
          <w:highlight w:val="none"/>
          <w:lang w:val="en-US" w:eastAsia="zh-CN"/>
        </w:rPr>
        <w:t>单位</w:t>
      </w:r>
      <w:r>
        <w:rPr>
          <w:rFonts w:ascii="Adobe 仿宋 Std R" w:hAnsi="Adobe 仿宋 Std R" w:eastAsia="Adobe 仿宋 Std R"/>
          <w:color w:val="auto"/>
          <w:sz w:val="32"/>
          <w:szCs w:val="32"/>
          <w:highlight w:val="none"/>
        </w:rPr>
        <w:t>共有车辆</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辆,其中：一般公务用车实有数</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w:t>
      </w:r>
      <w:r>
        <w:rPr>
          <w:color w:val="auto"/>
          <w:highlight w:val="none"/>
        </w:rPr>
        <w:fldChar w:fldCharType="end"/>
      </w:r>
    </w:p>
    <w:p w14:paraId="5AD92AA2">
      <w:pPr>
        <w:ind w:firstLine="642"/>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val="en-US" w:eastAsia="zh-CN"/>
        </w:rPr>
        <w:t>单位</w:t>
      </w:r>
      <w:r>
        <w:rPr>
          <w:rFonts w:hint="eastAsia" w:ascii="Adobe 仿宋 Std R" w:hAnsi="Adobe 仿宋 Std R" w:eastAsia="Adobe 仿宋 Std R"/>
          <w:color w:val="auto"/>
          <w:sz w:val="32"/>
          <w:szCs w:val="32"/>
          <w:highlight w:val="none"/>
        </w:rPr>
        <w:t>预算安排购置车辆</w:t>
      </w:r>
      <w:r>
        <w:rPr>
          <w:rFonts w:hint="eastAsia" w:ascii="仿宋_GB2312" w:eastAsia="仿宋_GB2312"/>
          <w:color w:val="auto"/>
          <w:sz w:val="32"/>
          <w:szCs w:val="30"/>
          <w:highlight w:val="none"/>
          <w:u w:val="single"/>
          <w:lang w:val="en-US" w:eastAsia="zh-CN"/>
        </w:rPr>
        <w:t>0</w:t>
      </w:r>
      <w:r>
        <w:rPr>
          <w:rFonts w:hint="eastAsia" w:ascii="Adobe 仿宋 Std R" w:hAnsi="Adobe 仿宋 Std R" w:eastAsia="Adobe 仿宋 Std R"/>
          <w:color w:val="auto"/>
          <w:sz w:val="32"/>
          <w:szCs w:val="32"/>
          <w:highlight w:val="none"/>
        </w:rPr>
        <w:t>辆，安排购置单位价值200万元以上大型设备具体为：</w:t>
      </w:r>
      <w:r>
        <w:rPr>
          <w:rFonts w:hint="eastAsia" w:ascii="仿宋_GB2312" w:eastAsia="仿宋_GB2312"/>
          <w:color w:val="auto"/>
          <w:sz w:val="32"/>
          <w:szCs w:val="30"/>
          <w:highlight w:val="none"/>
          <w:u w:val="single"/>
          <w:lang w:eastAsia="zh-CN"/>
        </w:rPr>
        <w:t>无</w:t>
      </w:r>
      <w:r>
        <w:rPr>
          <w:rFonts w:hint="eastAsia" w:ascii="仿宋_GB2312" w:eastAsia="仿宋_GB2312"/>
          <w:color w:val="auto"/>
          <w:sz w:val="32"/>
          <w:szCs w:val="30"/>
          <w:highlight w:val="none"/>
        </w:rPr>
        <w:t>。</w:t>
      </w:r>
    </w:p>
    <w:p w14:paraId="1C970831">
      <w:pPr>
        <w:ind w:firstLine="321" w:firstLineChars="100"/>
        <w:rPr>
          <w:rStyle w:val="11"/>
          <w:rFonts w:hint="eastAsia"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（九）项目情况说明</w:t>
      </w:r>
    </w:p>
    <w:p w14:paraId="48F8554A">
      <w:pPr>
        <w:keepNext w:val="0"/>
        <w:keepLines w:val="0"/>
        <w:widowControl w:val="0"/>
        <w:suppressLineNumbers w:val="0"/>
        <w:spacing w:before="0" w:beforeAutospacing="0" w:after="0" w:afterAutospacing="0"/>
        <w:ind w:left="0" w:leftChars="0" w:right="0" w:firstLine="0" w:firstLineChars="0"/>
        <w:jc w:val="both"/>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default" w:ascii="Adobe 仿宋 Std R" w:hAnsi="Adobe 仿宋 Std R" w:eastAsia="Adobe 仿宋 Std R" w:cs="Adobe 仿宋 Std R"/>
          <w:kern w:val="2"/>
          <w:sz w:val="32"/>
          <w:szCs w:val="32"/>
          <w:lang w:val="en-US" w:eastAsia="zh-CN" w:bidi="ar"/>
        </w:rPr>
        <w:t>一、</w:t>
      </w: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庐山市</w:t>
      </w:r>
      <w:r>
        <w:rPr>
          <w:rFonts w:hint="eastAsia" w:ascii="Adobe 仿宋 Std R" w:hAnsi="Adobe 仿宋 Std R" w:eastAsia="Adobe 仿宋 Std R" w:cs="Adobe 仿宋 Std R"/>
          <w:kern w:val="2"/>
          <w:sz w:val="32"/>
          <w:szCs w:val="32"/>
          <w:lang w:val="en-US" w:eastAsia="zh-CN" w:bidi="ar"/>
        </w:rPr>
        <w:t>沙湖山九年制学校</w:t>
      </w:r>
      <w:r>
        <w:rPr>
          <w:rFonts w:hint="default" w:ascii="Adobe 仿宋 Std R" w:hAnsi="Adobe 仿宋 Std R" w:eastAsia="Adobe 仿宋 Std R" w:cs="Adobe 仿宋 Std R"/>
          <w:kern w:val="2"/>
          <w:sz w:val="32"/>
          <w:szCs w:val="32"/>
          <w:lang w:val="en-US" w:eastAsia="zh-CN" w:bidi="ar"/>
        </w:rPr>
        <w:t>非税收入支出</w:t>
      </w:r>
      <w:r>
        <w:rPr>
          <w:rFonts w:hint="eastAsia" w:ascii="Adobe 仿宋 Std R" w:hAnsi="Adobe 仿宋 Std R" w:eastAsia="Adobe 仿宋 Std R"/>
          <w:sz w:val="32"/>
          <w:szCs w:val="32"/>
        </w:rPr>
        <w:t xml:space="preserve"> </w:t>
      </w:r>
    </w:p>
    <w:p w14:paraId="21BB9CE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p>
    <w:p w14:paraId="2B61FA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507A3B5A">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CAAB96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《庐山市义务教育学校课后服务工作实施方案》（庐教体发〔2021〕92号）。</w:t>
      </w:r>
    </w:p>
    <w:p w14:paraId="287B9914">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4ED403D8">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实施主体为全体教职工。</w:t>
      </w:r>
    </w:p>
    <w:p w14:paraId="0C9CBE47">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CAF3F38">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1.管理岗课时费（90%部分）</w:t>
      </w:r>
    </w:p>
    <w:p w14:paraId="61ADFD18">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管理岗主要设：值日岗、班主任岗、后勤服务岗。</w:t>
      </w:r>
    </w:p>
    <w:p w14:paraId="3EA43311">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（1）值日岗。主要由各学校校级领导或中层干部担任，原则上</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个班（含</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个班）以内设置一个值日岗位，</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个班（含</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个班）以内设置二个值日岗位，</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个班（含</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个班）以内设置三个值日岗位，以此类推设置（不得超过</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人）。</w:t>
      </w:r>
    </w:p>
    <w:p w14:paraId="1043F25C">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A = 值日折合月课时数（22节）×40元标准课时费/节×值日岗人数×实际课后托管服务月数（各校值日岗课时标准费可根据学校教学岗课时费适时调整，上限为教学课时费的80%，最高标准为40元/节）。</w:t>
      </w:r>
    </w:p>
    <w:p w14:paraId="199B45E0">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（2）班主任岗。按每生每学期10元作为班主任课后托管服务工作补助。</w:t>
      </w:r>
    </w:p>
    <w:p w14:paraId="4BC9F034">
      <w:pPr>
        <w:numPr>
          <w:ilvl w:val="0"/>
          <w:numId w:val="0"/>
        </w:num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B =参与课后托管服务学生数×10元</w:t>
      </w:r>
    </w:p>
    <w:p w14:paraId="780A6C41">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后勤服务岗。由学校后勤人员（含保安）、中层干部或无课后托管服务课程的教师担任,职数由各学校根据需要自行设定。按每生每学期3元作为后勤服务人员课后托管服务工作补助，具体补助标准由学校根据后勤服务人员承担的工作实际确定，一般不超</w:t>
      </w:r>
      <w:r>
        <w:rPr>
          <w:rFonts w:hint="eastAsia" w:ascii="Adobe 仿宋 Std R" w:hAnsi="Adobe 仿宋 Std R" w:eastAsia="Adobe 仿宋 Std R"/>
          <w:sz w:val="32"/>
          <w:szCs w:val="32"/>
          <w:lang w:val="en-US" w:eastAsia="zh-CN"/>
        </w:rPr>
        <w:t>200</w:t>
      </w:r>
      <w:r>
        <w:rPr>
          <w:rFonts w:hint="eastAsia" w:ascii="Adobe 仿宋 Std R" w:hAnsi="Adobe 仿宋 Std R" w:eastAsia="Adobe 仿宋 Std R"/>
          <w:sz w:val="32"/>
          <w:szCs w:val="32"/>
        </w:rPr>
        <w:t>元/月/人。</w:t>
      </w:r>
    </w:p>
    <w:p w14:paraId="55945CB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p>
    <w:p w14:paraId="1505134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每次课后服务以一个学期为周期。</w:t>
      </w:r>
    </w:p>
    <w:p w14:paraId="786D67C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0D1FF598">
      <w:pPr>
        <w:ind w:firstLine="642"/>
        <w:rPr>
          <w:rFonts w:ascii="Adobe 仿宋 Std R" w:hAnsi="Adobe 仿宋 Std R" w:eastAsia="Adobe 仿宋 Std R"/>
          <w:color w:val="auto"/>
          <w:sz w:val="32"/>
          <w:szCs w:val="32"/>
        </w:rPr>
      </w:pPr>
      <w:r>
        <w:rPr>
          <w:rStyle w:val="11"/>
          <w:rFonts w:hint="eastAsia" w:ascii="仿宋" w:hAnsi="仿宋" w:eastAsia="仿宋"/>
          <w:sz w:val="32"/>
          <w:szCs w:val="32"/>
          <w:lang w:val="en-US" w:eastAsia="zh-CN"/>
        </w:rPr>
        <w:t>2024年课后服务总预算收入为1.65万元，其中其他商品与服务支出0.25万元，劳务费1.4万元。</w:t>
      </w:r>
    </w:p>
    <w:p w14:paraId="34FA9D6C">
      <w:pPr>
        <w:keepNext w:val="0"/>
        <w:keepLines w:val="0"/>
        <w:widowControl w:val="0"/>
        <w:suppressLineNumbers w:val="0"/>
        <w:spacing w:before="0" w:beforeAutospacing="0" w:after="0" w:afterAutospacing="0"/>
        <w:ind w:left="0" w:leftChars="0" w:right="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二、庐山市沙湖山九年制学校城乡义务教育生均公用经费（小学）_基本民生保障需求</w:t>
      </w:r>
    </w:p>
    <w:p w14:paraId="5BB598A1">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556CDC6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2）立项依据：庐财教指【2024】41号</w:t>
      </w:r>
    </w:p>
    <w:p w14:paraId="0B86130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w:t>
      </w:r>
      <w:r>
        <w:rPr>
          <w:rFonts w:hint="eastAsia" w:ascii="仿宋" w:hAnsi="仿宋" w:eastAsia="仿宋" w:cs="仿宋"/>
          <w:kern w:val="2"/>
          <w:sz w:val="32"/>
          <w:szCs w:val="32"/>
          <w:lang w:val="en-US" w:eastAsia="zh-CN" w:bidi="ar"/>
        </w:rPr>
        <w:t>庐山市沙湖山九年制学校</w:t>
      </w:r>
    </w:p>
    <w:p w14:paraId="64F73519">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4）实施方案：用于教学业务与管理、教师培训、文体活动、水电、维修、办公设备购置等等。</w:t>
      </w:r>
    </w:p>
    <w:p w14:paraId="027F0D14">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6A9756D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1.65</w:t>
      </w:r>
      <w:r>
        <w:rPr>
          <w:rFonts w:hint="default" w:ascii="Adobe 仿宋 Std R" w:hAnsi="Adobe 仿宋 Std R" w:eastAsia="Adobe 仿宋 Std R" w:cs="Adobe 仿宋 Std R"/>
          <w:kern w:val="2"/>
          <w:sz w:val="32"/>
          <w:szCs w:val="32"/>
          <w:lang w:val="en-US" w:eastAsia="zh-CN" w:bidi="ar"/>
        </w:rPr>
        <w:t>万元</w:t>
      </w:r>
    </w:p>
    <w:p w14:paraId="5C2781DE">
      <w:pPr>
        <w:ind w:firstLine="321" w:firstLineChars="100"/>
        <w:rPr>
          <w:rStyle w:val="11"/>
          <w:rFonts w:hint="eastAsia" w:ascii="Adobe 仿宋 Std R" w:hAnsi="Adobe 仿宋 Std R" w:eastAsia="Adobe 仿宋 Std R"/>
          <w:b/>
          <w:color w:val="auto"/>
          <w:sz w:val="32"/>
          <w:szCs w:val="32"/>
          <w:highlight w:val="none"/>
        </w:rPr>
      </w:pPr>
    </w:p>
    <w:p w14:paraId="21465451">
      <w:pPr>
        <w:widowControl/>
        <w:spacing w:line="580" w:lineRule="exact"/>
        <w:jc w:val="left"/>
        <w:rPr>
          <w:rFonts w:ascii="楷体_GB2312" w:eastAsia="楷体_GB2312"/>
          <w:b/>
          <w:color w:val="auto"/>
          <w:sz w:val="32"/>
          <w:szCs w:val="30"/>
          <w:highlight w:val="none"/>
        </w:rPr>
      </w:pPr>
      <w:r>
        <w:rPr>
          <w:rFonts w:hint="eastAsia" w:ascii="楷体_GB2312" w:hAnsi="Calibri" w:eastAsia="楷体_GB2312" w:cs="宋体"/>
          <w:b/>
          <w:color w:val="auto"/>
          <w:kern w:val="0"/>
          <w:sz w:val="32"/>
          <w:szCs w:val="32"/>
          <w:highlight w:val="none"/>
        </w:rPr>
        <w:t>二、</w:t>
      </w:r>
      <w:r>
        <w:rPr>
          <w:rFonts w:hint="eastAsia" w:ascii="楷体_GB2312" w:eastAsia="楷体_GB2312"/>
          <w:b/>
          <w:color w:val="auto"/>
          <w:sz w:val="32"/>
          <w:szCs w:val="30"/>
          <w:highlight w:val="none"/>
        </w:rPr>
        <w:t>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年“三公</w:t>
      </w:r>
      <w:r>
        <w:rPr>
          <w:rFonts w:ascii="楷体_GB2312" w:eastAsia="楷体_GB2312"/>
          <w:b/>
          <w:color w:val="auto"/>
          <w:sz w:val="32"/>
          <w:szCs w:val="30"/>
          <w:highlight w:val="none"/>
        </w:rPr>
        <w:t>”</w:t>
      </w:r>
      <w:r>
        <w:rPr>
          <w:rFonts w:hint="eastAsia" w:ascii="楷体_GB2312" w:eastAsia="楷体_GB2312"/>
          <w:b/>
          <w:color w:val="auto"/>
          <w:sz w:val="32"/>
          <w:szCs w:val="30"/>
          <w:highlight w:val="none"/>
        </w:rPr>
        <w:t>经费预算情况说明</w:t>
      </w:r>
    </w:p>
    <w:p w14:paraId="7FFE9DFE">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2</w:t>
      </w:r>
      <w:r>
        <w:rPr>
          <w:rFonts w:ascii="仿宋" w:hAnsi="仿宋" w:eastAsia="仿宋"/>
          <w:bCs/>
          <w:color w:val="auto"/>
          <w:sz w:val="32"/>
          <w:szCs w:val="32"/>
          <w:highlight w:val="none"/>
        </w:rPr>
        <w:t>02</w:t>
      </w:r>
      <w:r>
        <w:rPr>
          <w:rFonts w:hint="eastAsia" w:ascii="仿宋" w:hAnsi="仿宋" w:eastAsia="仿宋"/>
          <w:bCs/>
          <w:color w:val="auto"/>
          <w:sz w:val="32"/>
          <w:szCs w:val="32"/>
          <w:highlight w:val="none"/>
          <w:lang w:val="en-US" w:eastAsia="zh-CN"/>
        </w:rPr>
        <w:t>5</w:t>
      </w:r>
      <w:r>
        <w:rPr>
          <w:rFonts w:hint="eastAsia" w:ascii="仿宋" w:hAnsi="仿宋" w:eastAsia="仿宋"/>
          <w:bCs/>
          <w:color w:val="auto"/>
          <w:sz w:val="32"/>
          <w:szCs w:val="32"/>
          <w:highlight w:val="none"/>
        </w:rPr>
        <w:t>年</w:t>
      </w:r>
      <w:r>
        <w:rPr>
          <w:rFonts w:hint="eastAsia" w:ascii="仿宋" w:hAnsi="仿宋" w:eastAsia="仿宋"/>
          <w:bCs/>
          <w:color w:val="auto"/>
          <w:sz w:val="32"/>
          <w:szCs w:val="32"/>
          <w:highlight w:val="none"/>
          <w:lang w:eastAsia="zh-CN"/>
        </w:rPr>
        <w:t>庐山市沙湖山九年制学校</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三公</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经费财政拨款安排</w:t>
      </w:r>
      <w:r>
        <w:rPr>
          <w:rFonts w:hint="eastAsia" w:ascii="仿宋" w:hAnsi="仿宋" w:eastAsia="仿宋"/>
          <w:bCs/>
          <w:color w:val="auto"/>
          <w:sz w:val="32"/>
          <w:szCs w:val="32"/>
          <w:highlight w:val="none"/>
          <w:lang w:val="en-US" w:eastAsia="zh-CN"/>
        </w:rPr>
        <w:t>0</w:t>
      </w:r>
      <w:r>
        <w:rPr>
          <w:rFonts w:hint="eastAsia" w:ascii="仿宋" w:hAnsi="仿宋" w:eastAsia="仿宋"/>
          <w:bCs/>
          <w:color w:val="auto"/>
          <w:sz w:val="32"/>
          <w:szCs w:val="32"/>
          <w:highlight w:val="none"/>
        </w:rPr>
        <w:t>万元，其中：</w:t>
      </w:r>
    </w:p>
    <w:p w14:paraId="012FE7CB">
      <w:pPr>
        <w:ind w:firstLine="640" w:firstLineChars="200"/>
        <w:jc w:val="left"/>
        <w:rPr>
          <w:rFonts w:ascii="仿宋" w:hAnsi="仿宋" w:eastAsia="仿宋"/>
          <w:bCs/>
          <w:sz w:val="32"/>
          <w:szCs w:val="32"/>
        </w:rPr>
      </w:pPr>
      <w:r>
        <w:rPr>
          <w:rFonts w:ascii="仿宋" w:hAnsi="仿宋" w:eastAsia="仿宋"/>
          <w:bCs/>
          <w:color w:val="auto"/>
          <w:sz w:val="32"/>
          <w:szCs w:val="32"/>
          <w:highlight w:val="none"/>
        </w:rPr>
        <w:t>因公出国</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25A372D5">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公务接待</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14FA9954">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公务用车运行</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3A2BF8E5">
      <w:pPr>
        <w:ind w:firstLine="640" w:firstLineChars="200"/>
        <w:jc w:val="left"/>
        <w:rPr>
          <w:rFonts w:hint="eastAsia" w:ascii="仿宋_GB2312" w:eastAsia="仿宋_GB2312"/>
          <w:b/>
          <w:color w:val="auto"/>
          <w:sz w:val="32"/>
          <w:szCs w:val="30"/>
          <w:highlight w:val="none"/>
        </w:rPr>
      </w:pPr>
      <w:r>
        <w:rPr>
          <w:rFonts w:ascii="仿宋" w:hAnsi="仿宋" w:eastAsia="仿宋"/>
          <w:bCs/>
          <w:color w:val="auto"/>
          <w:sz w:val="32"/>
          <w:szCs w:val="32"/>
          <w:highlight w:val="none"/>
        </w:rPr>
        <w:t>公务用车购置</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135C58DC">
      <w:pPr>
        <w:widowControl/>
        <w:shd w:val="clear" w:color="auto" w:fill="FFFFFF"/>
        <w:spacing w:line="640" w:lineRule="atLeast"/>
        <w:ind w:firstLine="640"/>
        <w:jc w:val="center"/>
        <w:rPr>
          <w:rFonts w:ascii="Arial" w:hAnsi="Arial" w:cs="Arial"/>
          <w:color w:val="auto"/>
          <w:sz w:val="14"/>
          <w:szCs w:val="14"/>
          <w:highlight w:val="none"/>
        </w:rPr>
      </w:pPr>
      <w:r>
        <w:rPr>
          <w:rFonts w:hint="eastAsia" w:ascii="仿宋_GB2312" w:eastAsia="仿宋_GB2312"/>
          <w:b/>
          <w:color w:val="auto"/>
          <w:sz w:val="32"/>
          <w:szCs w:val="30"/>
          <w:highlight w:val="none"/>
        </w:rPr>
        <w:t>第四部分   名词解释</w:t>
      </w:r>
    </w:p>
    <w:p w14:paraId="03C03810">
      <w:pPr>
        <w:widowControl/>
        <w:shd w:val="clear" w:color="auto" w:fill="FFFFFF"/>
        <w:spacing w:line="640" w:lineRule="atLeast"/>
        <w:ind w:firstLine="800" w:firstLineChars="250"/>
        <w:jc w:val="left"/>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一、收入科目</w:t>
      </w:r>
    </w:p>
    <w:p w14:paraId="7E0817C9">
      <w:pPr>
        <w:widowControl/>
        <w:numPr>
          <w:ilvl w:val="0"/>
          <w:numId w:val="4"/>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财政拨款：指</w:t>
      </w:r>
      <w:r>
        <w:rPr>
          <w:rFonts w:hint="eastAsia" w:ascii="仿宋_GB2312" w:hAnsi="Times New Roman" w:eastAsia="仿宋_GB2312" w:cs="Times New Roman"/>
          <w:color w:val="auto"/>
          <w:sz w:val="32"/>
          <w:szCs w:val="30"/>
          <w:highlight w:val="none"/>
          <w:lang w:val="en-US" w:eastAsia="zh-CN"/>
        </w:rPr>
        <w:t>市级</w:t>
      </w:r>
      <w:r>
        <w:rPr>
          <w:rFonts w:hint="eastAsia" w:ascii="仿宋_GB2312" w:hAnsi="Times New Roman" w:eastAsia="仿宋_GB2312" w:cs="Times New Roman"/>
          <w:color w:val="auto"/>
          <w:sz w:val="32"/>
          <w:szCs w:val="30"/>
          <w:highlight w:val="none"/>
        </w:rPr>
        <w:t>财政当年拨付的资金。</w:t>
      </w:r>
    </w:p>
    <w:p w14:paraId="6698B372">
      <w:pPr>
        <w:widowControl/>
        <w:numPr>
          <w:ilvl w:val="0"/>
          <w:numId w:val="4"/>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教育收费资金收入：反映实行专项管理的高中以上学费、住宿费，高校委托培养费，函大、电大、夜大及短训班培训费等教育收费取得的收入。</w:t>
      </w:r>
    </w:p>
    <w:p w14:paraId="34C5ED89">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（三）</w:t>
      </w:r>
      <w:r>
        <w:rPr>
          <w:rFonts w:hint="eastAsia" w:ascii="仿宋_GB2312" w:eastAsia="仿宋_GB2312"/>
          <w:color w:val="auto"/>
          <w:sz w:val="32"/>
          <w:szCs w:val="30"/>
          <w:highlight w:val="none"/>
        </w:rPr>
        <w:t>事业收入：指事业单位开展专业业务活动及辅助活动取得的收入。</w:t>
      </w:r>
    </w:p>
    <w:p w14:paraId="679FF32A">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（四）</w:t>
      </w:r>
      <w:r>
        <w:rPr>
          <w:rFonts w:hint="eastAsia" w:ascii="仿宋_GB2312" w:eastAsia="仿宋_GB2312"/>
          <w:color w:val="auto"/>
          <w:sz w:val="32"/>
          <w:szCs w:val="30"/>
          <w:highlight w:val="none"/>
        </w:rPr>
        <w:t>事业单位经营收入：指事业单位在专业业务活动及辅助活动之外开展非独立核算经营活动取得的收入。</w:t>
      </w:r>
    </w:p>
    <w:p w14:paraId="5E2B867D">
      <w:pPr>
        <w:widowControl/>
        <w:spacing w:line="580" w:lineRule="exact"/>
        <w:ind w:firstLine="636"/>
        <w:jc w:val="left"/>
        <w:rPr>
          <w:rFonts w:ascii="Adobe 仿宋 Std R" w:hAnsi="Adobe 仿宋 Std R" w:eastAsia="Adobe 仿宋 Std R"/>
          <w:color w:val="auto"/>
          <w:sz w:val="32"/>
          <w:szCs w:val="32"/>
          <w:highlight w:val="none"/>
        </w:rPr>
      </w:pPr>
      <w:r>
        <w:rPr>
          <w:rFonts w:hint="eastAsia" w:ascii="仿宋_GB2312" w:eastAsia="仿宋_GB2312"/>
          <w:color w:val="auto"/>
          <w:sz w:val="32"/>
          <w:szCs w:val="30"/>
          <w:highlight w:val="none"/>
        </w:rPr>
        <w:t>（</w:t>
      </w:r>
      <w:r>
        <w:rPr>
          <w:rFonts w:hint="eastAsia" w:ascii="Adobe 仿宋 Std R" w:hAnsi="Adobe 仿宋 Std R" w:eastAsia="Adobe 仿宋 Std R"/>
          <w:color w:val="auto"/>
          <w:sz w:val="32"/>
          <w:szCs w:val="32"/>
          <w:highlight w:val="none"/>
        </w:rPr>
        <w:t>五）</w:t>
      </w:r>
      <w:r>
        <w:rPr>
          <w:rFonts w:hint="eastAsia" w:ascii="仿宋_GB2312" w:eastAsia="仿宋_GB2312"/>
          <w:color w:val="auto"/>
          <w:sz w:val="32"/>
          <w:szCs w:val="30"/>
          <w:highlight w:val="none"/>
        </w:rPr>
        <w:t>附属单位上缴收入：反映事业单位附属的独立核算单位按规定标准或比例缴纳的各项收入。包括附属的事业单位上缴的收入和附属的企业上缴的利润等。</w:t>
      </w:r>
    </w:p>
    <w:p w14:paraId="0F61C283">
      <w:pPr>
        <w:spacing w:line="600" w:lineRule="exact"/>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（六）</w:t>
      </w:r>
      <w:r>
        <w:rPr>
          <w:rFonts w:hint="eastAsia" w:ascii="仿宋_GB2312" w:eastAsia="仿宋_GB2312"/>
          <w:color w:val="auto"/>
          <w:sz w:val="32"/>
          <w:szCs w:val="30"/>
          <w:highlight w:val="none"/>
        </w:rPr>
        <w:t>上级补助收入：反映事业单位从主管</w:t>
      </w:r>
      <w:r>
        <w:rPr>
          <w:rFonts w:hint="eastAsia" w:ascii="仿宋_GB2312" w:eastAsia="仿宋_GB2312"/>
          <w:color w:val="auto"/>
          <w:sz w:val="32"/>
          <w:szCs w:val="30"/>
          <w:highlight w:val="none"/>
          <w:lang w:val="en-US" w:eastAsia="zh-CN"/>
        </w:rPr>
        <w:t>单位</w:t>
      </w:r>
      <w:r>
        <w:rPr>
          <w:rFonts w:hint="eastAsia" w:ascii="仿宋_GB2312" w:eastAsia="仿宋_GB2312"/>
          <w:color w:val="auto"/>
          <w:sz w:val="32"/>
          <w:szCs w:val="30"/>
          <w:highlight w:val="none"/>
        </w:rPr>
        <w:t>和上级单位取得的非财政补助收入。</w:t>
      </w:r>
    </w:p>
    <w:p w14:paraId="2E89990E">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（七）</w:t>
      </w:r>
      <w:r>
        <w:rPr>
          <w:rFonts w:hint="eastAsia" w:ascii="仿宋_GB2312" w:eastAsia="仿宋_GB2312"/>
          <w:color w:val="auto"/>
          <w:sz w:val="32"/>
          <w:szCs w:val="30"/>
          <w:highlight w:val="none"/>
        </w:rPr>
        <w:t>其他收入：指除财政拨款、事业收入、事业单位经营收入等以外的各项收入。</w:t>
      </w:r>
    </w:p>
    <w:p w14:paraId="3A6B37FD">
      <w:pPr>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（八）</w:t>
      </w:r>
      <w:r>
        <w:rPr>
          <w:rFonts w:hint="eastAsia" w:ascii="仿宋_GB2312" w:eastAsia="仿宋_GB2312"/>
          <w:color w:val="auto"/>
          <w:sz w:val="32"/>
          <w:szCs w:val="30"/>
          <w:highlight w:val="none"/>
        </w:rPr>
        <w:t>使用非财政拨款结余：填列历年滚存的非限定用途的非统计财政拨款结余弥补202</w:t>
      </w:r>
      <w:r>
        <w:rPr>
          <w:rFonts w:hint="eastAsia" w:ascii="仿宋_GB2312" w:eastAsia="仿宋_GB2312"/>
          <w:color w:val="auto"/>
          <w:sz w:val="32"/>
          <w:szCs w:val="30"/>
          <w:highlight w:val="none"/>
          <w:lang w:val="en-US" w:eastAsia="zh-CN"/>
        </w:rPr>
        <w:t>5</w:t>
      </w:r>
      <w:r>
        <w:rPr>
          <w:rFonts w:hint="eastAsia" w:ascii="仿宋_GB2312" w:eastAsia="仿宋_GB2312"/>
          <w:color w:val="auto"/>
          <w:sz w:val="32"/>
          <w:szCs w:val="30"/>
          <w:highlight w:val="none"/>
        </w:rPr>
        <w:t>年收支差额的数额。</w:t>
      </w:r>
    </w:p>
    <w:p w14:paraId="032BD6AB">
      <w:pPr>
        <w:spacing w:line="600" w:lineRule="exact"/>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（九）</w:t>
      </w:r>
      <w:r>
        <w:rPr>
          <w:rFonts w:hint="eastAsia" w:ascii="仿宋_GB2312" w:eastAsia="仿宋_GB2312"/>
          <w:color w:val="auto"/>
          <w:sz w:val="32"/>
          <w:szCs w:val="30"/>
          <w:highlight w:val="none"/>
        </w:rPr>
        <w:t>上年结转和结余：填列202</w:t>
      </w:r>
      <w:r>
        <w:rPr>
          <w:rFonts w:hint="eastAsia" w:ascii="仿宋_GB2312" w:eastAsia="仿宋_GB2312"/>
          <w:color w:val="auto"/>
          <w:sz w:val="32"/>
          <w:szCs w:val="30"/>
          <w:highlight w:val="none"/>
          <w:lang w:val="en-US" w:eastAsia="zh-CN"/>
        </w:rPr>
        <w:t>4</w:t>
      </w:r>
      <w:r>
        <w:rPr>
          <w:rFonts w:hint="eastAsia" w:ascii="仿宋_GB2312" w:eastAsia="仿宋_GB2312"/>
          <w:color w:val="auto"/>
          <w:sz w:val="32"/>
          <w:szCs w:val="30"/>
          <w:highlight w:val="none"/>
        </w:rPr>
        <w:t>年全部结转和结余的资金数，包括当年结转结余资金和历年滚存结转结余资金。</w:t>
      </w:r>
    </w:p>
    <w:p w14:paraId="31BC0FCD">
      <w:pPr>
        <w:ind w:firstLine="640" w:firstLineChars="200"/>
        <w:rPr>
          <w:rFonts w:ascii="Adobe 仿宋 Std R" w:hAnsi="Adobe 仿宋 Std R" w:eastAsia="Adobe 仿宋 Std R"/>
          <w:color w:val="auto"/>
          <w:sz w:val="32"/>
          <w:szCs w:val="32"/>
          <w:highlight w:val="none"/>
        </w:rPr>
      </w:pPr>
    </w:p>
    <w:p w14:paraId="0B14C07D">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二、支出科目</w:t>
      </w:r>
    </w:p>
    <w:p w14:paraId="4877DB0C">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69D0AB74">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项目支出：指在基本支出之外为完成特定行政任务和事业发展目标所发生的支出。</w:t>
      </w:r>
    </w:p>
    <w:p w14:paraId="3ACB81A4">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经营支出：指事业单位在专业业务活动及其辅助活动之外开展非独立核算经营活动发生的支出。</w:t>
      </w:r>
    </w:p>
    <w:p w14:paraId="07369478">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）工资福利支出（支出经济分类科目类级）：反映单位开支的在职职工和编制外长期聘用人员的各类劳动报酬，以及为上述人员缴纳的各项社会保险费等。</w:t>
      </w:r>
    </w:p>
    <w:p w14:paraId="720F21AC">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）商品和服务支出（支出经济分类科目类级）：反映单位购买商品和服务的支出（不包括用于购置固定资产的支出、战略性和应急储备支出）。</w:t>
      </w:r>
    </w:p>
    <w:p w14:paraId="3A8F220D">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）对个人和家庭的补助（支出经济分类科目类级）：反映用于对个人和家庭的补助支出。</w:t>
      </w:r>
    </w:p>
    <w:p w14:paraId="51114A4F">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）其他资本性支出（支出经济分类科目类级）：反映非各级发展与改革</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集中安排的用于购置固定资产、战略性和应急性储备、土地和无形资产，以及构建基础设施、大型修缮和财政支持企业更新改造所发生的支出。</w:t>
      </w:r>
    </w:p>
    <w:p w14:paraId="0DD6E919">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三、相关专业名词</w:t>
      </w:r>
    </w:p>
    <w:p w14:paraId="356BB3FE">
      <w:pPr>
        <w:widowControl/>
        <w:spacing w:line="600" w:lineRule="exact"/>
        <w:ind w:firstLine="640" w:firstLineChars="200"/>
        <w:jc w:val="left"/>
        <w:rPr>
          <w:rFonts w:ascii="仿宋_GB2312" w:eastAsia="仿宋_GB2312"/>
          <w:color w:val="auto"/>
          <w:sz w:val="32"/>
          <w:szCs w:val="30"/>
          <w:highlight w:val="none"/>
        </w:rPr>
      </w:pPr>
      <w:r>
        <w:rPr>
          <w:rFonts w:hint="eastAsia" w:ascii="仿宋_GB2312" w:eastAsia="仿宋_GB2312"/>
          <w:color w:val="auto"/>
          <w:sz w:val="32"/>
          <w:szCs w:val="30"/>
          <w:highlight w:val="none"/>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59E6D1C">
      <w:pPr>
        <w:widowControl/>
        <w:spacing w:line="600" w:lineRule="exact"/>
        <w:ind w:firstLine="640" w:firstLineChars="200"/>
        <w:jc w:val="left"/>
        <w:rPr>
          <w:rFonts w:hint="eastAsia" w:ascii="仿宋_GB2312" w:eastAsia="仿宋_GB2312"/>
          <w:color w:val="auto"/>
          <w:sz w:val="32"/>
          <w:szCs w:val="30"/>
          <w:highlight w:val="none"/>
        </w:rPr>
      </w:pPr>
      <w:r>
        <w:rPr>
          <w:rFonts w:hint="eastAsia" w:ascii="仿宋_GB2312" w:eastAsia="仿宋_GB2312"/>
          <w:color w:val="auto"/>
          <w:sz w:val="32"/>
          <w:szCs w:val="30"/>
          <w:highlight w:val="none"/>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689BF5F">
      <w:pPr>
        <w:widowControl/>
        <w:spacing w:line="600" w:lineRule="exact"/>
        <w:ind w:firstLine="640" w:firstLineChars="200"/>
        <w:jc w:val="left"/>
        <w:rPr>
          <w:rFonts w:hint="default" w:ascii="仿宋_GB2312" w:eastAsia="仿宋_GB2312"/>
          <w:color w:val="auto"/>
          <w:sz w:val="32"/>
          <w:szCs w:val="30"/>
          <w:highlight w:val="none"/>
          <w:lang w:val="en-US" w:eastAsia="zh-CN"/>
        </w:rPr>
      </w:pPr>
    </w:p>
    <w:p w14:paraId="78B40074">
      <w:pPr>
        <w:widowControl/>
        <w:spacing w:line="600" w:lineRule="exact"/>
        <w:ind w:firstLine="640" w:firstLineChars="200"/>
        <w:jc w:val="left"/>
        <w:rPr>
          <w:rFonts w:ascii="仿宋_GB2312" w:eastAsia="仿宋_GB2312"/>
          <w:color w:val="auto"/>
          <w:sz w:val="32"/>
          <w:szCs w:val="30"/>
          <w:highlight w:val="none"/>
        </w:rPr>
      </w:pPr>
    </w:p>
    <w:p w14:paraId="7483D08A">
      <w:pPr>
        <w:ind w:firstLine="640" w:firstLineChars="200"/>
        <w:rPr>
          <w:rFonts w:ascii="仿宋" w:hAnsi="仿宋" w:eastAsia="仿宋"/>
          <w:color w:val="auto"/>
          <w:sz w:val="32"/>
          <w:szCs w:val="32"/>
          <w:highlight w:val="none"/>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E0D52">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59279"/>
    <w:multiLevelType w:val="singleLevel"/>
    <w:tmpl w:val="DC059279"/>
    <w:lvl w:ilvl="0" w:tentative="0">
      <w:start w:val="2"/>
      <w:numFmt w:val="chineseCounting"/>
      <w:suff w:val="nothing"/>
      <w:lvlText w:val="%1、"/>
      <w:lvlJc w:val="left"/>
      <w:rPr>
        <w:rFonts w:hint="eastAsia"/>
      </w:rPr>
    </w:lvl>
  </w:abstractNum>
  <w:abstractNum w:abstractNumId="1">
    <w:nsid w:val="E99C9E02"/>
    <w:multiLevelType w:val="singleLevel"/>
    <w:tmpl w:val="E99C9E02"/>
    <w:lvl w:ilvl="0" w:tentative="0">
      <w:start w:val="1"/>
      <w:numFmt w:val="chineseCounting"/>
      <w:suff w:val="nothing"/>
      <w:lvlText w:val="（%1）"/>
      <w:lvlJc w:val="left"/>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abstractNum w:abstractNumId="3">
    <w:nsid w:val="597AA4A3"/>
    <w:multiLevelType w:val="singleLevel"/>
    <w:tmpl w:val="597AA4A3"/>
    <w:lvl w:ilvl="0" w:tentative="0">
      <w:start w:val="2"/>
      <w:numFmt w:val="decimal"/>
      <w:suff w:val="nothing"/>
      <w:lvlText w:val="%1）"/>
      <w:lvlJc w:val="left"/>
      <w:pPr>
        <w:ind w:left="1122" w:leftChars="0" w:firstLine="0" w:firstLineChars="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MDExYTgwZjBhNTAxODVkNmEyZDgzMzY1Mzc5ZWI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83274"/>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491132A"/>
    <w:rsid w:val="05FB6724"/>
    <w:rsid w:val="067A6028"/>
    <w:rsid w:val="071F356B"/>
    <w:rsid w:val="07E36295"/>
    <w:rsid w:val="08F33D56"/>
    <w:rsid w:val="0AF53DB5"/>
    <w:rsid w:val="0B6674C5"/>
    <w:rsid w:val="0BA51180"/>
    <w:rsid w:val="0C97247A"/>
    <w:rsid w:val="0DB3098E"/>
    <w:rsid w:val="0DDA3777"/>
    <w:rsid w:val="103F71DC"/>
    <w:rsid w:val="107C0AD5"/>
    <w:rsid w:val="15827B15"/>
    <w:rsid w:val="1CB11B06"/>
    <w:rsid w:val="1CFC660D"/>
    <w:rsid w:val="1D7B4387"/>
    <w:rsid w:val="206D0602"/>
    <w:rsid w:val="212C5238"/>
    <w:rsid w:val="22430342"/>
    <w:rsid w:val="25B931E9"/>
    <w:rsid w:val="25E633A5"/>
    <w:rsid w:val="26CD7828"/>
    <w:rsid w:val="273577A7"/>
    <w:rsid w:val="2828673B"/>
    <w:rsid w:val="2C57797E"/>
    <w:rsid w:val="304378CE"/>
    <w:rsid w:val="31F14A27"/>
    <w:rsid w:val="32213853"/>
    <w:rsid w:val="32DC1A1B"/>
    <w:rsid w:val="3328400E"/>
    <w:rsid w:val="350C5540"/>
    <w:rsid w:val="36031C0A"/>
    <w:rsid w:val="38A65C8C"/>
    <w:rsid w:val="39BC2974"/>
    <w:rsid w:val="3A841EE9"/>
    <w:rsid w:val="3A9F1A72"/>
    <w:rsid w:val="3B7D1841"/>
    <w:rsid w:val="3D2909BB"/>
    <w:rsid w:val="3DF13D37"/>
    <w:rsid w:val="3F383632"/>
    <w:rsid w:val="4052753A"/>
    <w:rsid w:val="44F8082F"/>
    <w:rsid w:val="48A83B8E"/>
    <w:rsid w:val="48E47353"/>
    <w:rsid w:val="49834CB2"/>
    <w:rsid w:val="4C014465"/>
    <w:rsid w:val="502E68D6"/>
    <w:rsid w:val="51501AF7"/>
    <w:rsid w:val="53242C13"/>
    <w:rsid w:val="53516268"/>
    <w:rsid w:val="53876B42"/>
    <w:rsid w:val="568C584D"/>
    <w:rsid w:val="56C47F55"/>
    <w:rsid w:val="61110434"/>
    <w:rsid w:val="61E0552E"/>
    <w:rsid w:val="62D6302D"/>
    <w:rsid w:val="630C136F"/>
    <w:rsid w:val="63306EE5"/>
    <w:rsid w:val="633916A0"/>
    <w:rsid w:val="63E33020"/>
    <w:rsid w:val="63FB29F9"/>
    <w:rsid w:val="6464197D"/>
    <w:rsid w:val="64EB571C"/>
    <w:rsid w:val="655247B8"/>
    <w:rsid w:val="656A2922"/>
    <w:rsid w:val="65810156"/>
    <w:rsid w:val="674A6B9B"/>
    <w:rsid w:val="696E56F5"/>
    <w:rsid w:val="6BE248E5"/>
    <w:rsid w:val="6EDB6140"/>
    <w:rsid w:val="6F59718C"/>
    <w:rsid w:val="6FC0720B"/>
    <w:rsid w:val="71383D25"/>
    <w:rsid w:val="71996B2B"/>
    <w:rsid w:val="73A85115"/>
    <w:rsid w:val="75846316"/>
    <w:rsid w:val="76832606"/>
    <w:rsid w:val="795E480A"/>
    <w:rsid w:val="7A0400BD"/>
    <w:rsid w:val="7A0B332F"/>
    <w:rsid w:val="7B017FBA"/>
    <w:rsid w:val="7C4D0079"/>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4846</Words>
  <Characters>5135</Characters>
  <Lines>51</Lines>
  <Paragraphs>14</Paragraphs>
  <TotalTime>1</TotalTime>
  <ScaleCrop>false</ScaleCrop>
  <LinksUpToDate>false</LinksUpToDate>
  <CharactersWithSpaces>5188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2025-01-09T03:33:46Z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49F9F0AA51344799AB87D11297BAFF47_13</vt:lpwstr>
  </property>
  <property fmtid="{D5CDD505-2E9C-101B-9397-08002B2CF9AE}" pid="4" name="KSOTemplateDocerSaveRecord">
    <vt:lpwstr>eyJoZGlkIjoiNTJhMjZlY2EwNjQ2Y2E3OTM2MmVmODk3M2NmMjdjNmEiLCJ1c2VySWQiOiI3MDUzMjUwNzQifQ==</vt:lpwstr>
  </property>
</Properties>
</file>