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庐山市第一小学</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14:paraId="498C7EDA">
      <w:pPr>
        <w:pStyle w:val="12"/>
        <w:spacing w:line="600" w:lineRule="atLeast"/>
        <w:jc w:val="center"/>
        <w:rPr>
          <w:rFonts w:ascii="黑体" w:hAnsi="黑体" w:eastAsia="黑体"/>
          <w:color w:val="auto"/>
          <w:sz w:val="32"/>
          <w:szCs w:val="32"/>
        </w:rPr>
      </w:pPr>
    </w:p>
    <w:p w14:paraId="69E2A7D1">
      <w:pPr>
        <w:pStyle w:val="12"/>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0B296CE0">
      <w:pPr>
        <w:pStyle w:val="12"/>
        <w:rPr>
          <w:rFonts w:ascii="宋体" w:hAnsi="宋体"/>
          <w:color w:val="auto"/>
        </w:rPr>
      </w:pPr>
    </w:p>
    <w:p w14:paraId="76C06260">
      <w:pPr>
        <w:pStyle w:val="12"/>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庐山市第一小学</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1781340C">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5F8403A">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庐山市第一小学</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年单位预算表</w:t>
      </w:r>
    </w:p>
    <w:p w14:paraId="738F6C4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6518D6B3">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庐山市第一小学</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508696F3">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43A519E3">
      <w:pPr>
        <w:widowControl/>
        <w:spacing w:line="580" w:lineRule="exact"/>
        <w:jc w:val="center"/>
        <w:rPr>
          <w:rFonts w:ascii="仿宋_GB2312" w:eastAsia="仿宋_GB2312"/>
          <w:b/>
          <w:color w:val="auto"/>
          <w:sz w:val="32"/>
          <w:szCs w:val="30"/>
        </w:rPr>
      </w:pPr>
    </w:p>
    <w:p w14:paraId="4FDF4162">
      <w:pPr>
        <w:widowControl/>
        <w:spacing w:line="580" w:lineRule="exact"/>
        <w:jc w:val="center"/>
        <w:rPr>
          <w:rFonts w:ascii="仿宋_GB2312" w:eastAsia="仿宋_GB2312"/>
          <w:b/>
          <w:color w:val="auto"/>
          <w:sz w:val="32"/>
          <w:szCs w:val="30"/>
        </w:rPr>
      </w:pPr>
    </w:p>
    <w:p w14:paraId="46D4EB4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庐山市第一小学</w:t>
      </w:r>
      <w:r>
        <w:rPr>
          <w:color w:val="auto"/>
        </w:rPr>
        <w:fldChar w:fldCharType="end"/>
      </w:r>
      <w:r>
        <w:rPr>
          <w:rFonts w:hint="eastAsia" w:ascii="仿宋_GB2312" w:eastAsia="仿宋_GB2312"/>
          <w:b/>
          <w:color w:val="auto"/>
          <w:sz w:val="32"/>
          <w:szCs w:val="30"/>
        </w:rPr>
        <w:t>概况</w:t>
      </w:r>
    </w:p>
    <w:p w14:paraId="15A22ED2">
      <w:pPr>
        <w:widowControl/>
        <w:spacing w:line="580" w:lineRule="exact"/>
        <w:jc w:val="left"/>
        <w:rPr>
          <w:rFonts w:asciiTheme="minorEastAsia" w:hAnsiTheme="minorEastAsia"/>
          <w:b/>
          <w:color w:val="auto"/>
          <w:sz w:val="36"/>
          <w:szCs w:val="36"/>
        </w:rPr>
      </w:pPr>
    </w:p>
    <w:p w14:paraId="30E02E61">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一、单位主要职责</w:t>
      </w:r>
    </w:p>
    <w:p w14:paraId="1990EFAB">
      <w:pPr>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庐山市第一小学是一所公办小学，主要职责是：</w:t>
      </w:r>
    </w:p>
    <w:p w14:paraId="5F557D4F">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（一）贯彻落实党的教育和体育工作的方针、政策、法律和法规，研究全市教育改革发展重大问题，综合指导、协调和管理全市的教育体育工作。</w:t>
      </w:r>
    </w:p>
    <w:p w14:paraId="6C5A8D36">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（二）编制全市小学教育事业发展规划、计划的实施，指导全市办学体制改革，理顺教育内部和外部的关系，建立适应全市经济社会发展的教育体制及运营机制。</w:t>
      </w:r>
    </w:p>
    <w:p w14:paraId="43453F6C">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（三）综合管理全市小学教育及社会力量办学工作，指导小学的教育教学工作，负责教育督导与评估。</w:t>
      </w:r>
    </w:p>
    <w:p w14:paraId="182B5220">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（四）负责推进教育均衡发展和促进教育公平，全面实施素质教育。统筹管理全市教育系统对外交流工作。</w:t>
      </w:r>
    </w:p>
    <w:p w14:paraId="5B27D3E3">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五）负责全校教师队伍建设和教师继续教育工作；负责教师管理工作，组织实施教师资格制度；负责管理语言文字工作；指导和组织推广普通话和规范汉字书写工作；参与拟订小学机构编制、人事管理、工资福利、收入分配的有关政策；承担教师资格认定申报工作；负责对发展教育事业做出突出贡献者进行奖励；指导大中专院校毕业生就业工作。</w:t>
      </w:r>
    </w:p>
    <w:p w14:paraId="242D981F">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（六）统筹管理本部门及全市教育经费，会同有关部门拟定筹措教育经费、教育基建投资的规划，按有关规定管理中央、省、市对全市的教育拨、贷款及捐赠资金，监督测评全市教育经费的筹措和使用管理情况。</w:t>
      </w:r>
    </w:p>
    <w:p w14:paraId="140E2D03">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（七）协助有关部门指导全市各级各类学校的思想政治工作、德育工作、体育卫生艺术教育及国防教育工作，统筹协调学校的安全稳定工作。</w:t>
      </w:r>
    </w:p>
    <w:p w14:paraId="4DFCF7A0">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（八）指导全市教育宣传、教育系统信息化建设和现代远程教育及校园网络建设工作。承担全市教育基本信息的统计、分析和发布。</w:t>
      </w:r>
    </w:p>
    <w:p w14:paraId="6AB2555C">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（九）统筹规划竞技体育发展，竟技运动项目设置与重点布局。组织安排各类赛事。</w:t>
      </w:r>
    </w:p>
    <w:p w14:paraId="0511A5CB">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（十）实施全民健身计划，指导群众性体育活动的发展，实施国家体育锻炼标准，开展国民体质监测；加强社区体育工作，正确引导群众的健身活动；负责全市体育社团资格审定和健身气功管理工作；</w:t>
      </w:r>
    </w:p>
    <w:p w14:paraId="19D7A031">
      <w:pPr>
        <w:ind w:firstLine="640" w:firstLineChars="200"/>
        <w:rPr>
          <w:rFonts w:hint="eastAsia" w:ascii="Adobe 仿宋 Std R" w:hAnsi="Adobe 仿宋 Std R" w:eastAsia="Adobe 仿宋 Std R"/>
          <w:sz w:val="36"/>
          <w:szCs w:val="36"/>
        </w:rPr>
      </w:pPr>
      <w:r>
        <w:rPr>
          <w:rFonts w:hint="eastAsia" w:ascii="Adobe 仿宋 Std R" w:hAnsi="Adobe 仿宋 Std R" w:eastAsia="Adobe 仿宋 Std R"/>
          <w:sz w:val="32"/>
          <w:szCs w:val="32"/>
        </w:rPr>
        <w:t>（十一）承办市政府交办的其他工作。</w:t>
      </w:r>
    </w:p>
    <w:p w14:paraId="6A2A716D">
      <w:pPr>
        <w:rPr>
          <w:b/>
          <w:color w:val="auto"/>
          <w:sz w:val="36"/>
          <w:szCs w:val="36"/>
        </w:rPr>
      </w:pPr>
      <w:r>
        <w:rPr>
          <w:rFonts w:hint="eastAsia"/>
          <w:b/>
          <w:color w:val="auto"/>
          <w:sz w:val="36"/>
          <w:szCs w:val="36"/>
        </w:rPr>
        <w:t>二、机构设置及人员情况</w:t>
      </w:r>
    </w:p>
    <w:p w14:paraId="3E6104C1">
      <w:pPr>
        <w:keepNext w:val="0"/>
        <w:keepLines w:val="0"/>
        <w:widowControl w:val="0"/>
        <w:suppressLineNumbers w:val="0"/>
        <w:spacing w:before="0" w:beforeAutospacing="0" w:after="0" w:afterAutospacing="0"/>
        <w:ind w:left="0" w:right="0" w:firstLine="640" w:firstLineChars="200"/>
        <w:jc w:val="left"/>
        <w:rPr>
          <w:rFonts w:hint="default" w:ascii="宋体" w:hAnsi="宋体" w:eastAsia="仿宋_GB2312" w:cs="仿宋_GB2312"/>
          <w:kern w:val="2"/>
          <w:sz w:val="32"/>
          <w:szCs w:val="32"/>
        </w:rPr>
      </w:pPr>
      <w:r>
        <w:rPr>
          <w:rFonts w:hint="eastAsia" w:ascii="宋体" w:hAnsi="宋体" w:eastAsia="宋体" w:cs="宋体"/>
          <w:kern w:val="2"/>
          <w:sz w:val="32"/>
          <w:szCs w:val="32"/>
          <w:lang w:val="en-US" w:eastAsia="zh-CN" w:bidi="ar"/>
        </w:rPr>
        <w:t>2025</w:t>
      </w:r>
      <w:r>
        <w:rPr>
          <w:rFonts w:hint="default" w:ascii="仿宋_GB2312" w:hAnsi="宋体" w:eastAsia="仿宋_GB2312" w:cs="仿宋_GB2312"/>
          <w:kern w:val="2"/>
          <w:sz w:val="32"/>
          <w:szCs w:val="32"/>
          <w:lang w:val="en-US" w:eastAsia="zh-CN" w:bidi="ar"/>
        </w:rPr>
        <w:t xml:space="preserve">年庐山市第一小学内设处室 </w:t>
      </w:r>
      <w:r>
        <w:rPr>
          <w:rFonts w:hint="eastAsia" w:ascii="宋体" w:hAnsi="宋体" w:eastAsia="宋体" w:cs="宋体"/>
          <w:kern w:val="2"/>
          <w:sz w:val="32"/>
          <w:szCs w:val="32"/>
          <w:lang w:val="en-US" w:eastAsia="zh-CN" w:bidi="ar"/>
        </w:rPr>
        <w:t xml:space="preserve">5 </w:t>
      </w:r>
      <w:r>
        <w:rPr>
          <w:rFonts w:hint="default" w:ascii="仿宋_GB2312" w:hAnsi="宋体" w:eastAsia="仿宋_GB2312" w:cs="仿宋_GB2312"/>
          <w:kern w:val="2"/>
          <w:sz w:val="32"/>
          <w:szCs w:val="32"/>
          <w:lang w:val="en-US" w:eastAsia="zh-CN" w:bidi="ar"/>
        </w:rPr>
        <w:t>个，包括：办公室，总务处，教务处，德育处，保卫科。</w:t>
      </w:r>
    </w:p>
    <w:p w14:paraId="16F2BEB3">
      <w:pPr>
        <w:keepNext w:val="0"/>
        <w:keepLines w:val="0"/>
        <w:widowControl w:val="0"/>
        <w:suppressLineNumbers w:val="0"/>
        <w:spacing w:before="0" w:beforeAutospacing="0" w:after="0" w:afterAutospacing="0"/>
        <w:ind w:left="0" w:right="0" w:firstLine="640" w:firstLineChars="200"/>
        <w:jc w:val="both"/>
        <w:rPr>
          <w:rFonts w:ascii="仿宋_GB2312" w:eastAsia="仿宋_GB2312"/>
          <w:b/>
          <w:color w:val="auto"/>
          <w:szCs w:val="30"/>
        </w:rPr>
      </w:pPr>
      <w:r>
        <w:rPr>
          <w:rFonts w:hint="default" w:ascii="仿宋_GB2312" w:hAnsi="宋体" w:eastAsia="仿宋_GB2312" w:cs="仿宋_GB2312"/>
          <w:kern w:val="2"/>
          <w:sz w:val="32"/>
          <w:szCs w:val="32"/>
          <w:lang w:val="en-US" w:eastAsia="zh-CN" w:bidi="ar"/>
        </w:rPr>
        <w:t>编制人数小计</w:t>
      </w:r>
      <w:r>
        <w:rPr>
          <w:rFonts w:hint="eastAsia" w:ascii="宋体" w:hAnsi="宋体" w:eastAsia="宋体" w:cs="宋体"/>
          <w:kern w:val="2"/>
          <w:sz w:val="32"/>
          <w:szCs w:val="32"/>
          <w:lang w:val="en-US" w:eastAsia="zh-CN" w:bidi="ar"/>
        </w:rPr>
        <w:t>117</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其中：行政编制人数</w:t>
      </w:r>
      <w:r>
        <w:rPr>
          <w:rFonts w:hint="eastAsia" w:ascii="宋体" w:hAnsi="宋体" w:eastAsia="宋体" w:cs="宋体"/>
          <w:kern w:val="2"/>
          <w:sz w:val="32"/>
          <w:szCs w:val="32"/>
          <w:lang w:val="en-US" w:eastAsia="zh-CN" w:bidi="ar"/>
        </w:rPr>
        <w:t>0</w:t>
      </w:r>
      <w:r>
        <w:rPr>
          <w:rFonts w:hint="default" w:ascii="仿宋_GB2312" w:hAnsi="宋体" w:eastAsia="仿宋_GB2312" w:cs="仿宋_GB2312"/>
          <w:kern w:val="2"/>
          <w:sz w:val="32"/>
          <w:szCs w:val="32"/>
          <w:lang w:val="en-US" w:eastAsia="zh-CN" w:bidi="ar"/>
        </w:rPr>
        <w:t>人。实有人数小计</w:t>
      </w:r>
      <w:r>
        <w:rPr>
          <w:rFonts w:hint="eastAsia" w:ascii="宋体" w:hAnsi="宋体" w:eastAsia="宋体" w:cs="宋体"/>
          <w:kern w:val="2"/>
          <w:sz w:val="32"/>
          <w:szCs w:val="32"/>
          <w:lang w:val="en-US" w:eastAsia="zh-CN" w:bidi="ar"/>
        </w:rPr>
        <w:t>117</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其中：在职人数小计</w:t>
      </w:r>
      <w:r>
        <w:rPr>
          <w:rFonts w:hint="eastAsia" w:ascii="宋体" w:hAnsi="宋体" w:eastAsia="宋体" w:cs="宋体"/>
          <w:kern w:val="2"/>
          <w:sz w:val="32"/>
          <w:szCs w:val="32"/>
          <w:lang w:val="en-US" w:eastAsia="zh-CN" w:bidi="ar"/>
        </w:rPr>
        <w:t>117</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行政在职人数</w:t>
      </w:r>
      <w:r>
        <w:rPr>
          <w:rFonts w:hint="eastAsia" w:ascii="宋体" w:hAnsi="宋体" w:eastAsia="宋体" w:cs="宋体"/>
          <w:kern w:val="2"/>
          <w:sz w:val="32"/>
          <w:szCs w:val="32"/>
          <w:lang w:val="en-US" w:eastAsia="zh-CN" w:bidi="ar"/>
        </w:rPr>
        <w:t>0</w:t>
      </w:r>
      <w:r>
        <w:rPr>
          <w:rFonts w:hint="default" w:ascii="仿宋_GB2312" w:hAnsi="宋体" w:eastAsia="仿宋_GB2312" w:cs="仿宋_GB2312"/>
          <w:kern w:val="2"/>
          <w:sz w:val="32"/>
          <w:szCs w:val="32"/>
          <w:lang w:val="en-US" w:eastAsia="zh-CN" w:bidi="ar"/>
        </w:rPr>
        <w:t>人。离休人数小计</w:t>
      </w:r>
      <w:r>
        <w:rPr>
          <w:rFonts w:hint="eastAsia" w:ascii="宋体" w:hAnsi="宋体" w:eastAsia="宋体" w:cs="宋体"/>
          <w:kern w:val="2"/>
          <w:sz w:val="32"/>
          <w:szCs w:val="32"/>
          <w:lang w:val="en-US" w:eastAsia="zh-CN" w:bidi="ar"/>
        </w:rPr>
        <w:t>0</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退休人数小计</w:t>
      </w:r>
      <w:r>
        <w:rPr>
          <w:rFonts w:hint="eastAsia" w:ascii="宋体" w:hAnsi="宋体" w:eastAsia="宋体" w:cs="宋体"/>
          <w:kern w:val="2"/>
          <w:sz w:val="32"/>
          <w:szCs w:val="32"/>
          <w:lang w:val="en-US" w:eastAsia="zh-CN" w:bidi="ar"/>
        </w:rPr>
        <w:t>101</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遗属人数</w:t>
      </w:r>
      <w:r>
        <w:rPr>
          <w:rFonts w:hint="eastAsia" w:ascii="宋体" w:hAnsi="宋体" w:eastAsia="宋体" w:cs="宋体"/>
          <w:kern w:val="2"/>
          <w:sz w:val="32"/>
          <w:szCs w:val="32"/>
          <w:lang w:val="en-US" w:eastAsia="zh-CN" w:bidi="ar"/>
        </w:rPr>
        <w:t>2</w:t>
      </w:r>
      <w:r>
        <w:rPr>
          <w:rFonts w:hint="default" w:ascii="仿宋_GB2312" w:hAnsi="宋体" w:eastAsia="仿宋_GB2312" w:cs="仿宋_GB2312"/>
          <w:kern w:val="2"/>
          <w:sz w:val="32"/>
          <w:szCs w:val="32"/>
          <w:lang w:val="en-US" w:eastAsia="zh-CN" w:bidi="ar"/>
        </w:rPr>
        <w:t>人。</w:t>
      </w:r>
    </w:p>
    <w:p w14:paraId="71936C0D">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庐山市第一小学</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年单位预算表</w:t>
      </w:r>
    </w:p>
    <w:p w14:paraId="4CDA4259">
      <w:pPr>
        <w:jc w:val="left"/>
        <w:rPr>
          <w:rStyle w:val="11"/>
          <w:rFonts w:hint="eastAsia" w:ascii="仿宋" w:hAnsi="仿宋" w:eastAsia="仿宋"/>
          <w:bCs/>
          <w:sz w:val="32"/>
          <w:szCs w:val="32"/>
          <w:lang w:val="en-US" w:eastAsia="zh-CN"/>
        </w:rPr>
      </w:pPr>
      <w:r>
        <w:rPr>
          <w:rStyle w:val="11"/>
          <w:rFonts w:hint="eastAsia" w:ascii="仿宋" w:hAnsi="仿宋" w:eastAsia="仿宋"/>
          <w:bCs/>
          <w:sz w:val="32"/>
          <w:szCs w:val="32"/>
          <w:lang w:val="en-US" w:eastAsia="zh-CN"/>
        </w:rPr>
        <w:t>一、收支预算总表</w:t>
      </w:r>
    </w:p>
    <w:p w14:paraId="2982C13A">
      <w:pPr>
        <w:ind w:firstLine="640" w:firstLineChars="200"/>
        <w:jc w:val="left"/>
        <w:rPr>
          <w:rStyle w:val="11"/>
          <w:rFonts w:hint="eastAsia" w:ascii="仿宋" w:hAnsi="仿宋" w:eastAsia="仿宋"/>
          <w:bCs/>
          <w:sz w:val="32"/>
          <w:szCs w:val="32"/>
          <w:lang w:val="en-US" w:eastAsia="zh-CN"/>
        </w:rPr>
      </w:pPr>
      <w:r>
        <w:rPr>
          <w:rStyle w:val="11"/>
          <w:rFonts w:hint="eastAsia" w:ascii="仿宋" w:hAnsi="仿宋" w:eastAsia="仿宋"/>
          <w:bCs/>
          <w:sz w:val="32"/>
          <w:szCs w:val="32"/>
          <w:lang w:val="en-US" w:eastAsia="zh-CN"/>
        </w:rPr>
        <w:drawing>
          <wp:inline distT="0" distB="0" distL="114300" distR="114300">
            <wp:extent cx="5269230" cy="4166870"/>
            <wp:effectExtent l="0" t="0" r="7620" b="5080"/>
            <wp:docPr id="2" name="图片 2" descr="收入预算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收入预算总表"/>
                    <pic:cNvPicPr>
                      <a:picLocks noChangeAspect="1"/>
                    </pic:cNvPicPr>
                  </pic:nvPicPr>
                  <pic:blipFill>
                    <a:blip r:embed="rId5"/>
                    <a:stretch>
                      <a:fillRect/>
                    </a:stretch>
                  </pic:blipFill>
                  <pic:spPr>
                    <a:xfrm>
                      <a:off x="0" y="0"/>
                      <a:ext cx="5269230" cy="4166870"/>
                    </a:xfrm>
                    <a:prstGeom prst="rect">
                      <a:avLst/>
                    </a:prstGeom>
                  </pic:spPr>
                </pic:pic>
              </a:graphicData>
            </a:graphic>
          </wp:inline>
        </w:drawing>
      </w:r>
    </w:p>
    <w:p w14:paraId="18783953">
      <w:pPr>
        <w:ind w:firstLine="640" w:firstLineChars="200"/>
        <w:jc w:val="left"/>
        <w:rPr>
          <w:rStyle w:val="11"/>
          <w:rFonts w:ascii="仿宋" w:hAnsi="仿宋" w:eastAsia="仿宋"/>
          <w:bCs/>
          <w:color w:val="auto"/>
          <w:sz w:val="32"/>
          <w:szCs w:val="32"/>
        </w:rPr>
      </w:pPr>
    </w:p>
    <w:p w14:paraId="21067240">
      <w:pPr>
        <w:jc w:val="left"/>
        <w:rPr>
          <w:rStyle w:val="11"/>
          <w:rFonts w:hint="eastAsia" w:ascii="仿宋" w:hAnsi="仿宋" w:eastAsia="仿宋"/>
          <w:bCs/>
          <w:sz w:val="32"/>
          <w:szCs w:val="32"/>
          <w:lang w:val="en-US" w:eastAsia="zh-CN"/>
        </w:rPr>
      </w:pPr>
      <w:r>
        <w:rPr>
          <w:rStyle w:val="11"/>
          <w:rFonts w:hint="eastAsia" w:ascii="仿宋" w:hAnsi="仿宋" w:eastAsia="仿宋"/>
          <w:bCs/>
          <w:sz w:val="32"/>
          <w:szCs w:val="32"/>
          <w:lang w:val="en-US" w:eastAsia="zh-CN"/>
        </w:rPr>
        <w:t>二、单位收入总表</w:t>
      </w:r>
    </w:p>
    <w:p w14:paraId="6A8A131C">
      <w:pPr>
        <w:ind w:firstLine="640" w:firstLineChars="200"/>
        <w:jc w:val="left"/>
        <w:rPr>
          <w:rStyle w:val="11"/>
          <w:rFonts w:hint="eastAsia" w:ascii="仿宋" w:hAnsi="仿宋" w:eastAsia="仿宋"/>
          <w:bCs/>
          <w:color w:val="auto"/>
          <w:sz w:val="32"/>
          <w:szCs w:val="32"/>
          <w:lang w:eastAsia="zh-CN"/>
        </w:rPr>
      </w:pPr>
      <w:r>
        <w:rPr>
          <w:rStyle w:val="11"/>
          <w:rFonts w:hint="eastAsia" w:ascii="仿宋" w:hAnsi="仿宋" w:eastAsia="仿宋"/>
          <w:bCs/>
          <w:color w:val="auto"/>
          <w:sz w:val="32"/>
          <w:szCs w:val="32"/>
          <w:lang w:eastAsia="zh-CN"/>
        </w:rPr>
        <w:drawing>
          <wp:inline distT="0" distB="0" distL="114300" distR="114300">
            <wp:extent cx="5268595" cy="4963160"/>
            <wp:effectExtent l="0" t="0" r="8255" b="8890"/>
            <wp:docPr id="3" name="图片 3" descr="单位收入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单位收入总表"/>
                    <pic:cNvPicPr>
                      <a:picLocks noChangeAspect="1"/>
                    </pic:cNvPicPr>
                  </pic:nvPicPr>
                  <pic:blipFill>
                    <a:blip r:embed="rId6"/>
                    <a:stretch>
                      <a:fillRect/>
                    </a:stretch>
                  </pic:blipFill>
                  <pic:spPr>
                    <a:xfrm>
                      <a:off x="0" y="0"/>
                      <a:ext cx="5268595" cy="4963160"/>
                    </a:xfrm>
                    <a:prstGeom prst="rect">
                      <a:avLst/>
                    </a:prstGeom>
                  </pic:spPr>
                </pic:pic>
              </a:graphicData>
            </a:graphic>
          </wp:inline>
        </w:drawing>
      </w:r>
    </w:p>
    <w:p w14:paraId="5F5C088A">
      <w:pPr>
        <w:numPr>
          <w:ilvl w:val="0"/>
          <w:numId w:val="0"/>
        </w:numPr>
        <w:jc w:val="left"/>
        <w:rPr>
          <w:rStyle w:val="11"/>
          <w:rFonts w:hint="eastAsia" w:ascii="仿宋" w:hAnsi="仿宋" w:eastAsia="仿宋"/>
          <w:bCs/>
          <w:color w:val="auto"/>
          <w:sz w:val="32"/>
          <w:szCs w:val="32"/>
          <w:lang w:val="en-US" w:eastAsia="zh-CN"/>
        </w:rPr>
      </w:pPr>
      <w:r>
        <w:rPr>
          <w:rFonts w:hint="eastAsia" w:ascii="仿宋" w:hAnsi="仿宋" w:eastAsia="仿宋" w:cstheme="minorBidi"/>
          <w:bCs/>
          <w:color w:val="auto"/>
          <w:kern w:val="2"/>
          <w:sz w:val="32"/>
          <w:szCs w:val="32"/>
          <w:lang w:val="en-US" w:eastAsia="zh-CN" w:bidi="ar-SA"/>
        </w:rPr>
        <w:t>三、</w:t>
      </w:r>
      <w:r>
        <w:rPr>
          <w:rStyle w:val="11"/>
          <w:rFonts w:hint="eastAsia" w:ascii="仿宋" w:hAnsi="仿宋" w:eastAsia="仿宋"/>
          <w:bCs/>
          <w:color w:val="auto"/>
          <w:sz w:val="32"/>
          <w:szCs w:val="32"/>
          <w:lang w:val="en-US" w:eastAsia="zh-CN"/>
        </w:rPr>
        <w:t>单位支出总表</w:t>
      </w:r>
    </w:p>
    <w:p w14:paraId="1DB96678">
      <w:pPr>
        <w:numPr>
          <w:ilvl w:val="0"/>
          <w:numId w:val="0"/>
        </w:numPr>
        <w:jc w:val="left"/>
        <w:rPr>
          <w:rStyle w:val="11"/>
          <w:rFonts w:hint="default" w:ascii="仿宋" w:hAnsi="仿宋" w:eastAsia="仿宋"/>
          <w:bCs/>
          <w:color w:val="auto"/>
          <w:sz w:val="32"/>
          <w:szCs w:val="32"/>
          <w:lang w:val="en-US" w:eastAsia="zh-CN"/>
        </w:rPr>
      </w:pPr>
      <w:r>
        <w:rPr>
          <w:rStyle w:val="11"/>
          <w:rFonts w:hint="default" w:ascii="仿宋" w:hAnsi="仿宋" w:eastAsia="仿宋"/>
          <w:bCs/>
          <w:color w:val="auto"/>
          <w:sz w:val="32"/>
          <w:szCs w:val="32"/>
          <w:lang w:val="en-US" w:eastAsia="zh-CN"/>
        </w:rPr>
        <w:drawing>
          <wp:inline distT="0" distB="0" distL="114300" distR="114300">
            <wp:extent cx="5272405" cy="5315585"/>
            <wp:effectExtent l="0" t="0" r="4445" b="18415"/>
            <wp:docPr id="5" name="图片 5" descr="单位支出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单位支出总表"/>
                    <pic:cNvPicPr>
                      <a:picLocks noChangeAspect="1"/>
                    </pic:cNvPicPr>
                  </pic:nvPicPr>
                  <pic:blipFill>
                    <a:blip r:embed="rId7"/>
                    <a:stretch>
                      <a:fillRect/>
                    </a:stretch>
                  </pic:blipFill>
                  <pic:spPr>
                    <a:xfrm>
                      <a:off x="0" y="0"/>
                      <a:ext cx="5272405" cy="5315585"/>
                    </a:xfrm>
                    <a:prstGeom prst="rect">
                      <a:avLst/>
                    </a:prstGeom>
                  </pic:spPr>
                </pic:pic>
              </a:graphicData>
            </a:graphic>
          </wp:inline>
        </w:drawing>
      </w:r>
    </w:p>
    <w:p w14:paraId="77C1FDFF">
      <w:pPr>
        <w:widowControl/>
        <w:spacing w:line="580" w:lineRule="exact"/>
        <w:jc w:val="both"/>
        <w:rPr>
          <w:rFonts w:hint="eastAsia" w:ascii="仿宋_GB2312" w:hAnsi="Calibri" w:eastAsia="仿宋_GB2312" w:cs="宋体"/>
          <w:b/>
          <w:color w:val="auto"/>
          <w:kern w:val="0"/>
          <w:sz w:val="32"/>
          <w:szCs w:val="32"/>
        </w:rPr>
      </w:pPr>
    </w:p>
    <w:p w14:paraId="677FFC50">
      <w:pPr>
        <w:widowControl/>
        <w:numPr>
          <w:ilvl w:val="0"/>
          <w:numId w:val="0"/>
        </w:numPr>
        <w:spacing w:line="580" w:lineRule="exact"/>
        <w:jc w:val="both"/>
        <w:rPr>
          <w:rFonts w:hint="eastAsia" w:ascii="仿宋" w:hAnsi="仿宋" w:eastAsia="仿宋" w:cs="仿宋"/>
          <w:b w:val="0"/>
          <w:bCs/>
          <w:color w:val="auto"/>
          <w:kern w:val="0"/>
          <w:sz w:val="32"/>
          <w:szCs w:val="32"/>
          <w:lang w:val="en-US" w:eastAsia="zh-CN"/>
        </w:rPr>
      </w:pPr>
      <w:r>
        <w:rPr>
          <w:rFonts w:hint="eastAsia" w:ascii="仿宋" w:hAnsi="仿宋" w:eastAsia="仿宋" w:cs="仿宋"/>
          <w:b w:val="0"/>
          <w:bCs/>
          <w:color w:val="auto"/>
          <w:kern w:val="0"/>
          <w:sz w:val="32"/>
          <w:szCs w:val="32"/>
          <w:lang w:val="en-US" w:eastAsia="zh-CN" w:bidi="ar-SA"/>
        </w:rPr>
        <w:t>四、</w:t>
      </w:r>
      <w:r>
        <w:rPr>
          <w:rFonts w:hint="eastAsia" w:ascii="仿宋" w:hAnsi="仿宋" w:eastAsia="仿宋" w:cs="仿宋"/>
          <w:b w:val="0"/>
          <w:bCs/>
          <w:color w:val="auto"/>
          <w:kern w:val="0"/>
          <w:sz w:val="32"/>
          <w:szCs w:val="32"/>
          <w:lang w:val="en-US" w:eastAsia="zh-CN"/>
        </w:rPr>
        <w:t>财政拨款收支总表</w:t>
      </w:r>
    </w:p>
    <w:p w14:paraId="04EB46F0">
      <w:pPr>
        <w:widowControl/>
        <w:numPr>
          <w:ilvl w:val="0"/>
          <w:numId w:val="0"/>
        </w:numPr>
        <w:spacing w:line="240" w:lineRule="auto"/>
        <w:jc w:val="both"/>
        <w:rPr>
          <w:rFonts w:hint="default" w:ascii="仿宋" w:hAnsi="仿宋" w:eastAsia="仿宋" w:cs="仿宋"/>
          <w:b w:val="0"/>
          <w:bCs/>
          <w:color w:val="auto"/>
          <w:kern w:val="0"/>
          <w:sz w:val="32"/>
          <w:szCs w:val="32"/>
          <w:lang w:val="en-US" w:eastAsia="zh-CN"/>
        </w:rPr>
      </w:pPr>
      <w:r>
        <w:rPr>
          <w:rFonts w:hint="default" w:ascii="仿宋" w:hAnsi="仿宋" w:eastAsia="仿宋" w:cs="仿宋"/>
          <w:b w:val="0"/>
          <w:bCs/>
          <w:color w:val="auto"/>
          <w:kern w:val="0"/>
          <w:sz w:val="32"/>
          <w:szCs w:val="32"/>
          <w:lang w:val="en-US" w:eastAsia="zh-CN"/>
        </w:rPr>
        <w:drawing>
          <wp:inline distT="0" distB="0" distL="114300" distR="114300">
            <wp:extent cx="5272405" cy="3444240"/>
            <wp:effectExtent l="0" t="0" r="4445" b="3810"/>
            <wp:docPr id="6" name="图片 6" descr="财政拨款收支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财政拨款收支总表"/>
                    <pic:cNvPicPr>
                      <a:picLocks noChangeAspect="1"/>
                    </pic:cNvPicPr>
                  </pic:nvPicPr>
                  <pic:blipFill>
                    <a:blip r:embed="rId8"/>
                    <a:stretch>
                      <a:fillRect/>
                    </a:stretch>
                  </pic:blipFill>
                  <pic:spPr>
                    <a:xfrm>
                      <a:off x="0" y="0"/>
                      <a:ext cx="5272405" cy="3444240"/>
                    </a:xfrm>
                    <a:prstGeom prst="rect">
                      <a:avLst/>
                    </a:prstGeom>
                  </pic:spPr>
                </pic:pic>
              </a:graphicData>
            </a:graphic>
          </wp:inline>
        </w:drawing>
      </w:r>
    </w:p>
    <w:p w14:paraId="34D56F8C">
      <w:pPr>
        <w:widowControl/>
        <w:spacing w:line="580" w:lineRule="exact"/>
        <w:jc w:val="both"/>
        <w:rPr>
          <w:rFonts w:hint="eastAsia" w:ascii="仿宋" w:hAnsi="仿宋" w:eastAsia="仿宋" w:cs="仿宋"/>
          <w:b w:val="0"/>
          <w:bCs/>
          <w:color w:val="auto"/>
          <w:kern w:val="0"/>
          <w:sz w:val="32"/>
          <w:szCs w:val="32"/>
          <w:lang w:val="en-US" w:eastAsia="zh-CN"/>
        </w:rPr>
      </w:pPr>
      <w:r>
        <w:rPr>
          <w:rFonts w:hint="eastAsia" w:ascii="仿宋" w:hAnsi="仿宋" w:eastAsia="仿宋" w:cs="仿宋"/>
          <w:b w:val="0"/>
          <w:bCs/>
          <w:color w:val="auto"/>
          <w:kern w:val="0"/>
          <w:sz w:val="32"/>
          <w:szCs w:val="32"/>
          <w:lang w:val="en-US" w:eastAsia="zh-CN"/>
        </w:rPr>
        <w:t>五、一般公共预算支出表</w:t>
      </w:r>
    </w:p>
    <w:p w14:paraId="7C206F2A">
      <w:pPr>
        <w:widowControl/>
        <w:spacing w:line="240" w:lineRule="auto"/>
        <w:jc w:val="center"/>
        <w:rPr>
          <w:rFonts w:hint="eastAsia" w:ascii="仿宋_GB2312" w:hAnsi="Calibri" w:eastAsia="仿宋_GB2312" w:cs="宋体"/>
          <w:b/>
          <w:color w:val="auto"/>
          <w:kern w:val="0"/>
          <w:sz w:val="32"/>
          <w:szCs w:val="32"/>
          <w:lang w:eastAsia="zh-CN"/>
        </w:rPr>
      </w:pPr>
      <w:r>
        <w:rPr>
          <w:rFonts w:hint="eastAsia" w:ascii="仿宋_GB2312" w:hAnsi="Calibri" w:eastAsia="仿宋_GB2312" w:cs="宋体"/>
          <w:b/>
          <w:color w:val="auto"/>
          <w:kern w:val="0"/>
          <w:sz w:val="32"/>
          <w:szCs w:val="32"/>
          <w:lang w:eastAsia="zh-CN"/>
        </w:rPr>
        <w:drawing>
          <wp:inline distT="0" distB="0" distL="114300" distR="114300">
            <wp:extent cx="5269865" cy="5751195"/>
            <wp:effectExtent l="0" t="0" r="6985" b="1905"/>
            <wp:docPr id="7" name="图片 7" descr="一般公共预算支出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一般公共预算支出表"/>
                    <pic:cNvPicPr>
                      <a:picLocks noChangeAspect="1"/>
                    </pic:cNvPicPr>
                  </pic:nvPicPr>
                  <pic:blipFill>
                    <a:blip r:embed="rId9"/>
                    <a:stretch>
                      <a:fillRect/>
                    </a:stretch>
                  </pic:blipFill>
                  <pic:spPr>
                    <a:xfrm>
                      <a:off x="0" y="0"/>
                      <a:ext cx="5269865" cy="5751195"/>
                    </a:xfrm>
                    <a:prstGeom prst="rect">
                      <a:avLst/>
                    </a:prstGeom>
                  </pic:spPr>
                </pic:pic>
              </a:graphicData>
            </a:graphic>
          </wp:inline>
        </w:drawing>
      </w:r>
    </w:p>
    <w:p w14:paraId="70E10143">
      <w:pPr>
        <w:widowControl/>
        <w:spacing w:line="580" w:lineRule="exact"/>
        <w:jc w:val="both"/>
        <w:rPr>
          <w:rFonts w:hint="eastAsia" w:ascii="仿宋" w:hAnsi="仿宋" w:eastAsia="仿宋" w:cs="仿宋"/>
          <w:b w:val="0"/>
          <w:bCs/>
          <w:color w:val="auto"/>
          <w:kern w:val="0"/>
          <w:sz w:val="32"/>
          <w:szCs w:val="32"/>
          <w:lang w:val="en-US" w:eastAsia="zh-CN"/>
        </w:rPr>
      </w:pPr>
      <w:r>
        <w:rPr>
          <w:rFonts w:hint="eastAsia" w:ascii="仿宋" w:hAnsi="仿宋" w:eastAsia="仿宋" w:cs="仿宋"/>
          <w:b w:val="0"/>
          <w:bCs/>
          <w:color w:val="auto"/>
          <w:kern w:val="0"/>
          <w:sz w:val="32"/>
          <w:szCs w:val="32"/>
          <w:lang w:val="en-US" w:eastAsia="zh-CN"/>
        </w:rPr>
        <w:t>六、一般公共预算基本支出表</w:t>
      </w:r>
    </w:p>
    <w:p w14:paraId="79388D35">
      <w:pPr>
        <w:widowControl/>
        <w:spacing w:line="240" w:lineRule="auto"/>
        <w:jc w:val="center"/>
        <w:rPr>
          <w:rFonts w:hint="eastAsia" w:ascii="仿宋_GB2312" w:hAnsi="Calibri" w:eastAsia="仿宋_GB2312" w:cs="宋体"/>
          <w:b/>
          <w:color w:val="auto"/>
          <w:kern w:val="0"/>
          <w:sz w:val="32"/>
          <w:szCs w:val="32"/>
          <w:lang w:eastAsia="zh-CN"/>
        </w:rPr>
      </w:pPr>
      <w:r>
        <w:rPr>
          <w:rFonts w:hint="eastAsia" w:ascii="仿宋_GB2312" w:hAnsi="Calibri" w:eastAsia="仿宋_GB2312" w:cs="宋体"/>
          <w:b/>
          <w:color w:val="auto"/>
          <w:kern w:val="0"/>
          <w:sz w:val="32"/>
          <w:szCs w:val="32"/>
          <w:lang w:eastAsia="zh-CN"/>
        </w:rPr>
        <w:drawing>
          <wp:inline distT="0" distB="0" distL="114300" distR="114300">
            <wp:extent cx="4933950" cy="6076950"/>
            <wp:effectExtent l="0" t="0" r="0" b="0"/>
            <wp:docPr id="8" name="图片 8" descr="一般公共预算基本支出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一般公共预算基本支出表"/>
                    <pic:cNvPicPr>
                      <a:picLocks noChangeAspect="1"/>
                    </pic:cNvPicPr>
                  </pic:nvPicPr>
                  <pic:blipFill>
                    <a:blip r:embed="rId10"/>
                    <a:stretch>
                      <a:fillRect/>
                    </a:stretch>
                  </pic:blipFill>
                  <pic:spPr>
                    <a:xfrm>
                      <a:off x="0" y="0"/>
                      <a:ext cx="4933950" cy="6076950"/>
                    </a:xfrm>
                    <a:prstGeom prst="rect">
                      <a:avLst/>
                    </a:prstGeom>
                  </pic:spPr>
                </pic:pic>
              </a:graphicData>
            </a:graphic>
          </wp:inline>
        </w:drawing>
      </w:r>
    </w:p>
    <w:p w14:paraId="25D46D0D">
      <w:pPr>
        <w:widowControl/>
        <w:numPr>
          <w:ilvl w:val="0"/>
          <w:numId w:val="0"/>
        </w:numPr>
        <w:spacing w:line="580" w:lineRule="exact"/>
        <w:jc w:val="both"/>
        <w:rPr>
          <w:rFonts w:hint="eastAsia" w:ascii="仿宋_GB2312" w:hAnsi="Calibri" w:eastAsia="仿宋_GB2312" w:cs="宋体"/>
          <w:b w:val="0"/>
          <w:bCs/>
          <w:color w:val="auto"/>
          <w:kern w:val="0"/>
          <w:sz w:val="32"/>
          <w:szCs w:val="32"/>
          <w:lang w:val="en-US" w:eastAsia="zh-CN"/>
        </w:rPr>
      </w:pPr>
      <w:r>
        <w:rPr>
          <w:rFonts w:hint="eastAsia" w:ascii="仿宋_GB2312" w:hAnsi="Calibri" w:eastAsia="仿宋_GB2312" w:cs="宋体"/>
          <w:b w:val="0"/>
          <w:bCs/>
          <w:color w:val="auto"/>
          <w:kern w:val="0"/>
          <w:sz w:val="32"/>
          <w:szCs w:val="32"/>
          <w:lang w:val="en-US" w:eastAsia="zh-CN" w:bidi="ar-SA"/>
        </w:rPr>
        <w:t>七、</w:t>
      </w:r>
      <w:r>
        <w:rPr>
          <w:rFonts w:hint="eastAsia" w:ascii="仿宋_GB2312" w:hAnsi="Calibri" w:eastAsia="仿宋_GB2312" w:cs="宋体"/>
          <w:b w:val="0"/>
          <w:bCs/>
          <w:color w:val="auto"/>
          <w:kern w:val="0"/>
          <w:sz w:val="32"/>
          <w:szCs w:val="32"/>
          <w:lang w:val="en-US" w:eastAsia="zh-CN"/>
        </w:rPr>
        <w:t>财政拨款“三公”经费支出表</w:t>
      </w:r>
    </w:p>
    <w:p w14:paraId="1851BAA3">
      <w:pPr>
        <w:widowControl/>
        <w:numPr>
          <w:ilvl w:val="0"/>
          <w:numId w:val="0"/>
        </w:numPr>
        <w:spacing w:line="240" w:lineRule="auto"/>
        <w:jc w:val="both"/>
        <w:rPr>
          <w:rFonts w:hint="eastAsia" w:ascii="仿宋_GB2312" w:hAnsi="Calibri" w:eastAsia="仿宋_GB2312" w:cs="宋体"/>
          <w:b w:val="0"/>
          <w:bCs/>
          <w:color w:val="auto"/>
          <w:kern w:val="0"/>
          <w:sz w:val="32"/>
          <w:szCs w:val="32"/>
          <w:lang w:val="en-US" w:eastAsia="zh-CN"/>
        </w:rPr>
      </w:pPr>
      <w:r>
        <w:rPr>
          <w:rFonts w:hint="eastAsia" w:ascii="仿宋_GB2312" w:hAnsi="Calibri" w:eastAsia="仿宋_GB2312" w:cs="宋体"/>
          <w:b w:val="0"/>
          <w:bCs/>
          <w:color w:val="auto"/>
          <w:kern w:val="0"/>
          <w:sz w:val="32"/>
          <w:szCs w:val="32"/>
          <w:lang w:val="en-US" w:eastAsia="zh-CN"/>
        </w:rPr>
        <w:drawing>
          <wp:inline distT="0" distB="0" distL="114300" distR="114300">
            <wp:extent cx="5270500" cy="1352550"/>
            <wp:effectExtent l="0" t="0" r="6350" b="0"/>
            <wp:docPr id="9" name="图片 9" descr="三公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三公表"/>
                    <pic:cNvPicPr>
                      <a:picLocks noChangeAspect="1"/>
                    </pic:cNvPicPr>
                  </pic:nvPicPr>
                  <pic:blipFill>
                    <a:blip r:embed="rId11"/>
                    <a:stretch>
                      <a:fillRect/>
                    </a:stretch>
                  </pic:blipFill>
                  <pic:spPr>
                    <a:xfrm>
                      <a:off x="0" y="0"/>
                      <a:ext cx="5270500" cy="1352550"/>
                    </a:xfrm>
                    <a:prstGeom prst="rect">
                      <a:avLst/>
                    </a:prstGeom>
                  </pic:spPr>
                </pic:pic>
              </a:graphicData>
            </a:graphic>
          </wp:inline>
        </w:drawing>
      </w:r>
    </w:p>
    <w:p w14:paraId="3A24820A">
      <w:pPr>
        <w:widowControl/>
        <w:numPr>
          <w:ilvl w:val="0"/>
          <w:numId w:val="0"/>
        </w:numPr>
        <w:spacing w:line="580" w:lineRule="exact"/>
        <w:jc w:val="both"/>
        <w:rPr>
          <w:rFonts w:hint="eastAsia" w:ascii="仿宋_GB2312" w:hAnsi="Calibri" w:eastAsia="仿宋_GB2312" w:cs="宋体"/>
          <w:b w:val="0"/>
          <w:bCs/>
          <w:color w:val="auto"/>
          <w:kern w:val="0"/>
          <w:sz w:val="32"/>
          <w:szCs w:val="32"/>
          <w:lang w:val="en-US" w:eastAsia="zh-CN"/>
        </w:rPr>
      </w:pPr>
    </w:p>
    <w:p w14:paraId="0B6D5839">
      <w:pPr>
        <w:widowControl/>
        <w:numPr>
          <w:ilvl w:val="0"/>
          <w:numId w:val="0"/>
        </w:numPr>
        <w:spacing w:line="580" w:lineRule="exact"/>
        <w:jc w:val="both"/>
        <w:rPr>
          <w:rFonts w:hint="eastAsia" w:ascii="仿宋_GB2312" w:hAnsi="Calibri" w:eastAsia="仿宋_GB2312" w:cs="宋体"/>
          <w:b w:val="0"/>
          <w:bCs/>
          <w:color w:val="auto"/>
          <w:kern w:val="0"/>
          <w:sz w:val="32"/>
          <w:szCs w:val="32"/>
          <w:lang w:val="en-US" w:eastAsia="zh-CN"/>
        </w:rPr>
      </w:pPr>
      <w:r>
        <w:rPr>
          <w:rFonts w:hint="eastAsia" w:ascii="Adobe 仿宋 Std R" w:hAnsi="Adobe 仿宋 Std R" w:eastAsia="Adobe 仿宋 Std R" w:cstheme="minorBidi"/>
          <w:kern w:val="2"/>
          <w:sz w:val="32"/>
          <w:szCs w:val="30"/>
          <w:lang w:val="en-US" w:eastAsia="zh-CN"/>
        </w:rPr>
        <w:t>八、</w:t>
      </w:r>
      <w:r>
        <w:rPr>
          <w:rFonts w:ascii="Adobe 仿宋 Std R" w:hAnsi="Adobe 仿宋 Std R" w:eastAsia="Adobe 仿宋 Std R" w:cstheme="minorBidi"/>
          <w:kern w:val="2"/>
          <w:sz w:val="32"/>
          <w:szCs w:val="30"/>
        </w:rPr>
        <w:t>政府性基金预算支出表</w:t>
      </w:r>
    </w:p>
    <w:p w14:paraId="2E7E1086">
      <w:pPr>
        <w:widowControl/>
        <w:numPr>
          <w:ilvl w:val="0"/>
          <w:numId w:val="0"/>
        </w:numPr>
        <w:spacing w:line="240" w:lineRule="auto"/>
        <w:jc w:val="both"/>
        <w:rPr>
          <w:rFonts w:hint="eastAsia" w:ascii="仿宋_GB2312" w:hAnsi="Calibri" w:eastAsia="仿宋_GB2312" w:cs="宋体"/>
          <w:b w:val="0"/>
          <w:bCs/>
          <w:color w:val="auto"/>
          <w:kern w:val="0"/>
          <w:sz w:val="32"/>
          <w:szCs w:val="32"/>
          <w:lang w:val="en-US" w:eastAsia="zh-CN"/>
        </w:rPr>
      </w:pPr>
      <w:r>
        <w:rPr>
          <w:rFonts w:hint="eastAsia" w:ascii="仿宋_GB2312" w:hAnsi="Calibri" w:eastAsia="仿宋_GB2312" w:cs="宋体"/>
          <w:b w:val="0"/>
          <w:bCs/>
          <w:color w:val="auto"/>
          <w:kern w:val="0"/>
          <w:sz w:val="32"/>
          <w:szCs w:val="32"/>
          <w:lang w:val="en-US" w:eastAsia="zh-CN"/>
        </w:rPr>
        <w:drawing>
          <wp:inline distT="0" distB="0" distL="114300" distR="114300">
            <wp:extent cx="5271770" cy="1453515"/>
            <wp:effectExtent l="0" t="0" r="5080" b="13335"/>
            <wp:docPr id="10" name="图片 10" descr="政府性基金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政府性基金表"/>
                    <pic:cNvPicPr>
                      <a:picLocks noChangeAspect="1"/>
                    </pic:cNvPicPr>
                  </pic:nvPicPr>
                  <pic:blipFill>
                    <a:blip r:embed="rId12"/>
                    <a:stretch>
                      <a:fillRect/>
                    </a:stretch>
                  </pic:blipFill>
                  <pic:spPr>
                    <a:xfrm>
                      <a:off x="0" y="0"/>
                      <a:ext cx="5271770" cy="1453515"/>
                    </a:xfrm>
                    <a:prstGeom prst="rect">
                      <a:avLst/>
                    </a:prstGeom>
                  </pic:spPr>
                </pic:pic>
              </a:graphicData>
            </a:graphic>
          </wp:inline>
        </w:drawing>
      </w:r>
    </w:p>
    <w:p w14:paraId="39283018">
      <w:pPr>
        <w:widowControl/>
        <w:numPr>
          <w:ilvl w:val="0"/>
          <w:numId w:val="0"/>
        </w:numPr>
        <w:spacing w:line="580" w:lineRule="exact"/>
        <w:ind w:left="0" w:leftChars="0" w:firstLine="0" w:firstLineChars="0"/>
        <w:jc w:val="both"/>
        <w:rPr>
          <w:rFonts w:hint="eastAsia" w:ascii="仿宋_GB2312" w:hAnsi="Calibri" w:eastAsia="仿宋_GB2312" w:cs="宋体"/>
          <w:b w:val="0"/>
          <w:bCs/>
          <w:color w:val="auto"/>
          <w:kern w:val="0"/>
          <w:sz w:val="32"/>
          <w:szCs w:val="32"/>
          <w:lang w:val="en-US" w:eastAsia="zh-CN"/>
        </w:rPr>
      </w:pPr>
      <w:r>
        <w:rPr>
          <w:rFonts w:hint="eastAsia" w:ascii="仿宋_GB2312" w:hAnsi="Calibri" w:eastAsia="仿宋_GB2312" w:cs="宋体"/>
          <w:b w:val="0"/>
          <w:bCs/>
          <w:color w:val="auto"/>
          <w:kern w:val="0"/>
          <w:sz w:val="32"/>
          <w:szCs w:val="32"/>
          <w:lang w:val="en-US" w:eastAsia="zh-CN" w:bidi="ar-SA"/>
        </w:rPr>
        <w:t>九、</w:t>
      </w:r>
      <w:r>
        <w:rPr>
          <w:rFonts w:hint="eastAsia" w:ascii="仿宋_GB2312" w:hAnsi="Calibri" w:eastAsia="仿宋_GB2312" w:cs="宋体"/>
          <w:b w:val="0"/>
          <w:bCs/>
          <w:color w:val="auto"/>
          <w:kern w:val="0"/>
          <w:sz w:val="32"/>
          <w:szCs w:val="32"/>
          <w:lang w:val="en-US" w:eastAsia="zh-CN"/>
        </w:rPr>
        <w:t xml:space="preserve">国有资本经营预算支出表  </w:t>
      </w:r>
    </w:p>
    <w:p w14:paraId="25F87DB2">
      <w:pPr>
        <w:widowControl/>
        <w:numPr>
          <w:ilvl w:val="0"/>
          <w:numId w:val="0"/>
        </w:numPr>
        <w:spacing w:line="240" w:lineRule="auto"/>
        <w:jc w:val="both"/>
        <w:rPr>
          <w:rFonts w:hint="eastAsia" w:ascii="仿宋_GB2312" w:hAnsi="Calibri" w:eastAsia="仿宋_GB2312" w:cs="宋体"/>
          <w:b w:val="0"/>
          <w:bCs/>
          <w:color w:val="auto"/>
          <w:kern w:val="0"/>
          <w:sz w:val="32"/>
          <w:szCs w:val="32"/>
          <w:lang w:val="en-US" w:eastAsia="zh-CN"/>
        </w:rPr>
      </w:pPr>
      <w:r>
        <w:rPr>
          <w:rFonts w:hint="eastAsia" w:ascii="仿宋_GB2312" w:hAnsi="Calibri" w:eastAsia="仿宋_GB2312" w:cs="宋体"/>
          <w:b w:val="0"/>
          <w:bCs/>
          <w:color w:val="auto"/>
          <w:kern w:val="0"/>
          <w:sz w:val="32"/>
          <w:szCs w:val="32"/>
          <w:lang w:val="en-US" w:eastAsia="zh-CN"/>
        </w:rPr>
        <w:drawing>
          <wp:inline distT="0" distB="0" distL="114300" distR="114300">
            <wp:extent cx="5269230" cy="1251585"/>
            <wp:effectExtent l="0" t="0" r="7620" b="5715"/>
            <wp:docPr id="11" name="图片 11" descr="国有资本经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国有资本经营"/>
                    <pic:cNvPicPr>
                      <a:picLocks noChangeAspect="1"/>
                    </pic:cNvPicPr>
                  </pic:nvPicPr>
                  <pic:blipFill>
                    <a:blip r:embed="rId13"/>
                    <a:stretch>
                      <a:fillRect/>
                    </a:stretch>
                  </pic:blipFill>
                  <pic:spPr>
                    <a:xfrm>
                      <a:off x="0" y="0"/>
                      <a:ext cx="5269230" cy="1251585"/>
                    </a:xfrm>
                    <a:prstGeom prst="rect">
                      <a:avLst/>
                    </a:prstGeom>
                  </pic:spPr>
                </pic:pic>
              </a:graphicData>
            </a:graphic>
          </wp:inline>
        </w:drawing>
      </w:r>
    </w:p>
    <w:p w14:paraId="0E6958C9">
      <w:pPr>
        <w:widowControl/>
        <w:numPr>
          <w:ilvl w:val="0"/>
          <w:numId w:val="0"/>
        </w:numPr>
        <w:spacing w:line="240" w:lineRule="auto"/>
        <w:jc w:val="both"/>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lang w:val="en-US" w:eastAsia="zh-CN" w:bidi="ar-SA"/>
        </w:rPr>
        <w:t>十、</w:t>
      </w:r>
      <w:r>
        <w:rPr>
          <w:rFonts w:hint="eastAsia" w:ascii="Adobe 仿宋 Std R" w:hAnsi="Adobe 仿宋 Std R" w:eastAsia="Adobe 仿宋 Std R" w:cstheme="minorBidi"/>
          <w:kern w:val="2"/>
          <w:sz w:val="32"/>
          <w:szCs w:val="30"/>
        </w:rPr>
        <w:t>项目绩效目标表</w:t>
      </w:r>
    </w:p>
    <w:p w14:paraId="4FB1655F">
      <w:pPr>
        <w:widowControl/>
        <w:numPr>
          <w:ilvl w:val="0"/>
          <w:numId w:val="0"/>
        </w:numPr>
        <w:spacing w:line="240" w:lineRule="auto"/>
        <w:jc w:val="both"/>
        <w:rPr>
          <w:rFonts w:hint="eastAsia" w:ascii="仿宋_GB2312" w:hAnsi="Calibri" w:eastAsia="仿宋_GB2312" w:cs="宋体"/>
          <w:b w:val="0"/>
          <w:bCs/>
          <w:color w:val="auto"/>
          <w:kern w:val="0"/>
          <w:sz w:val="32"/>
          <w:szCs w:val="32"/>
          <w:lang w:val="en-US" w:eastAsia="zh-CN"/>
        </w:rPr>
      </w:pPr>
    </w:p>
    <w:p w14:paraId="2A225DF9">
      <w:pPr>
        <w:widowControl/>
        <w:numPr>
          <w:ilvl w:val="0"/>
          <w:numId w:val="0"/>
        </w:numPr>
        <w:spacing w:line="240" w:lineRule="auto"/>
        <w:jc w:val="both"/>
        <w:rPr>
          <w:rFonts w:hint="eastAsia" w:ascii="仿宋_GB2312" w:hAnsi="Calibri" w:eastAsia="仿宋_GB2312" w:cs="宋体"/>
          <w:b w:val="0"/>
          <w:bCs/>
          <w:color w:val="auto"/>
          <w:kern w:val="0"/>
          <w:sz w:val="32"/>
          <w:szCs w:val="32"/>
          <w:lang w:val="en-US" w:eastAsia="zh-CN"/>
        </w:rPr>
      </w:pPr>
      <w:r>
        <w:rPr>
          <w:rFonts w:hint="eastAsia" w:ascii="仿宋_GB2312" w:hAnsi="Calibri" w:eastAsia="仿宋_GB2312" w:cs="宋体"/>
          <w:b w:val="0"/>
          <w:bCs/>
          <w:color w:val="auto"/>
          <w:kern w:val="0"/>
          <w:sz w:val="32"/>
          <w:szCs w:val="32"/>
          <w:lang w:val="en-US" w:eastAsia="zh-CN"/>
        </w:rPr>
        <w:drawing>
          <wp:inline distT="0" distB="0" distL="114300" distR="114300">
            <wp:extent cx="3813810" cy="4532630"/>
            <wp:effectExtent l="0" t="0" r="0" b="0"/>
            <wp:docPr id="12" name="图片 12" descr="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001"/>
                    <pic:cNvPicPr>
                      <a:picLocks noChangeAspect="1"/>
                    </pic:cNvPicPr>
                  </pic:nvPicPr>
                  <pic:blipFill>
                    <a:blip r:embed="rId14"/>
                    <a:srcRect t="7710" r="8361" b="13102"/>
                    <a:stretch>
                      <a:fillRect/>
                    </a:stretch>
                  </pic:blipFill>
                  <pic:spPr>
                    <a:xfrm>
                      <a:off x="0" y="0"/>
                      <a:ext cx="3813810" cy="4532630"/>
                    </a:xfrm>
                    <a:prstGeom prst="rect">
                      <a:avLst/>
                    </a:prstGeom>
                  </pic:spPr>
                </pic:pic>
              </a:graphicData>
            </a:graphic>
          </wp:inline>
        </w:drawing>
      </w:r>
    </w:p>
    <w:p w14:paraId="4969893E">
      <w:pPr>
        <w:widowControl/>
        <w:numPr>
          <w:ilvl w:val="0"/>
          <w:numId w:val="0"/>
        </w:numPr>
        <w:spacing w:line="240" w:lineRule="auto"/>
        <w:jc w:val="both"/>
        <w:rPr>
          <w:rFonts w:hint="eastAsia" w:ascii="仿宋_GB2312" w:hAnsi="Calibri" w:eastAsia="仿宋_GB2312" w:cs="宋体"/>
          <w:b w:val="0"/>
          <w:bCs/>
          <w:color w:val="auto"/>
          <w:kern w:val="0"/>
          <w:sz w:val="32"/>
          <w:szCs w:val="32"/>
          <w:lang w:val="en-US" w:eastAsia="zh-CN"/>
        </w:rPr>
      </w:pPr>
    </w:p>
    <w:p w14:paraId="1B4E4208">
      <w:pPr>
        <w:widowControl/>
        <w:numPr>
          <w:ilvl w:val="0"/>
          <w:numId w:val="0"/>
        </w:numPr>
        <w:spacing w:line="240" w:lineRule="auto"/>
        <w:jc w:val="both"/>
        <w:rPr>
          <w:rFonts w:hint="eastAsia" w:ascii="仿宋_GB2312" w:hAnsi="Calibri" w:eastAsia="仿宋_GB2312" w:cs="宋体"/>
          <w:b w:val="0"/>
          <w:bCs/>
          <w:color w:val="auto"/>
          <w:kern w:val="0"/>
          <w:sz w:val="32"/>
          <w:szCs w:val="32"/>
          <w:lang w:val="en-US" w:eastAsia="zh-CN"/>
        </w:rPr>
      </w:pPr>
      <w:r>
        <w:rPr>
          <w:rFonts w:hint="eastAsia" w:ascii="仿宋_GB2312" w:hAnsi="Calibri" w:eastAsia="仿宋_GB2312" w:cs="宋体"/>
          <w:b w:val="0"/>
          <w:bCs/>
          <w:color w:val="auto"/>
          <w:kern w:val="0"/>
          <w:sz w:val="32"/>
          <w:szCs w:val="32"/>
          <w:lang w:val="en-US" w:eastAsia="zh-CN"/>
        </w:rPr>
        <w:drawing>
          <wp:inline distT="0" distB="0" distL="114300" distR="114300">
            <wp:extent cx="4495800" cy="5791200"/>
            <wp:effectExtent l="0" t="0" r="0" b="0"/>
            <wp:docPr id="1" name="图片 1" descr="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01"/>
                    <pic:cNvPicPr>
                      <a:picLocks noChangeAspect="1"/>
                    </pic:cNvPicPr>
                  </pic:nvPicPr>
                  <pic:blipFill>
                    <a:blip r:embed="rId15"/>
                    <a:srcRect l="5398" t="7719" r="9290" b="12372"/>
                    <a:stretch>
                      <a:fillRect/>
                    </a:stretch>
                  </pic:blipFill>
                  <pic:spPr>
                    <a:xfrm>
                      <a:off x="0" y="0"/>
                      <a:ext cx="4495800" cy="5791200"/>
                    </a:xfrm>
                    <a:prstGeom prst="rect">
                      <a:avLst/>
                    </a:prstGeom>
                  </pic:spPr>
                </pic:pic>
              </a:graphicData>
            </a:graphic>
          </wp:inline>
        </w:drawing>
      </w:r>
    </w:p>
    <w:p w14:paraId="1B98A24D">
      <w:pPr>
        <w:widowControl/>
        <w:numPr>
          <w:ilvl w:val="0"/>
          <w:numId w:val="0"/>
        </w:numPr>
        <w:spacing w:line="580" w:lineRule="exact"/>
        <w:jc w:val="both"/>
        <w:rPr>
          <w:rFonts w:hint="eastAsia" w:ascii="仿宋_GB2312" w:hAnsi="Calibri" w:eastAsia="仿宋_GB2312" w:cs="宋体"/>
          <w:b w:val="0"/>
          <w:bCs/>
          <w:color w:val="auto"/>
          <w:kern w:val="0"/>
          <w:sz w:val="32"/>
          <w:szCs w:val="32"/>
          <w:lang w:val="en-US" w:eastAsia="zh-CN"/>
        </w:rPr>
      </w:pPr>
    </w:p>
    <w:p w14:paraId="483A2C19">
      <w:pPr>
        <w:widowControl/>
        <w:numPr>
          <w:ilvl w:val="0"/>
          <w:numId w:val="0"/>
        </w:numPr>
        <w:spacing w:line="580" w:lineRule="exact"/>
        <w:jc w:val="both"/>
        <w:rPr>
          <w:rFonts w:hint="eastAsia" w:ascii="仿宋_GB2312" w:hAnsi="Calibri" w:eastAsia="仿宋_GB2312" w:cs="宋体"/>
          <w:b w:val="0"/>
          <w:bCs/>
          <w:color w:val="auto"/>
          <w:kern w:val="0"/>
          <w:sz w:val="32"/>
          <w:szCs w:val="32"/>
          <w:lang w:val="en-US" w:eastAsia="zh-CN"/>
        </w:rPr>
      </w:pPr>
    </w:p>
    <w:p w14:paraId="18D15443">
      <w:pPr>
        <w:widowControl/>
        <w:numPr>
          <w:ilvl w:val="0"/>
          <w:numId w:val="0"/>
        </w:numPr>
        <w:spacing w:line="580" w:lineRule="exact"/>
        <w:jc w:val="both"/>
        <w:rPr>
          <w:rFonts w:hint="eastAsia" w:ascii="仿宋_GB2312" w:hAnsi="Calibri" w:eastAsia="仿宋_GB2312" w:cs="宋体"/>
          <w:b w:val="0"/>
          <w:bCs/>
          <w:color w:val="auto"/>
          <w:kern w:val="0"/>
          <w:sz w:val="32"/>
          <w:szCs w:val="32"/>
          <w:lang w:val="en-US" w:eastAsia="zh-CN"/>
        </w:rPr>
      </w:pPr>
    </w:p>
    <w:p w14:paraId="519144F3">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庐山市第一小学</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年单位预算情况说明</w:t>
      </w:r>
    </w:p>
    <w:p w14:paraId="55541937">
      <w:pPr>
        <w:widowControl/>
        <w:spacing w:line="580" w:lineRule="exact"/>
        <w:jc w:val="center"/>
        <w:rPr>
          <w:rFonts w:ascii="仿宋_GB2312" w:eastAsia="仿宋_GB2312"/>
          <w:b/>
          <w:color w:val="auto"/>
          <w:sz w:val="32"/>
          <w:szCs w:val="30"/>
        </w:rPr>
      </w:pPr>
    </w:p>
    <w:p w14:paraId="5C41EEFF">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年单位预算收支情况说明</w:t>
      </w:r>
    </w:p>
    <w:p w14:paraId="2697FCC0">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(一)收入预算情况</w:t>
      </w:r>
    </w:p>
    <w:p w14:paraId="53245BA8">
      <w:pPr>
        <w:widowControl/>
        <w:ind w:firstLine="640" w:firstLineChars="200"/>
        <w:rPr>
          <w:rFonts w:hint="default" w:ascii="仿宋" w:hAnsi="仿宋" w:cs="Times New Roman" w:eastAsiaTheme="minorEastAsia"/>
          <w:color w:val="auto"/>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庐山市第一小学</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2401.19</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258.87</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2359.11</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219.05</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增加变化原因为：人员工资增加。</w:t>
      </w:r>
    </w:p>
    <w:p w14:paraId="45D45D83">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(二)支出预算情况</w:t>
      </w:r>
    </w:p>
    <w:p w14:paraId="61F69255">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庐山市第一小学</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${page540426799.ds357974894_REP_BGT_T_HC1100002019_DXQ02DW_S_ZJ}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支出预算总额为</w:t>
      </w:r>
      <w:r>
        <w:rPr>
          <w:rStyle w:val="11"/>
          <w:rFonts w:hint="eastAsia" w:ascii="仿宋" w:hAnsi="仿宋" w:eastAsia="仿宋"/>
          <w:color w:val="auto"/>
          <w:sz w:val="32"/>
          <w:szCs w:val="32"/>
          <w:lang w:val="en-US" w:eastAsia="zh-CN"/>
        </w:rPr>
        <w:t>2401.19</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258.87</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减少变化原因为：项目支出减少。</w:t>
      </w:r>
    </w:p>
    <w:p w14:paraId="347A5A02">
      <w:pPr>
        <w:widowControl/>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其中：按支出项目类别划分：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2334.11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194.05</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2076.13</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0.92</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257.06</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67.08</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452.92</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67.08</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w:t>
      </w:r>
      <w:r>
        <w:rPr>
          <w:color w:val="auto"/>
        </w:rPr>
        <w:fldChar w:fldCharType="end"/>
      </w:r>
    </w:p>
    <w:p w14:paraId="1F108E63">
      <w:pPr>
        <w:ind w:firstLine="640" w:firstLineChars="200"/>
        <w:rPr>
          <w:rStyle w:val="11"/>
          <w:rFonts w:ascii="仿宋" w:hAnsi="仿宋" w:eastAsia="仿宋"/>
          <w:b/>
          <w:color w:val="auto"/>
          <w:sz w:val="20"/>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${page540426799.ds197859873_REP_BGT_T_HC1100002019DXQ01DW_GNZJMX}</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val="en-US" w:eastAsia="zh-CN"/>
        </w:rPr>
        <w:t>教育</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2359.11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219.05</w:t>
      </w:r>
      <w:r>
        <w:rPr>
          <w:rStyle w:val="11"/>
          <w:rFonts w:ascii="仿宋" w:hAnsi="仿宋" w:eastAsia="仿宋"/>
          <w:color w:val="auto"/>
          <w:sz w:val="32"/>
          <w:szCs w:val="32"/>
        </w:rPr>
        <w:t>万元;社会保障和就业支出</w:t>
      </w:r>
      <w:r>
        <w:rPr>
          <w:rStyle w:val="11"/>
          <w:rFonts w:hint="eastAsia" w:ascii="仿宋" w:hAnsi="仿宋" w:eastAsia="仿宋"/>
          <w:color w:val="auto"/>
          <w:sz w:val="32"/>
          <w:szCs w:val="32"/>
          <w:lang w:val="en-US" w:eastAsia="zh-CN"/>
        </w:rPr>
        <w:t>323.49</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27.82</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131.41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15.72</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172.90</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15.05</w:t>
      </w:r>
      <w:r>
        <w:rPr>
          <w:rStyle w:val="11"/>
          <w:rFonts w:ascii="仿宋" w:hAnsi="仿宋" w:eastAsia="仿宋"/>
          <w:color w:val="auto"/>
          <w:sz w:val="32"/>
          <w:szCs w:val="32"/>
        </w:rPr>
        <w:t>万元。</w:t>
      </w:r>
      <w:r>
        <w:rPr>
          <w:color w:val="auto"/>
        </w:rPr>
        <w:fldChar w:fldCharType="end"/>
      </w:r>
    </w:p>
    <w:p w14:paraId="752E5B1D">
      <w:pPr>
        <w:ind w:firstLine="640" w:firstLineChars="200"/>
        <w:rPr>
          <w:color w:val="auto"/>
        </w:rPr>
      </w:pPr>
      <w:r>
        <w:rPr>
          <w:rStyle w:val="11"/>
          <w:rFonts w:hint="eastAsia" w:ascii="仿宋" w:hAnsi="仿宋" w:eastAsia="仿宋"/>
          <w:color w:val="auto"/>
          <w:sz w:val="32"/>
          <w:szCs w:val="32"/>
        </w:rPr>
        <w:t>按支出经济分类划分：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${page540426799.ds197859873_REP_BGT_T_HC1100002019DXQ01DW_JJMX}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2076.13</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60.66</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0.92</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0.92</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257.06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253.79</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w:t>
      </w:r>
      <w:r>
        <w:rPr>
          <w:color w:val="auto"/>
        </w:rPr>
        <w:fldChar w:fldCharType="end"/>
      </w:r>
    </w:p>
    <w:p w14:paraId="1F9283F6">
      <w:pPr>
        <w:ind w:firstLine="321" w:firstLineChars="100"/>
        <w:rPr>
          <w:rStyle w:val="11"/>
          <w:rFonts w:hint="eastAsia" w:ascii="Adobe 仿宋 Std R" w:hAnsi="Adobe 仿宋 Std R" w:eastAsia="Adobe 仿宋 Std R"/>
          <w:b/>
          <w:color w:val="auto"/>
          <w:sz w:val="32"/>
          <w:szCs w:val="32"/>
          <w:lang w:eastAsia="zh-CN"/>
        </w:rPr>
      </w:pPr>
      <w:r>
        <w:rPr>
          <w:rStyle w:val="11"/>
          <w:rFonts w:hint="eastAsia" w:ascii="Adobe 仿宋 Std R" w:hAnsi="Adobe 仿宋 Std R" w:eastAsia="Adobe 仿宋 Std R"/>
          <w:b/>
          <w:color w:val="auto"/>
          <w:sz w:val="32"/>
          <w:szCs w:val="32"/>
        </w:rPr>
        <w:t xml:space="preserve"> (三)财政拨款支出情况</w:t>
      </w:r>
    </w:p>
    <w:p w14:paraId="087C15FB">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庐山市第一小学</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${page540426799.ds357974894_REP_BGT_T_HC1100002019_DXQ02DW_S_CBXJ}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财政拨款支出预算总额</w:t>
      </w:r>
      <w:r>
        <w:rPr>
          <w:rStyle w:val="11"/>
          <w:rFonts w:hint="eastAsia" w:ascii="仿宋" w:hAnsi="仿宋" w:eastAsia="仿宋"/>
          <w:color w:val="auto"/>
          <w:sz w:val="32"/>
          <w:szCs w:val="32"/>
          <w:lang w:val="en-US" w:eastAsia="zh-CN"/>
        </w:rPr>
        <w:t>2359.11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219.05</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增加变化原因为：人员工资增加。</w:t>
      </w:r>
    </w:p>
    <w:p w14:paraId="53F56414">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${page400644146.ds247441498_REP_BGT_T_HC1100002019DXQ01_GNCBMX}</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val="en-US" w:eastAsia="zh-CN"/>
        </w:rPr>
        <w:t>教育</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2359.11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219.05</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社会保障和就业支出</w:t>
      </w:r>
      <w:r>
        <w:rPr>
          <w:rStyle w:val="11"/>
          <w:rFonts w:hint="eastAsia" w:ascii="仿宋" w:hAnsi="仿宋" w:eastAsia="仿宋"/>
          <w:color w:val="auto"/>
          <w:sz w:val="32"/>
          <w:szCs w:val="32"/>
          <w:lang w:val="en-US" w:eastAsia="zh-CN"/>
        </w:rPr>
        <w:t>323.49</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27.82</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卫生健康支出</w:t>
      </w:r>
      <w:r>
        <w:rPr>
          <w:rStyle w:val="11"/>
          <w:rFonts w:hint="eastAsia" w:ascii="仿宋" w:hAnsi="仿宋" w:eastAsia="仿宋"/>
          <w:color w:val="auto"/>
          <w:sz w:val="32"/>
          <w:szCs w:val="32"/>
          <w:lang w:val="en-US" w:eastAsia="zh-CN"/>
        </w:rPr>
        <w:t>131.41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15.72</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住房保障支出</w:t>
      </w:r>
      <w:r>
        <w:rPr>
          <w:rStyle w:val="11"/>
          <w:rFonts w:hint="eastAsia" w:ascii="仿宋" w:hAnsi="仿宋" w:eastAsia="仿宋"/>
          <w:color w:val="auto"/>
          <w:sz w:val="32"/>
          <w:szCs w:val="32"/>
          <w:lang w:val="en-US" w:eastAsia="zh-CN"/>
        </w:rPr>
        <w:t>172.90</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较上年预算安排增加</w:t>
      </w:r>
      <w:r>
        <w:rPr>
          <w:rStyle w:val="11"/>
          <w:rFonts w:hint="eastAsia" w:ascii="仿宋" w:hAnsi="仿宋" w:eastAsia="仿宋"/>
          <w:color w:val="auto"/>
          <w:sz w:val="32"/>
          <w:szCs w:val="32"/>
          <w:lang w:val="en-US" w:eastAsia="zh-CN"/>
        </w:rPr>
        <w:t>15.05</w:t>
      </w:r>
      <w:r>
        <w:rPr>
          <w:rStyle w:val="11"/>
          <w:rFonts w:ascii="仿宋" w:hAnsi="仿宋" w:eastAsia="仿宋"/>
          <w:color w:val="auto"/>
          <w:sz w:val="32"/>
          <w:szCs w:val="32"/>
        </w:rPr>
        <w:t>万元。</w:t>
      </w:r>
      <w:r>
        <w:rPr>
          <w:color w:val="auto"/>
        </w:rPr>
        <w:fldChar w:fldCharType="end"/>
      </w:r>
    </w:p>
    <w:p w14:paraId="64E81F8C">
      <w:pPr>
        <w:ind w:firstLine="640" w:firstLineChars="200"/>
        <w:rPr>
          <w:color w:val="auto"/>
        </w:rPr>
      </w:pPr>
      <w:r>
        <w:rPr>
          <w:rStyle w:val="11"/>
          <w:rFonts w:hint="eastAsia" w:ascii="仿宋" w:hAnsi="仿宋" w:eastAsia="仿宋"/>
          <w:color w:val="auto"/>
          <w:sz w:val="32"/>
          <w:szCs w:val="32"/>
        </w:rPr>
        <w:t>按支出项目类别划分：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2334.11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194.05</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2076.13</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0.92</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257.06</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25</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减少495</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25</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w:t>
      </w:r>
      <w:r>
        <w:rPr>
          <w:color w:val="auto"/>
        </w:rPr>
        <w:fldChar w:fldCharType="end"/>
      </w:r>
    </w:p>
    <w:p w14:paraId="026059DE">
      <w:pPr>
        <w:rPr>
          <w:rFonts w:ascii="Adobe 仿宋 Std R" w:hAnsi="Adobe 仿宋 Std R" w:eastAsia="Adobe 仿宋 Std R"/>
          <w:color w:val="auto"/>
        </w:rPr>
      </w:pPr>
      <w:r>
        <w:rPr>
          <w:rStyle w:val="11"/>
          <w:rFonts w:hint="eastAsia" w:ascii="Adobe 仿宋 Std R" w:hAnsi="Adobe 仿宋 Std R" w:eastAsia="Adobe 仿宋 Std R"/>
          <w:b/>
          <w:color w:val="auto"/>
          <w:sz w:val="32"/>
          <w:szCs w:val="32"/>
        </w:rPr>
        <w:t>(四)政府性基金情况</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${page540426799.ds357974894_REP_BGT_T_HC1100002019_DXQ02DW_S_ZFXJJ}</w:instrText>
      </w:r>
      <w:r>
        <w:rPr>
          <w:rFonts w:ascii="Adobe 仿宋 Std R" w:hAnsi="Adobe 仿宋 Std R" w:eastAsia="Adobe 仿宋 Std R"/>
          <w:color w:val="auto"/>
          <w:sz w:val="32"/>
          <w:szCs w:val="32"/>
        </w:rPr>
        <w:fldChar w:fldCharType="end"/>
      </w:r>
      <w:r>
        <w:rPr>
          <w:rFonts w:ascii="Adobe 仿宋 Std R" w:hAnsi="Adobe 仿宋 Std R" w:eastAsia="Adobe 仿宋 Std R"/>
          <w:color w:val="auto"/>
        </w:rPr>
        <w:fldChar w:fldCharType="begin"/>
      </w:r>
      <w:r>
        <w:rPr>
          <w:rFonts w:ascii="Adobe 仿宋 Std R" w:hAnsi="Adobe 仿宋 Std R" w:eastAsia="Adobe 仿宋 Std R"/>
          <w:color w:val="auto"/>
        </w:rPr>
        <w:instrText xml:space="preserve">MERGEFIELD ${page400644146.ds215660413_REP_BGT_T_HC1100002019_DXQ02_S_ZFXJJ}</w:instrText>
      </w:r>
      <w:r>
        <w:rPr>
          <w:rFonts w:ascii="Adobe 仿宋 Std R" w:hAnsi="Adobe 仿宋 Std R" w:eastAsia="Adobe 仿宋 Std R"/>
          <w:color w:val="auto"/>
        </w:rPr>
        <w:fldChar w:fldCharType="end"/>
      </w:r>
    </w:p>
    <w:p w14:paraId="689327ED">
      <w:pPr>
        <w:ind w:firstLine="640" w:firstLineChars="200"/>
        <w:rPr>
          <w:rStyle w:val="11"/>
          <w:rFonts w:hint="eastAsia" w:ascii="仿宋" w:hAnsi="仿宋" w:eastAsia="仿宋"/>
          <w:b w:val="0"/>
          <w:bCs/>
          <w:color w:val="auto"/>
          <w:sz w:val="32"/>
          <w:szCs w:val="32"/>
        </w:rPr>
      </w:pPr>
      <w:r>
        <w:rPr>
          <w:rStyle w:val="11"/>
          <w:rFonts w:hint="eastAsia" w:ascii="仿宋" w:hAnsi="仿宋" w:eastAsia="仿宋"/>
          <w:b w:val="0"/>
          <w:bCs/>
          <w:color w:val="auto"/>
          <w:sz w:val="32"/>
          <w:szCs w:val="32"/>
        </w:rPr>
        <w:t>本单位没有使用政府性基金预算拨款安排的支出</w:t>
      </w:r>
    </w:p>
    <w:p w14:paraId="6EE05F82">
      <w:pPr>
        <w:rPr>
          <w:rStyle w:val="11"/>
          <w:rFonts w:ascii="Adobe 仿宋 Std R" w:hAnsi="Adobe 仿宋 Std R" w:eastAsia="Adobe 仿宋 Std R"/>
          <w:b/>
          <w:color w:val="auto"/>
          <w:sz w:val="32"/>
          <w:szCs w:val="32"/>
        </w:rPr>
      </w:pPr>
      <w:r>
        <w:rPr>
          <w:rStyle w:val="11"/>
          <w:rFonts w:hint="eastAsia" w:ascii="仿宋" w:hAnsi="仿宋" w:eastAsia="仿宋"/>
          <w:b/>
          <w:bCs w:val="0"/>
          <w:color w:val="auto"/>
          <w:sz w:val="32"/>
          <w:szCs w:val="32"/>
          <w:lang w:eastAsia="zh-CN"/>
        </w:rPr>
        <w:t>（</w:t>
      </w:r>
      <w:r>
        <w:rPr>
          <w:rStyle w:val="11"/>
          <w:rFonts w:hint="eastAsia" w:ascii="仿宋" w:hAnsi="仿宋" w:eastAsia="仿宋"/>
          <w:b/>
          <w:bCs w:val="0"/>
          <w:color w:val="auto"/>
          <w:sz w:val="32"/>
          <w:szCs w:val="32"/>
          <w:lang w:val="en-US" w:eastAsia="zh-CN"/>
        </w:rPr>
        <w:t>五</w:t>
      </w:r>
      <w:r>
        <w:rPr>
          <w:rStyle w:val="11"/>
          <w:rFonts w:hint="eastAsia" w:ascii="仿宋" w:hAnsi="仿宋" w:eastAsia="仿宋"/>
          <w:b/>
          <w:bCs w:val="0"/>
          <w:color w:val="auto"/>
          <w:sz w:val="32"/>
          <w:szCs w:val="32"/>
          <w:lang w:eastAsia="zh-CN"/>
        </w:rPr>
        <w:t>）</w:t>
      </w:r>
      <w:r>
        <w:rPr>
          <w:rStyle w:val="11"/>
          <w:rFonts w:hint="eastAsia" w:ascii="Adobe 仿宋 Std R" w:hAnsi="Adobe 仿宋 Std R" w:eastAsia="Adobe 仿宋 Std R"/>
          <w:b/>
          <w:color w:val="auto"/>
          <w:sz w:val="32"/>
          <w:szCs w:val="32"/>
        </w:rPr>
        <w:t>国有资本经营情况</w:t>
      </w:r>
    </w:p>
    <w:p w14:paraId="0A93763D">
      <w:pPr>
        <w:widowControl/>
        <w:ind w:firstLine="640" w:firstLineChars="200"/>
        <w:rPr>
          <w:rStyle w:val="11"/>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color w:val="auto"/>
          <w:sz w:val="32"/>
          <w:szCs w:val="32"/>
        </w:rPr>
        <w:t>本</w:t>
      </w:r>
      <w:r>
        <w:rPr>
          <w:rStyle w:val="11"/>
          <w:rFonts w:hint="eastAsia" w:ascii="Adobe 仿宋 Std R" w:hAnsi="Adobe 仿宋 Std R" w:eastAsia="Adobe 仿宋 Std R"/>
          <w:color w:val="auto"/>
          <w:sz w:val="32"/>
          <w:szCs w:val="32"/>
          <w:lang w:val="en-US" w:eastAsia="zh-CN"/>
        </w:rPr>
        <w:t>单位</w:t>
      </w:r>
      <w:r>
        <w:rPr>
          <w:rStyle w:val="11"/>
          <w:rFonts w:hint="eastAsia" w:ascii="Adobe 仿宋 Std R" w:hAnsi="Adobe 仿宋 Std R" w:eastAsia="Adobe 仿宋 Std R"/>
          <w:color w:val="auto"/>
          <w:sz w:val="32"/>
          <w:szCs w:val="32"/>
        </w:rPr>
        <w:t>没有使用国有资本经营预算拨款安排的支出</w:t>
      </w:r>
    </w:p>
    <w:p w14:paraId="76E34934">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(六)机关运行经费等重要事项的说明</w:t>
      </w:r>
    </w:p>
    <w:p w14:paraId="467A26CC">
      <w:pPr>
        <w:ind w:firstLine="640" w:firstLineChars="200"/>
        <w:rPr>
          <w:rStyle w:val="11"/>
          <w:rFonts w:hint="eastAsia" w:ascii="Adobe 仿宋 Std R" w:hAnsi="Adobe 仿宋 Std R" w:eastAsia="Adobe 仿宋 Std R"/>
          <w:b/>
          <w:color w:val="auto"/>
          <w:sz w:val="32"/>
          <w:szCs w:val="32"/>
        </w:rPr>
      </w:pPr>
      <w:r>
        <w:rPr>
          <w:rStyle w:val="11"/>
          <w:rFonts w:hint="eastAsia" w:ascii="Adobe 仿宋 Std R" w:hAnsi="Adobe 仿宋 Std R" w:eastAsia="Adobe 仿宋 Std R"/>
          <w:b w:val="0"/>
          <w:bCs/>
          <w:color w:val="auto"/>
          <w:sz w:val="32"/>
          <w:szCs w:val="32"/>
        </w:rPr>
        <w:t>本单位非行政参公单位，无机关运行经费</w:t>
      </w:r>
    </w:p>
    <w:p w14:paraId="13492D42">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(七)政府采购情况</w:t>
      </w:r>
    </w:p>
    <w:p w14:paraId="0477A1F7">
      <w:pPr>
        <w:rPr>
          <w:rFonts w:ascii="Adobe 仿宋 Std R" w:hAnsi="Adobe 仿宋 Std R" w:eastAsia="Adobe 仿宋 Std R"/>
          <w:color w:val="auto"/>
          <w:sz w:val="32"/>
          <w:szCs w:val="32"/>
        </w:rPr>
      </w:pPr>
      <w:r>
        <w:rPr>
          <w:rStyle w:val="11"/>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p>
    <w:p w14:paraId="58B2EF70">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(八)国有资产占有使用情况</w:t>
      </w:r>
    </w:p>
    <w:p w14:paraId="2F803AA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color w:val="auto"/>
        </w:rPr>
        <w:fldChar w:fldCharType="end"/>
      </w:r>
    </w:p>
    <w:p w14:paraId="32683904">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年单位预算安排购置车辆</w:t>
      </w:r>
      <w:r>
        <w:rPr>
          <w:rFonts w:hint="eastAsia" w:ascii="仿宋_GB2312" w:eastAsia="仿宋_GB2312"/>
          <w:color w:val="auto"/>
          <w:sz w:val="32"/>
          <w:szCs w:val="30"/>
          <w:u w:val="single"/>
          <w:lang w:val="en-US" w:eastAsia="zh-CN"/>
        </w:rPr>
        <w:t>0</w:t>
      </w:r>
      <w:r>
        <w:rPr>
          <w:rFonts w:hint="eastAsia" w:ascii="Adobe 仿宋 Std R" w:hAnsi="Adobe 仿宋 Std R" w:eastAsia="Adobe 仿宋 Std R"/>
          <w:color w:val="auto"/>
          <w:sz w:val="32"/>
          <w:szCs w:val="32"/>
        </w:rPr>
        <w:t>辆，安排购置单位价值200万元以上大型设备具体为：</w:t>
      </w:r>
      <w:r>
        <w:rPr>
          <w:rFonts w:hint="eastAsia" w:ascii="仿宋_GB2312" w:eastAsia="仿宋_GB2312"/>
          <w:color w:val="auto"/>
          <w:sz w:val="32"/>
          <w:szCs w:val="30"/>
          <w:u w:val="single"/>
          <w:lang w:val="en-US" w:eastAsia="zh-CN"/>
        </w:rPr>
        <w:t>0</w:t>
      </w:r>
      <w:r>
        <w:rPr>
          <w:rFonts w:hint="eastAsia" w:ascii="仿宋_GB2312" w:eastAsia="仿宋_GB2312"/>
          <w:color w:val="auto"/>
          <w:sz w:val="32"/>
          <w:szCs w:val="30"/>
        </w:rPr>
        <w:t>。</w:t>
      </w:r>
    </w:p>
    <w:p w14:paraId="35B94161">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支出</w:t>
      </w:r>
      <w:r>
        <w:rPr>
          <w:rStyle w:val="11"/>
          <w:rFonts w:hint="eastAsia" w:ascii="Adobe 仿宋 Std R" w:hAnsi="Adobe 仿宋 Std R" w:eastAsia="Adobe 仿宋 Std R"/>
          <w:b/>
          <w:sz w:val="32"/>
          <w:szCs w:val="32"/>
        </w:rPr>
        <w:t>项目情况说明</w:t>
      </w:r>
    </w:p>
    <w:p w14:paraId="48F8554A">
      <w:pPr>
        <w:keepNext w:val="0"/>
        <w:keepLines w:val="0"/>
        <w:widowControl w:val="0"/>
        <w:suppressLineNumbers w:val="0"/>
        <w:spacing w:before="0" w:beforeAutospacing="0" w:after="0" w:afterAutospacing="0"/>
        <w:ind w:left="0" w:leftChars="0" w:right="0" w:firstLine="0" w:firstLineChars="0"/>
        <w:jc w:val="both"/>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default" w:ascii="Adobe 仿宋 Std R" w:hAnsi="Adobe 仿宋 Std R" w:eastAsia="Adobe 仿宋 Std R" w:cs="Adobe 仿宋 Std R"/>
          <w:kern w:val="2"/>
          <w:sz w:val="32"/>
          <w:szCs w:val="32"/>
          <w:lang w:val="en-US" w:eastAsia="zh-CN" w:bidi="ar"/>
        </w:rPr>
        <w:t>一、</w:t>
      </w:r>
      <w:r>
        <w:rPr>
          <w:rFonts w:hint="default" w:ascii="Adobe 仿宋 Std R" w:hAnsi="Adobe 仿宋 Std R" w:eastAsia="Adobe 仿宋 Std R" w:cs="Times New Roman"/>
          <w:kern w:val="2"/>
          <w:sz w:val="32"/>
          <w:szCs w:val="32"/>
          <w:lang w:val="en-US" w:eastAsia="zh-CN" w:bidi="ar"/>
        </w:rPr>
        <w:t xml:space="preserve"> </w:t>
      </w:r>
      <w:r>
        <w:rPr>
          <w:rFonts w:hint="default" w:ascii="Adobe 仿宋 Std R" w:hAnsi="Adobe 仿宋 Std R" w:eastAsia="Adobe 仿宋 Std R" w:cs="Adobe 仿宋 Std R"/>
          <w:kern w:val="2"/>
          <w:sz w:val="32"/>
          <w:szCs w:val="32"/>
          <w:lang w:val="en-US" w:eastAsia="zh-CN" w:bidi="ar"/>
        </w:rPr>
        <w:t>庐山市第一小学非税收入支出</w:t>
      </w:r>
      <w:r>
        <w:rPr>
          <w:rFonts w:hint="eastAsia" w:ascii="Adobe 仿宋 Std R" w:hAnsi="Adobe 仿宋 Std R" w:eastAsia="Adobe 仿宋 Std R"/>
          <w:sz w:val="32"/>
          <w:szCs w:val="32"/>
        </w:rPr>
        <w:t xml:space="preserve"> </w:t>
      </w:r>
    </w:p>
    <w:p w14:paraId="21BB9CE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w:t>
      </w:r>
    </w:p>
    <w:p w14:paraId="2B61FAC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w:t>
      </w:r>
    </w:p>
    <w:p w14:paraId="507A3B5A">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0CAAB960">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《庐山市义务教育学校课后服务工作实施方案》（庐教体发〔2021〕92号）。</w:t>
      </w:r>
    </w:p>
    <w:p w14:paraId="287B9914">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4ED403D8">
      <w:pPr>
        <w:numPr>
          <w:ilvl w:val="0"/>
          <w:numId w:val="0"/>
        </w:numPr>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实施主体为全体教职工。</w:t>
      </w:r>
    </w:p>
    <w:p w14:paraId="0C9CBE47">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3CAF3F38">
      <w:pPr>
        <w:numPr>
          <w:ilvl w:val="0"/>
          <w:numId w:val="0"/>
        </w:numPr>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1.管理岗课时费（90%部分）</w:t>
      </w:r>
    </w:p>
    <w:p w14:paraId="61ADFD18">
      <w:pPr>
        <w:numPr>
          <w:ilvl w:val="0"/>
          <w:numId w:val="0"/>
        </w:numPr>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管理岗主要设：值日岗、班主任岗、后勤服务岗。</w:t>
      </w:r>
    </w:p>
    <w:p w14:paraId="3EA43311">
      <w:pPr>
        <w:numPr>
          <w:ilvl w:val="0"/>
          <w:numId w:val="0"/>
        </w:num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值日岗。主要由各学校校级领导或中层干部担任，原则上6个班（含6个班）以内设置一个值日岗位，16个班（含16个班）以内设置二个值日岗位，26个班（含26个班）以内设置三个值日岗位，以此类推设置（不得超过5人）。</w:t>
      </w:r>
    </w:p>
    <w:p w14:paraId="1043F25C">
      <w:pPr>
        <w:numPr>
          <w:ilvl w:val="0"/>
          <w:numId w:val="0"/>
        </w:numPr>
        <w:rPr>
          <w:rFonts w:hint="eastAsia" w:ascii="Adobe 仿宋 Std R" w:hAnsi="Adobe 仿宋 Std R" w:eastAsia="Adobe 仿宋 Std R"/>
          <w:sz w:val="32"/>
          <w:szCs w:val="32"/>
        </w:rPr>
      </w:pPr>
      <w:r>
        <w:rPr>
          <w:rFonts w:hint="eastAsia" w:ascii="Adobe 仿宋 Std R" w:hAnsi="Adobe 仿宋 Std R" w:eastAsia="Adobe 仿宋 Std R"/>
          <w:sz w:val="32"/>
          <w:szCs w:val="32"/>
        </w:rPr>
        <w:t>A = 值日折合月课时数（22节）×40元标准课时费/节×值日岗人数×实际课后托管服务月数（各校值日岗课时标准费可根据学校教学岗课时费适时调整，上限为教学课时费的80%，最高标准为40元/节）。</w:t>
      </w:r>
    </w:p>
    <w:p w14:paraId="199B45E0">
      <w:pPr>
        <w:numPr>
          <w:ilvl w:val="0"/>
          <w:numId w:val="0"/>
        </w:num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（2）班主任岗。按每生每学期10元作为班主任课后托管服务工作补助。</w:t>
      </w:r>
    </w:p>
    <w:p w14:paraId="4BC9F034">
      <w:pPr>
        <w:numPr>
          <w:ilvl w:val="0"/>
          <w:numId w:val="0"/>
        </w:numPr>
        <w:rPr>
          <w:rFonts w:hint="eastAsia" w:ascii="Adobe 仿宋 Std R" w:hAnsi="Adobe 仿宋 Std R" w:eastAsia="Adobe 仿宋 Std R"/>
          <w:sz w:val="32"/>
          <w:szCs w:val="32"/>
        </w:rPr>
      </w:pPr>
      <w:r>
        <w:rPr>
          <w:rFonts w:hint="eastAsia" w:ascii="Adobe 仿宋 Std R" w:hAnsi="Adobe 仿宋 Std R" w:eastAsia="Adobe 仿宋 Std R"/>
          <w:sz w:val="32"/>
          <w:szCs w:val="32"/>
        </w:rPr>
        <w:t>B =参与课后托管服务学生数×10元</w:t>
      </w:r>
    </w:p>
    <w:p w14:paraId="780A6C41">
      <w:pPr>
        <w:numPr>
          <w:ilvl w:val="0"/>
          <w:numId w:val="0"/>
        </w:num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后勤服务岗。由学校后勤人员（含保安）、中层干部或无课后托管服务课程的教师担任,职数由各学校根据需要自行设定。按每生每学期3元作为后勤服务人员课后托管服务工作补助，具体补助标准由学校根据后勤服务人员承担的工作实际确定，一般不超500元/月/人。</w:t>
      </w:r>
    </w:p>
    <w:p w14:paraId="55945CB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w:t>
      </w:r>
    </w:p>
    <w:p w14:paraId="1505134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每次课后服务以一个学期为周期。</w:t>
      </w:r>
    </w:p>
    <w:p w14:paraId="786D67C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0D1FF598">
      <w:pPr>
        <w:ind w:firstLine="642"/>
        <w:rPr>
          <w:rFonts w:ascii="Adobe 仿宋 Std R" w:hAnsi="Adobe 仿宋 Std R" w:eastAsia="Adobe 仿宋 Std R"/>
          <w:color w:val="auto"/>
          <w:sz w:val="32"/>
          <w:szCs w:val="32"/>
        </w:rPr>
      </w:pPr>
      <w:r>
        <w:rPr>
          <w:rStyle w:val="11"/>
          <w:rFonts w:hint="eastAsia" w:ascii="仿宋" w:hAnsi="仿宋" w:eastAsia="仿宋"/>
          <w:sz w:val="32"/>
          <w:szCs w:val="32"/>
          <w:lang w:val="en-US" w:eastAsia="zh-CN"/>
        </w:rPr>
        <w:t>2024年课后服务总预算收入为42.08万元，其中其他商品与服务支出35.08万元，劳务费7万元。</w:t>
      </w:r>
    </w:p>
    <w:p w14:paraId="34FA9D6C">
      <w:pPr>
        <w:keepNext w:val="0"/>
        <w:keepLines w:val="0"/>
        <w:widowControl w:val="0"/>
        <w:suppressLineNumbers w:val="0"/>
        <w:spacing w:before="0" w:beforeAutospacing="0" w:after="0" w:afterAutospacing="0"/>
        <w:ind w:left="0" w:leftChars="0" w:right="0"/>
        <w:jc w:val="both"/>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二、庐山市第一小学城乡义务教育生均公用经费（小学）_基本民生保障需求</w:t>
      </w:r>
    </w:p>
    <w:p w14:paraId="5BB598A1">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1）项目概述：城乡义务教育生均公用经费(小学）市级补助资金主要用于保障中小学正常运转，在教学活动、后勤服务和防疫等方面开支，并按少先队员人均不低于30元标准保障少先队工作、活动和辅导员培训经费。</w:t>
      </w:r>
    </w:p>
    <w:p w14:paraId="556CDC68">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2）立项依据：庐财教指【2024】41号</w:t>
      </w:r>
    </w:p>
    <w:p w14:paraId="0B861308">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3）实施主体：庐山市第一小学</w:t>
      </w:r>
    </w:p>
    <w:p w14:paraId="64F73519">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4）实施方案：用于教学业务与管理、教师培训、文体活动、水电、维修、办公设备购置等等。</w:t>
      </w:r>
    </w:p>
    <w:p w14:paraId="027F0D14">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Times New Roman"/>
          <w:kern w:val="2"/>
          <w:sz w:val="32"/>
          <w:szCs w:val="32"/>
          <w:lang w:val="en-US" w:eastAsia="zh-CN" w:bidi="ar"/>
        </w:rPr>
        <w:t xml:space="preserve"> </w:t>
      </w:r>
      <w:r>
        <w:rPr>
          <w:rFonts w:hint="default" w:ascii="Adobe 仿宋 Std R" w:hAnsi="Adobe 仿宋 Std R" w:eastAsia="Adobe 仿宋 Std R" w:cs="Adobe 仿宋 Std R"/>
          <w:kern w:val="2"/>
          <w:sz w:val="32"/>
          <w:szCs w:val="32"/>
          <w:lang w:val="en-US" w:eastAsia="zh-CN" w:bidi="ar"/>
        </w:rPr>
        <w:t>5）实施周期：2025年1月1日-2025年12月31日</w:t>
      </w:r>
    </w:p>
    <w:p w14:paraId="6A9756D5">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Adobe 仿宋 Std R"/>
          <w:kern w:val="2"/>
          <w:sz w:val="32"/>
          <w:szCs w:val="32"/>
        </w:rPr>
      </w:pPr>
      <w:r>
        <w:rPr>
          <w:rFonts w:hint="default" w:ascii="Adobe 仿宋 Std R" w:hAnsi="Adobe 仿宋 Std R" w:eastAsia="Adobe 仿宋 Std R" w:cs="Times New Roman"/>
          <w:kern w:val="2"/>
          <w:sz w:val="32"/>
          <w:szCs w:val="32"/>
          <w:lang w:val="en-US" w:eastAsia="zh-CN" w:bidi="ar"/>
        </w:rPr>
        <w:t xml:space="preserve"> 6</w:t>
      </w:r>
      <w:r>
        <w:rPr>
          <w:rFonts w:hint="default" w:ascii="Adobe 仿宋 Std R" w:hAnsi="Adobe 仿宋 Std R" w:eastAsia="Adobe 仿宋 Std R" w:cs="Adobe 仿宋 Std R"/>
          <w:kern w:val="2"/>
          <w:sz w:val="32"/>
          <w:szCs w:val="32"/>
          <w:lang w:val="en-US" w:eastAsia="zh-CN" w:bidi="ar"/>
        </w:rPr>
        <w:t>）年度预算安排：25万元</w:t>
      </w:r>
    </w:p>
    <w:p w14:paraId="41AB6182">
      <w:pPr>
        <w:widowControl/>
        <w:spacing w:line="580" w:lineRule="exact"/>
        <w:jc w:val="left"/>
        <w:rPr>
          <w:rFonts w:ascii="Adobe 仿宋 Std R" w:hAnsi="Adobe 仿宋 Std R" w:eastAsia="Adobe 仿宋 Std R"/>
          <w:color w:val="auto"/>
          <w:sz w:val="32"/>
          <w:szCs w:val="32"/>
        </w:rPr>
      </w:pPr>
    </w:p>
    <w:p w14:paraId="0B4D8C54">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378EA2B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庐山市第一小学</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0</w:t>
      </w:r>
      <w:r>
        <w:rPr>
          <w:rFonts w:hint="eastAsia" w:ascii="仿宋" w:hAnsi="仿宋" w:eastAsia="仿宋"/>
          <w:bCs/>
          <w:color w:val="auto"/>
          <w:sz w:val="32"/>
          <w:szCs w:val="32"/>
        </w:rPr>
        <w:t>万元，其中：</w:t>
      </w:r>
    </w:p>
    <w:p w14:paraId="3D4E5CE3">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Style w:val="11"/>
          <w:rFonts w:hint="eastAsia" w:ascii="仿宋" w:hAnsi="仿宋" w:eastAsia="仿宋"/>
          <w:b w:val="0"/>
          <w:bCs/>
          <w:color w:val="auto"/>
          <w:sz w:val="32"/>
          <w:szCs w:val="32"/>
        </w:rPr>
        <w:t>与上年安排保持一致</w:t>
      </w:r>
      <w:r>
        <w:rPr>
          <w:rFonts w:ascii="仿宋" w:hAnsi="仿宋" w:eastAsia="仿宋"/>
          <w:bCs/>
          <w:color w:val="auto"/>
          <w:sz w:val="32"/>
          <w:szCs w:val="32"/>
        </w:rPr>
        <w:t>。</w:t>
      </w:r>
    </w:p>
    <w:p w14:paraId="4427CC64">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Style w:val="11"/>
          <w:rFonts w:hint="eastAsia" w:ascii="仿宋" w:hAnsi="仿宋" w:eastAsia="仿宋"/>
          <w:b w:val="0"/>
          <w:bCs/>
          <w:color w:val="auto"/>
          <w:sz w:val="32"/>
          <w:szCs w:val="32"/>
        </w:rPr>
        <w:t>与上年安排保持一致</w:t>
      </w:r>
      <w:r>
        <w:rPr>
          <w:rFonts w:ascii="仿宋" w:hAnsi="仿宋" w:eastAsia="仿宋"/>
          <w:bCs/>
          <w:color w:val="auto"/>
          <w:sz w:val="32"/>
          <w:szCs w:val="32"/>
        </w:rPr>
        <w:t>。</w:t>
      </w:r>
    </w:p>
    <w:p w14:paraId="72B96DEC">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Style w:val="11"/>
          <w:rFonts w:hint="eastAsia" w:ascii="仿宋" w:hAnsi="仿宋" w:eastAsia="仿宋"/>
          <w:b w:val="0"/>
          <w:bCs/>
          <w:color w:val="auto"/>
          <w:sz w:val="32"/>
          <w:szCs w:val="32"/>
        </w:rPr>
        <w:t>与上年安排保持一致</w:t>
      </w:r>
      <w:r>
        <w:rPr>
          <w:rFonts w:ascii="仿宋" w:hAnsi="仿宋" w:eastAsia="仿宋"/>
          <w:bCs/>
          <w:color w:val="auto"/>
          <w:sz w:val="32"/>
          <w:szCs w:val="32"/>
        </w:rPr>
        <w:t>。</w:t>
      </w:r>
    </w:p>
    <w:p w14:paraId="0D2BA0FE">
      <w:pPr>
        <w:ind w:firstLine="640" w:firstLineChars="200"/>
        <w:jc w:val="left"/>
        <w:rPr>
          <w:rStyle w:val="11"/>
          <w:rFonts w:hint="eastAsia" w:ascii="仿宋" w:hAnsi="仿宋" w:eastAsia="仿宋"/>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Style w:val="11"/>
          <w:rFonts w:hint="eastAsia" w:ascii="仿宋" w:hAnsi="仿宋" w:eastAsia="仿宋"/>
          <w:b w:val="0"/>
          <w:bCs/>
          <w:color w:val="auto"/>
          <w:sz w:val="32"/>
          <w:szCs w:val="32"/>
        </w:rPr>
        <w:t>与上年安排保持一致</w:t>
      </w:r>
      <w:r>
        <w:rPr>
          <w:rFonts w:ascii="仿宋" w:hAnsi="仿宋" w:eastAsia="仿宋"/>
          <w:bCs/>
          <w:color w:val="auto"/>
          <w:sz w:val="32"/>
          <w:szCs w:val="32"/>
        </w:rPr>
        <w:t>。</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${page400644146.ds215660413_REP_BGT_T_HC1100002019_DXQ02_ZCSGGZ}</w:instrText>
      </w:r>
      <w:r>
        <w:rPr>
          <w:rFonts w:ascii="仿宋" w:hAnsi="仿宋" w:eastAsia="仿宋"/>
          <w:bCs/>
          <w:color w:val="auto"/>
          <w:sz w:val="32"/>
          <w:szCs w:val="32"/>
        </w:rPr>
        <w:fldChar w:fldCharType="end"/>
      </w:r>
    </w:p>
    <w:p w14:paraId="4ABACB0E">
      <w:pPr>
        <w:widowControl/>
        <w:spacing w:line="580" w:lineRule="exact"/>
        <w:ind w:firstLine="636"/>
        <w:jc w:val="left"/>
        <w:rPr>
          <w:rStyle w:val="11"/>
          <w:rFonts w:hint="eastAsia" w:ascii="仿宋" w:hAnsi="仿宋" w:eastAsia="仿宋"/>
          <w:color w:val="auto"/>
          <w:sz w:val="32"/>
          <w:szCs w:val="32"/>
        </w:rPr>
      </w:pPr>
    </w:p>
    <w:p w14:paraId="490A3954">
      <w:pPr>
        <w:widowControl/>
        <w:spacing w:line="580" w:lineRule="exact"/>
        <w:ind w:firstLine="636"/>
        <w:jc w:val="left"/>
        <w:rPr>
          <w:rStyle w:val="11"/>
          <w:rFonts w:hint="eastAsia" w:ascii="仿宋" w:hAnsi="仿宋" w:eastAsia="仿宋"/>
          <w:color w:val="auto"/>
          <w:sz w:val="32"/>
          <w:szCs w:val="32"/>
        </w:rPr>
      </w:pPr>
    </w:p>
    <w:p w14:paraId="1B007772">
      <w:pPr>
        <w:widowControl/>
        <w:shd w:val="clear" w:color="auto" w:fill="FFFFFF"/>
        <w:spacing w:line="640" w:lineRule="atLeast"/>
        <w:jc w:val="both"/>
        <w:rPr>
          <w:rFonts w:ascii="仿宋_GB2312" w:eastAsia="仿宋_GB2312"/>
          <w:b/>
          <w:color w:val="auto"/>
          <w:sz w:val="32"/>
          <w:szCs w:val="30"/>
        </w:rPr>
      </w:pPr>
    </w:p>
    <w:p w14:paraId="08F8B793">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1DA4C345">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1F19F725">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color w:val="auto"/>
          <w:sz w:val="32"/>
          <w:szCs w:val="32"/>
        </w:rPr>
      </w:pPr>
    </w:p>
    <w:p w14:paraId="5E849E46">
      <w:pPr>
        <w:ind w:firstLine="640" w:firstLineChars="200"/>
        <w:rPr>
          <w:rFonts w:ascii="Adobe 仿宋 Std R" w:hAnsi="Adobe 仿宋 Std R" w:eastAsia="Adobe 仿宋 Std R"/>
          <w:color w:val="auto"/>
          <w:sz w:val="32"/>
          <w:szCs w:val="32"/>
        </w:rPr>
      </w:pPr>
    </w:p>
    <w:p w14:paraId="5234610A">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4EE214C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7015DFCB">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auto"/>
          <w:sz w:val="32"/>
          <w:szCs w:val="30"/>
          <w:lang w:val="en-US" w:eastAsia="zh-CN"/>
        </w:rPr>
      </w:pP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597AA4A3"/>
    <w:multiLevelType w:val="singleLevel"/>
    <w:tmpl w:val="597AA4A3"/>
    <w:lvl w:ilvl="0" w:tentative="0">
      <w:start w:val="2"/>
      <w:numFmt w:val="decimal"/>
      <w:suff w:val="nothing"/>
      <w:lvlText w:val="%1）"/>
      <w:lvlJc w:val="left"/>
      <w:pPr>
        <w:ind w:left="1122"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A31297F"/>
    <w:rsid w:val="0C97247A"/>
    <w:rsid w:val="0D1A7920"/>
    <w:rsid w:val="0D2269B3"/>
    <w:rsid w:val="0DB3098E"/>
    <w:rsid w:val="11C834CE"/>
    <w:rsid w:val="12220323"/>
    <w:rsid w:val="13FB007C"/>
    <w:rsid w:val="16B036C0"/>
    <w:rsid w:val="1A705E7F"/>
    <w:rsid w:val="1ABF2D84"/>
    <w:rsid w:val="1E172FD7"/>
    <w:rsid w:val="1E491A3B"/>
    <w:rsid w:val="1F1F7406"/>
    <w:rsid w:val="2041645E"/>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126768"/>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C55273C"/>
    <w:rsid w:val="5EA31F07"/>
    <w:rsid w:val="5EDA0640"/>
    <w:rsid w:val="5F193B70"/>
    <w:rsid w:val="61D17BB5"/>
    <w:rsid w:val="61E31A71"/>
    <w:rsid w:val="62283DE4"/>
    <w:rsid w:val="62D1199B"/>
    <w:rsid w:val="63E33020"/>
    <w:rsid w:val="656229B9"/>
    <w:rsid w:val="658856FB"/>
    <w:rsid w:val="67B10C38"/>
    <w:rsid w:val="67DC7D34"/>
    <w:rsid w:val="68E97589"/>
    <w:rsid w:val="69FC398E"/>
    <w:rsid w:val="6BE248E5"/>
    <w:rsid w:val="6BF77C5B"/>
    <w:rsid w:val="6C617282"/>
    <w:rsid w:val="6CCB135B"/>
    <w:rsid w:val="6EAF555B"/>
    <w:rsid w:val="6EDB6140"/>
    <w:rsid w:val="6F2C7111"/>
    <w:rsid w:val="714A36AC"/>
    <w:rsid w:val="71AF11DD"/>
    <w:rsid w:val="72746F20"/>
    <w:rsid w:val="73543105"/>
    <w:rsid w:val="73A85115"/>
    <w:rsid w:val="759E1500"/>
    <w:rsid w:val="7C1C38B8"/>
    <w:rsid w:val="7D1C2D3E"/>
    <w:rsid w:val="7D690EE2"/>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4713</Words>
  <Characters>5041</Characters>
  <Lines>53</Lines>
  <Paragraphs>15</Paragraphs>
  <TotalTime>13</TotalTime>
  <ScaleCrop>false</ScaleCrop>
  <LinksUpToDate>false</LinksUpToDate>
  <CharactersWithSpaces>5100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芒果样的粉红</cp:lastModifiedBy>
  <dcterms:modified xsi:type="dcterms:W3CDTF">2025-01-08T08:38:53Z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CEDD3DB28DF5481580EDA17E6969E9AC_13</vt:lpwstr>
  </property>
  <property fmtid="{D5CDD505-2E9C-101B-9397-08002B2CF9AE}" pid="4" name="KSOTemplateDocerSaveRecord">
    <vt:lpwstr>eyJoZGlkIjoiMzEwNTM5NzYwMDRjMzkwZTVkZjY2ODkwMGIxNGU0OTUiLCJ1c2VySWQiOiI1NzI2MDgxNDEifQ==</vt:lpwstr>
  </property>
</Properties>
</file>