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F61547">
      <w:pPr>
        <w:rPr>
          <w:rFonts w:hint="eastAsia" w:ascii="黑体" w:hAnsi="黑体" w:eastAsia="黑体" w:cs="黑体"/>
          <w:kern w:val="0"/>
          <w:sz w:val="44"/>
          <w:szCs w:val="44"/>
        </w:rPr>
      </w:pPr>
      <w:r>
        <w:rPr>
          <w:rFonts w:hint="eastAsia" w:ascii="黑体" w:hAnsi="黑体" w:eastAsia="黑体" w:cs="黑体"/>
          <w:b/>
          <w:bCs/>
          <w:kern w:val="0"/>
          <w:sz w:val="44"/>
          <w:szCs w:val="44"/>
        </w:rPr>
        <w:fldChar w:fldCharType="begin"/>
      </w:r>
      <w:r>
        <w:rPr>
          <w:rFonts w:hint="eastAsia" w:ascii="黑体" w:hAnsi="黑体" w:eastAsia="黑体" w:cs="黑体"/>
          <w:b/>
          <w:bCs/>
          <w:kern w:val="0"/>
          <w:sz w:val="44"/>
          <w:szCs w:val="44"/>
        </w:rPr>
        <w:instrText xml:space="preserve">MERGEFIELD ${page540426799.ds254512694_REP_JXJC_AGENCY_WZR_NAME}</w:instrText>
      </w:r>
      <w:r>
        <w:rPr>
          <w:rFonts w:hint="eastAsia" w:ascii="黑体" w:hAnsi="黑体" w:eastAsia="黑体" w:cs="黑体"/>
          <w:b/>
          <w:bCs/>
          <w:kern w:val="0"/>
          <w:sz w:val="44"/>
          <w:szCs w:val="44"/>
        </w:rPr>
        <w:fldChar w:fldCharType="separate"/>
      </w:r>
      <w:r>
        <w:rPr>
          <w:rFonts w:hint="eastAsia" w:ascii="黑体" w:hAnsi="黑体" w:eastAsia="黑体" w:cs="黑体"/>
          <w:b/>
          <w:bCs/>
          <w:kern w:val="0"/>
          <w:sz w:val="44"/>
          <w:szCs w:val="44"/>
        </w:rPr>
        <w:t>庐山市海会中学</w:t>
      </w:r>
      <w:r>
        <w:rPr>
          <w:rFonts w:hint="eastAsia" w:ascii="黑体" w:hAnsi="黑体" w:eastAsia="黑体" w:cs="黑体"/>
          <w:b/>
          <w:bCs/>
          <w:sz w:val="44"/>
          <w:szCs w:val="44"/>
        </w:rPr>
        <w:fldChar w:fldCharType="end"/>
      </w:r>
      <w:r>
        <w:rPr>
          <w:rFonts w:hint="eastAsia" w:ascii="黑体" w:hAnsi="黑体" w:eastAsia="黑体" w:cs="黑体"/>
          <w:b/>
          <w:bCs/>
          <w:kern w:val="0"/>
          <w:sz w:val="44"/>
          <w:szCs w:val="44"/>
        </w:rPr>
        <w:t>2025年单位预算</w:t>
      </w:r>
    </w:p>
    <w:p w14:paraId="0B9567F7">
      <w:pPr>
        <w:pStyle w:val="14"/>
      </w:pPr>
    </w:p>
    <w:p w14:paraId="3A8BF689">
      <w:pPr>
        <w:pStyle w:val="14"/>
        <w:ind w:firstLine="2947" w:firstLineChars="921"/>
        <w:rPr>
          <w:rFonts w:hint="eastAsia" w:ascii="黑体" w:hAnsi="黑体" w:eastAsia="黑体" w:cs="黑体"/>
        </w:rPr>
      </w:pPr>
      <w:r>
        <w:rPr>
          <w:rFonts w:hint="eastAsia" w:ascii="黑体" w:hAnsi="黑体" w:eastAsia="黑体" w:cs="黑体"/>
        </w:rPr>
        <w:t>目    录</w:t>
      </w:r>
    </w:p>
    <w:p w14:paraId="25AE0D3A">
      <w:pPr>
        <w:pStyle w:val="14"/>
      </w:pPr>
    </w:p>
    <w:p w14:paraId="1C822ECB">
      <w:pPr>
        <w:pStyle w:val="14"/>
        <w:rPr>
          <w:rFonts w:hint="eastAsia" w:ascii="仿宋" w:hAnsi="仿宋" w:eastAsia="仿宋" w:cs="仿宋"/>
          <w:b/>
          <w:bCs/>
        </w:rPr>
      </w:pPr>
      <w:r>
        <w:rPr>
          <w:rFonts w:hint="eastAsia" w:ascii="仿宋_GB2312" w:hAnsi="仿宋_GB2312" w:eastAsia="仿宋_GB2312" w:cs="仿宋_GB2312"/>
          <w:b/>
          <w:bCs/>
        </w:rPr>
        <w:t xml:space="preserve">第一部分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概况</w:t>
      </w:r>
      <w:r>
        <w:rPr>
          <w:rFonts w:hint="eastAsia" w:ascii="仿宋" w:hAnsi="仿宋" w:eastAsia="仿宋" w:cs="仿宋"/>
          <w:b/>
          <w:bCs/>
        </w:rPr>
        <w:tab/>
      </w:r>
    </w:p>
    <w:p w14:paraId="4309E700">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一、单位主要职责</w:t>
      </w:r>
    </w:p>
    <w:p w14:paraId="54AF78EC">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二、机构设置及人员情况</w:t>
      </w:r>
    </w:p>
    <w:p w14:paraId="28C5EE81">
      <w:pPr>
        <w:pStyle w:val="14"/>
        <w:rPr>
          <w:rFonts w:hint="eastAsia" w:ascii="仿宋_GB2312" w:hAnsi="仿宋_GB2312" w:eastAsia="仿宋_GB2312" w:cs="仿宋_GB2312"/>
          <w:b/>
          <w:bCs/>
        </w:rPr>
      </w:pPr>
      <w:r>
        <w:rPr>
          <w:rFonts w:hint="eastAsia" w:ascii="仿宋_GB2312" w:hAnsi="仿宋_GB2312" w:eastAsia="仿宋_GB2312" w:cs="仿宋_GB2312"/>
          <w:b/>
          <w:bCs/>
        </w:rPr>
        <w:t xml:space="preserve">第二部分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2025年单位预算表</w:t>
      </w:r>
    </w:p>
    <w:p w14:paraId="0DD37921">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一、《收支预算总表》</w:t>
      </w:r>
    </w:p>
    <w:p w14:paraId="686E14C0">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二、《单位收入总表》</w:t>
      </w:r>
    </w:p>
    <w:p w14:paraId="2C21FF1F">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三、《单位支出总表》</w:t>
      </w:r>
    </w:p>
    <w:p w14:paraId="155A2F5F">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四、《财政拨款收支总表》</w:t>
      </w:r>
    </w:p>
    <w:p w14:paraId="465C93AB">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五、《一般公共预算支出表》</w:t>
      </w:r>
    </w:p>
    <w:p w14:paraId="279E0804">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六、《一般公共预算基本支出表》</w:t>
      </w:r>
    </w:p>
    <w:p w14:paraId="2F45F37D">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七、《财政拨款“三公”经费支出表》</w:t>
      </w:r>
    </w:p>
    <w:p w14:paraId="143049DA">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八、《政府性基金预算支出表》</w:t>
      </w:r>
    </w:p>
    <w:p w14:paraId="1991D1E6">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九、《国有资本经营预算支出表》</w:t>
      </w:r>
      <w:r>
        <w:rPr>
          <w:rFonts w:hint="eastAsia" w:ascii="Adobe 仿宋 Std R" w:hAnsi="Adobe 仿宋 Std R" w:eastAsia="Adobe 仿宋 Std R" w:cs="Adobe 仿宋 Std R"/>
          <w:kern w:val="2"/>
        </w:rPr>
        <w:tab/>
      </w:r>
    </w:p>
    <w:p w14:paraId="682CE385">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十、《项目绩效目标表》</w:t>
      </w:r>
    </w:p>
    <w:p w14:paraId="4D02CC32">
      <w:pPr>
        <w:pStyle w:val="14"/>
        <w:rPr>
          <w:rFonts w:hint="eastAsia" w:ascii="仿宋_GB2312" w:hAnsi="仿宋_GB2312" w:eastAsia="仿宋_GB2312" w:cs="仿宋_GB2312"/>
          <w:b/>
          <w:bCs/>
        </w:rPr>
      </w:pPr>
      <w:r>
        <w:rPr>
          <w:rFonts w:hint="eastAsia" w:ascii="仿宋_GB2312" w:hAnsi="仿宋_GB2312" w:eastAsia="仿宋_GB2312" w:cs="仿宋_GB2312"/>
          <w:b/>
          <w:bCs/>
        </w:rPr>
        <w:t xml:space="preserve">第三部分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2025年单位预算情况说明</w:t>
      </w:r>
    </w:p>
    <w:p w14:paraId="74DEC2A8">
      <w:pPr>
        <w:pStyle w:val="14"/>
        <w:ind w:firstLine="1347" w:firstLineChars="421"/>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一、2025年单位预算收支情况说明</w:t>
      </w:r>
    </w:p>
    <w:p w14:paraId="02C8FFE2">
      <w:pPr>
        <w:pStyle w:val="14"/>
        <w:rPr>
          <w:rFonts w:hint="eastAsia" w:ascii="Adobe 仿宋 Std R" w:hAnsi="Adobe 仿宋 Std R" w:eastAsia="Adobe 仿宋 Std R" w:cs="Adobe 仿宋 Std R"/>
          <w:kern w:val="2"/>
        </w:rPr>
      </w:pPr>
      <w:r>
        <w:rPr>
          <w:rFonts w:hint="eastAsia" w:ascii="Adobe 仿宋 Std R" w:hAnsi="Adobe 仿宋 Std R" w:eastAsia="Adobe 仿宋 Std R" w:cs="Adobe 仿宋 Std R"/>
          <w:kern w:val="2"/>
        </w:rPr>
        <w:t xml:space="preserve"> </w:t>
      </w:r>
      <w:r>
        <w:rPr>
          <w:rFonts w:hint="eastAsia" w:ascii="Adobe 仿宋 Std R" w:hAnsi="Adobe 仿宋 Std R" w:eastAsia="Adobe 仿宋 Std R" w:cs="Adobe 仿宋 Std R"/>
          <w:kern w:val="2"/>
          <w:lang w:val="en-US" w:eastAsia="zh-CN"/>
        </w:rPr>
        <w:t xml:space="preserve">   </w:t>
      </w:r>
      <w:r>
        <w:rPr>
          <w:rFonts w:hint="eastAsia" w:ascii="Adobe 仿宋 Std R" w:hAnsi="Adobe 仿宋 Std R" w:eastAsia="Adobe 仿宋 Std R" w:cs="Adobe 仿宋 Std R"/>
          <w:kern w:val="2"/>
        </w:rPr>
        <w:t>二、2025年“三公”经费预算情况说明</w:t>
      </w:r>
    </w:p>
    <w:p w14:paraId="34A04417">
      <w:pPr>
        <w:pStyle w:val="14"/>
        <w:rPr>
          <w:rFonts w:hint="eastAsia" w:ascii="Adobe 仿宋 Std R" w:hAnsi="Adobe 仿宋 Std R" w:eastAsia="Adobe 仿宋 Std R" w:cs="Adobe 仿宋 Std R"/>
          <w:kern w:val="2"/>
        </w:rPr>
      </w:pPr>
    </w:p>
    <w:p w14:paraId="17B11992">
      <w:pPr>
        <w:pStyle w:val="14"/>
        <w:rPr>
          <w:rFonts w:hint="eastAsia" w:ascii="仿宋_GB2312" w:hAnsi="仿宋_GB2312" w:eastAsia="仿宋_GB2312" w:cs="仿宋_GB2312"/>
          <w:b/>
          <w:bCs/>
        </w:rPr>
      </w:pPr>
      <w:r>
        <w:rPr>
          <w:rFonts w:hint="eastAsia" w:ascii="仿宋_GB2312" w:hAnsi="仿宋_GB2312" w:eastAsia="仿宋_GB2312" w:cs="仿宋_GB2312"/>
          <w:b/>
          <w:bCs/>
        </w:rPr>
        <w:t>第四部分  名词解释</w:t>
      </w:r>
    </w:p>
    <w:p w14:paraId="20959D9D"/>
    <w:p w14:paraId="35013B2C"/>
    <w:p w14:paraId="560761C2">
      <w:pPr>
        <w:ind w:firstLine="1674" w:firstLineChars="521"/>
        <w:rPr>
          <w:rFonts w:hint="eastAsia" w:ascii="仿宋_GB2312" w:hAnsi="仿宋_GB2312" w:eastAsia="仿宋_GB2312" w:cs="仿宋_GB2312"/>
          <w:b/>
          <w:bCs/>
        </w:rPr>
      </w:pPr>
      <w:r>
        <w:rPr>
          <w:rFonts w:hint="eastAsia" w:ascii="仿宋_GB2312" w:hAnsi="仿宋_GB2312" w:eastAsia="仿宋_GB2312" w:cs="仿宋_GB2312"/>
          <w:b/>
          <w:bCs/>
        </w:rPr>
        <w:t xml:space="preserve">第一部分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概况</w:t>
      </w:r>
    </w:p>
    <w:p w14:paraId="56EF5C1C"/>
    <w:p w14:paraId="5E553E70">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一、单位主要职责</w:t>
      </w:r>
    </w:p>
    <w:p w14:paraId="1A550B23">
      <w:pPr>
        <w:rPr>
          <w:rFonts w:hint="eastAsia" w:ascii="Adobe 仿宋 Std R" w:hAnsi="Adobe 仿宋 Std R" w:eastAsia="Adobe 仿宋 Std R" w:cs="Adobe 仿宋 Std R"/>
        </w:rPr>
      </w:pPr>
      <w:r>
        <w:rPr>
          <w:rFonts w:hint="eastAsia" w:ascii="Adobe 仿宋 Std R" w:hAnsi="Adobe 仿宋 Std R" w:eastAsia="Adobe 仿宋 Std R" w:cs="Adobe 仿宋 Std R"/>
        </w:rPr>
        <w:t>庐山市海会中学是一所公办三年制初级中学，主要职责是：</w:t>
      </w:r>
    </w:p>
    <w:p w14:paraId="4B7DBCBD">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（一）贯彻落实党的教育和体育工作的方针、政策、法律和法规。</w:t>
      </w:r>
    </w:p>
    <w:p w14:paraId="7804591E">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（二）编制海会镇中学教育事业发展规划、计划的实施，理顺教育内部和外部的关系，建立适应全镇经济社会发展的教育体制及运营机制。</w:t>
      </w:r>
    </w:p>
    <w:p w14:paraId="64D823E3">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（三）综合管理中学教育教学工作，负责教育督导与评估。</w:t>
      </w:r>
    </w:p>
    <w:p w14:paraId="1338E50A">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（四）负责推进教育均衡发展和促进教育公平，全面实施素质教育。</w:t>
      </w:r>
    </w:p>
    <w:p w14:paraId="18892626">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rPr>
        <w:t>（五）负责海会中学教师队伍建设和教师继续教育工作；负责教师管理工作，组织实施教师资格制度；负责管理语言文字工作；指导和组织推广普通话和规范汉字书写工作；参与拟订海会中学机构编制、人事管理、工资福利、收入分配的有关政策；承担教师资格认定申报工作；在庐山市教体局的指导下接受大中专院校毕业生就业工作。</w:t>
      </w:r>
    </w:p>
    <w:p w14:paraId="6B4A5B28">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（六）统筹管理本单位教育经费，会同有关单位拟定筹措教育经费、教育基建投资的规划，按有关规定管理中央、省、市对海会中学的教育拨款及捐赠资金使用管理情况。</w:t>
      </w:r>
    </w:p>
    <w:p w14:paraId="07B25294">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（七）协助有关单位指导学校的思想政治工作、德育工作、体育卫生艺术教育及国防教育工作，统筹协调学校的安全稳定工作。</w:t>
      </w:r>
    </w:p>
    <w:p w14:paraId="6DDCDD1C">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（八）承担海会中学信息化建设和现代远程教育及校园网络建设工作。承担学校教育基本信息的统计、分析和发布。</w:t>
      </w:r>
    </w:p>
    <w:p w14:paraId="48D3D65A">
      <w:pPr>
        <w:rPr>
          <w:rFonts w:hint="eastAsia" w:ascii="Adobe 仿宋 Std R" w:hAnsi="Adobe 仿宋 Std R" w:eastAsia="Adobe 仿宋 Std R" w:cs="Adobe 仿宋 Std R"/>
          <w:kern w:val="0"/>
        </w:rPr>
      </w:pPr>
      <w:r>
        <w:rPr>
          <w:rFonts w:hint="eastAsia" w:ascii="Adobe 仿宋 Std R" w:hAnsi="Adobe 仿宋 Std R" w:eastAsia="Adobe 仿宋 Std R" w:cs="Adobe 仿宋 Std R"/>
          <w:kern w:val="0"/>
        </w:rPr>
        <w:t>（九）统筹规划竞技体育发展，组织安排各类赛事。</w:t>
      </w:r>
    </w:p>
    <w:p w14:paraId="2CA50DD6">
      <w:pPr>
        <w:rPr>
          <w:kern w:val="0"/>
        </w:rPr>
      </w:pPr>
      <w:r>
        <w:rPr>
          <w:rFonts w:hint="eastAsia" w:ascii="Adobe 仿宋 Std R" w:hAnsi="Adobe 仿宋 Std R" w:eastAsia="Adobe 仿宋 Std R" w:cs="Adobe 仿宋 Std R"/>
          <w:kern w:val="0"/>
        </w:rPr>
        <w:t>（十）实施全民健身计划，指导群众性体育活动的发展，实施国家体育锻炼标准，开展国民体质监测；加强社区体育工作，正确引导群众的健身活动；</w:t>
      </w:r>
    </w:p>
    <w:p w14:paraId="15784971">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二、机构设置及人员情况</w:t>
      </w:r>
    </w:p>
    <w:p w14:paraId="4DC3CB33">
      <w:r>
        <w:rPr>
          <w:rFonts w:hint="eastAsia"/>
        </w:rPr>
        <w:t>2025年庐山市海会中学内设处室5个:校委会、德育处、教务处、总务处、保卫科。</w:t>
      </w:r>
    </w:p>
    <w:p w14:paraId="15F8E6CF">
      <w:pPr>
        <w:rPr>
          <w:rFonts w:hint="eastAsia"/>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sz w:val="32"/>
          <w:szCs w:val="32"/>
          <w:lang w:val="en-US" w:eastAsia="zh-CN"/>
        </w:rPr>
        <w:t>32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hint="eastAsia"/>
          <w:sz w:val="32"/>
          <w:szCs w:val="32"/>
          <w:lang w:val="en-US" w:eastAsia="zh-CN"/>
        </w:rPr>
        <w:t>事业</w:t>
      </w:r>
      <w:r>
        <w:rPr>
          <w:rFonts w:ascii="仿宋" w:hAnsi="仿宋" w:eastAsia="仿宋"/>
          <w:sz w:val="32"/>
          <w:szCs w:val="32"/>
        </w:rPr>
        <w:t>编制人数</w:t>
      </w:r>
      <w:r>
        <w:rPr>
          <w:rFonts w:hint="eastAsia"/>
          <w:sz w:val="32"/>
          <w:szCs w:val="32"/>
          <w:lang w:val="en-US" w:eastAsia="zh-CN"/>
        </w:rPr>
        <w:t>32</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sz w:val="32"/>
          <w:szCs w:val="32"/>
          <w:lang w:val="en-US" w:eastAsia="zh-CN"/>
        </w:rPr>
        <w:t>31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sz w:val="32"/>
          <w:szCs w:val="32"/>
          <w:lang w:val="en-US" w:eastAsia="zh-CN"/>
        </w:rPr>
        <w:t>31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hint="eastAsia"/>
          <w:sz w:val="32"/>
          <w:szCs w:val="32"/>
          <w:lang w:val="en-US" w:eastAsia="zh-CN"/>
        </w:rPr>
        <w:t>事业</w:t>
      </w:r>
      <w:r>
        <w:rPr>
          <w:rFonts w:ascii="仿宋" w:hAnsi="仿宋" w:eastAsia="仿宋"/>
          <w:sz w:val="32"/>
          <w:szCs w:val="32"/>
        </w:rPr>
        <w:t>在职人数</w:t>
      </w:r>
      <w:r>
        <w:rPr>
          <w:rFonts w:hint="eastAsia"/>
          <w:sz w:val="32"/>
          <w:szCs w:val="32"/>
          <w:lang w:val="en-US" w:eastAsia="zh-CN"/>
        </w:rPr>
        <w:t>31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sz w:val="32"/>
          <w:szCs w:val="32"/>
          <w:lang w:val="en-US" w:eastAsia="zh-CN"/>
        </w:rPr>
        <w:t>0</w:t>
      </w:r>
      <w:r>
        <w:rPr>
          <w:rFonts w:ascii="仿宋" w:hAnsi="仿宋" w:eastAsia="仿宋"/>
          <w:sz w:val="32"/>
          <w:szCs w:val="32"/>
        </w:rPr>
        <w:t>人,退休人数小计</w:t>
      </w:r>
      <w:r>
        <w:rPr>
          <w:rFonts w:hint="eastAsia"/>
          <w:sz w:val="32"/>
          <w:szCs w:val="32"/>
          <w:lang w:val="en-US" w:eastAsia="zh-CN"/>
        </w:rPr>
        <w:t>15</w:t>
      </w:r>
      <w:r>
        <w:rPr>
          <w:rFonts w:ascii="仿宋" w:hAnsi="仿宋" w:eastAsia="仿宋"/>
          <w:sz w:val="32"/>
          <w:szCs w:val="32"/>
        </w:rPr>
        <w:t>人,遗属人数</w:t>
      </w:r>
      <w:r>
        <w:rPr>
          <w:rFonts w:hint="eastAsia"/>
          <w:sz w:val="32"/>
          <w:szCs w:val="32"/>
          <w:lang w:val="en-US" w:eastAsia="zh-CN"/>
        </w:rPr>
        <w:t>0</w:t>
      </w:r>
      <w:r>
        <w:rPr>
          <w:rFonts w:ascii="仿宋" w:hAnsi="仿宋" w:eastAsia="仿宋"/>
          <w:sz w:val="32"/>
          <w:szCs w:val="32"/>
        </w:rPr>
        <w:t>人。</w:t>
      </w:r>
      <w:r>
        <w:fldChar w:fldCharType="end"/>
      </w:r>
    </w:p>
    <w:p w14:paraId="2E9392F9"/>
    <w:p w14:paraId="5C0A374B">
      <w:pPr>
        <w:rPr>
          <w:rFonts w:hint="eastAsia" w:ascii="仿宋_GB2312" w:hAnsi="仿宋_GB2312" w:eastAsia="仿宋_GB2312" w:cs="仿宋_GB2312"/>
          <w:b/>
          <w:bCs/>
        </w:rPr>
      </w:pPr>
      <w:r>
        <w:rPr>
          <w:rFonts w:hint="eastAsia" w:ascii="仿宋_GB2312" w:hAnsi="仿宋_GB2312" w:eastAsia="仿宋_GB2312" w:cs="仿宋_GB2312"/>
          <w:b/>
          <w:bCs/>
        </w:rPr>
        <w:t xml:space="preserve">第二部分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2025年单位预算表</w:t>
      </w:r>
      <w:bookmarkStart w:id="0" w:name="_GoBack"/>
      <w:bookmarkEnd w:id="0"/>
    </w:p>
    <w:p w14:paraId="093E5FDD">
      <w:pPr>
        <w:rPr>
          <w:rStyle w:val="13"/>
          <w:rFonts w:hint="eastAsia" w:eastAsia="仿宋"/>
          <w:bCs/>
          <w:lang w:eastAsia="zh-CN"/>
        </w:rPr>
      </w:pPr>
      <w:r>
        <w:rPr>
          <w:rStyle w:val="13"/>
          <w:rFonts w:hint="eastAsia"/>
          <w:bCs/>
          <w:lang w:eastAsia="zh-CN"/>
        </w:rPr>
        <w:t>（</w:t>
      </w:r>
      <w:r>
        <w:rPr>
          <w:rStyle w:val="13"/>
          <w:rFonts w:hint="eastAsia"/>
          <w:bCs/>
        </w:rPr>
        <w:t>详见附表</w:t>
      </w:r>
      <w:r>
        <w:rPr>
          <w:rStyle w:val="13"/>
          <w:rFonts w:hint="eastAsia"/>
          <w:bCs/>
          <w:lang w:eastAsia="zh-CN"/>
        </w:rPr>
        <w:t>）</w:t>
      </w:r>
    </w:p>
    <w:p w14:paraId="5D53E9CB">
      <w:pPr>
        <w:rPr>
          <w:rStyle w:val="13"/>
          <w:bCs/>
        </w:rPr>
      </w:pPr>
    </w:p>
    <w:p w14:paraId="6E7613EE">
      <w:pPr>
        <w:rPr>
          <w:rStyle w:val="13"/>
          <w:bCs/>
        </w:rPr>
      </w:pPr>
    </w:p>
    <w:p w14:paraId="6F22EE0F">
      <w:pPr>
        <w:rPr>
          <w:rStyle w:val="13"/>
          <w:bCs/>
        </w:rPr>
      </w:pPr>
    </w:p>
    <w:p w14:paraId="4C8BE50C">
      <w:pPr>
        <w:rPr>
          <w:rFonts w:hint="eastAsia" w:ascii="仿宋_GB2312" w:hAnsi="仿宋_GB2312" w:eastAsia="仿宋_GB2312" w:cs="仿宋_GB2312"/>
          <w:b/>
          <w:bCs/>
        </w:rPr>
      </w:pPr>
      <w:r>
        <w:rPr>
          <w:rFonts w:hint="eastAsia" w:ascii="仿宋_GB2312" w:hAnsi="仿宋_GB2312" w:eastAsia="仿宋_GB2312" w:cs="仿宋_GB2312"/>
          <w:b/>
          <w:bCs/>
          <w:kern w:val="0"/>
        </w:rPr>
        <w:t xml:space="preserve">第三部分 </w:t>
      </w:r>
      <w:r>
        <w:rPr>
          <w:rFonts w:hint="eastAsia" w:ascii="仿宋_GB2312" w:hAnsi="仿宋_GB2312" w:eastAsia="仿宋_GB2312" w:cs="仿宋_GB2312"/>
          <w:b/>
          <w:bCs/>
        </w:rPr>
        <w:fldChar w:fldCharType="begin"/>
      </w:r>
      <w:r>
        <w:rPr>
          <w:rFonts w:hint="eastAsia" w:ascii="仿宋_GB2312" w:hAnsi="仿宋_GB2312" w:eastAsia="仿宋_GB2312" w:cs="仿宋_GB2312"/>
          <w:b/>
          <w:bCs/>
        </w:rPr>
        <w:instrText xml:space="preserve">MERGEFIELD ${page540426799.ds254512694_REP_JXJC_AGENCY_WZR_NAME}</w:instrText>
      </w:r>
      <w:r>
        <w:rPr>
          <w:rFonts w:hint="eastAsia" w:ascii="仿宋_GB2312" w:hAnsi="仿宋_GB2312" w:eastAsia="仿宋_GB2312" w:cs="仿宋_GB2312"/>
          <w:b/>
          <w:bCs/>
        </w:rPr>
        <w:fldChar w:fldCharType="separate"/>
      </w:r>
      <w:r>
        <w:rPr>
          <w:rFonts w:hint="eastAsia" w:ascii="仿宋_GB2312" w:hAnsi="仿宋_GB2312" w:eastAsia="仿宋_GB2312" w:cs="仿宋_GB2312"/>
          <w:b/>
          <w:bCs/>
        </w:rPr>
        <w:t>庐山市海会中学</w:t>
      </w:r>
      <w:r>
        <w:rPr>
          <w:rFonts w:hint="eastAsia" w:ascii="仿宋_GB2312" w:hAnsi="仿宋_GB2312" w:eastAsia="仿宋_GB2312" w:cs="仿宋_GB2312"/>
          <w:b/>
          <w:bCs/>
        </w:rPr>
        <w:fldChar w:fldCharType="end"/>
      </w:r>
      <w:r>
        <w:rPr>
          <w:rFonts w:hint="eastAsia" w:ascii="仿宋_GB2312" w:hAnsi="仿宋_GB2312" w:eastAsia="仿宋_GB2312" w:cs="仿宋_GB2312"/>
          <w:b/>
          <w:bCs/>
        </w:rPr>
        <w:t>2025年单位预算情况说明</w:t>
      </w:r>
    </w:p>
    <w:p w14:paraId="4C1C3D1F"/>
    <w:p w14:paraId="192D4B37">
      <w:pPr>
        <w:rPr>
          <w:rFonts w:hint="eastAsia" w:ascii="楷体_GB2312" w:hAnsi="楷体_GB2312" w:eastAsia="楷体_GB2312" w:cs="楷体_GB2312"/>
          <w:b/>
          <w:bCs/>
        </w:rPr>
      </w:pPr>
      <w:r>
        <w:rPr>
          <w:rFonts w:hint="eastAsia" w:ascii="楷体_GB2312" w:hAnsi="楷体_GB2312" w:eastAsia="楷体_GB2312" w:cs="楷体_GB2312"/>
          <w:b/>
          <w:bCs/>
        </w:rPr>
        <w:t>一、2025年单位预算收支情况说明</w:t>
      </w:r>
    </w:p>
    <w:p w14:paraId="47A5999A">
      <w:pPr>
        <w:ind w:firstLine="726"/>
        <w:rPr>
          <w:rStyle w:val="13"/>
          <w:rFonts w:ascii="Adobe 仿宋 Std R" w:hAnsi="Adobe 仿宋 Std R" w:eastAsia="Adobe 仿宋 Std R"/>
          <w:b/>
        </w:rPr>
      </w:pPr>
      <w:r>
        <w:rPr>
          <w:rStyle w:val="13"/>
          <w:rFonts w:hint="eastAsia" w:ascii="Adobe 仿宋 Std R" w:hAnsi="Adobe 仿宋 Std R" w:eastAsia="Adobe 仿宋 Std R"/>
          <w:b/>
        </w:rPr>
        <w:t xml:space="preserve"> (一)收入预算情况</w:t>
      </w:r>
    </w:p>
    <w:p w14:paraId="3B0C5164">
      <w:pPr>
        <w:rPr>
          <w:kern w:val="0"/>
        </w:rPr>
      </w:pPr>
      <w:r>
        <w:rPr>
          <w:kern w:val="0"/>
        </w:rPr>
        <w:t>202</w:t>
      </w:r>
      <w:r>
        <w:rPr>
          <w:rFonts w:hint="eastAsia"/>
          <w:kern w:val="0"/>
        </w:rPr>
        <w:t>5年</w:t>
      </w:r>
      <w:r>
        <w:rPr>
          <w:kern w:val="0"/>
        </w:rPr>
        <w:fldChar w:fldCharType="begin"/>
      </w:r>
      <w:r>
        <w:rPr>
          <w:kern w:val="0"/>
        </w:rPr>
        <w:instrText xml:space="preserve">MERGEFIELD ${page540426799.ds254512694_REP_JXJC_AGENCY_WZR_NAME}</w:instrText>
      </w:r>
      <w:r>
        <w:rPr>
          <w:kern w:val="0"/>
        </w:rPr>
        <w:fldChar w:fldCharType="separate"/>
      </w:r>
      <w:r>
        <w:rPr>
          <w:kern w:val="0"/>
        </w:rPr>
        <w:t>庐山市海会中学</w:t>
      </w:r>
      <w:r>
        <w:fldChar w:fldCharType="end"/>
      </w:r>
      <w:r>
        <w:rPr>
          <w:kern w:val="0"/>
        </w:rPr>
        <w:fldChar w:fldCharType="begin"/>
      </w:r>
      <w:r>
        <w:rPr>
          <w:kern w:val="0"/>
        </w:rPr>
        <w:instrText xml:space="preserve">MERGEFIELD ${page540426799.ds254512694_V_BGT_DEP_INCOME_DXQDW01_ZJ}</w:instrText>
      </w:r>
      <w:r>
        <w:rPr>
          <w:kern w:val="0"/>
        </w:rPr>
        <w:fldChar w:fldCharType="separate"/>
      </w:r>
      <w:r>
        <w:rPr>
          <w:kern w:val="0"/>
        </w:rPr>
        <w:t>收入预算总额为</w:t>
      </w:r>
      <w:r>
        <w:rPr>
          <w:rFonts w:hint="eastAsia"/>
          <w:kern w:val="0"/>
        </w:rPr>
        <w:t>732.43</w:t>
      </w:r>
      <w:r>
        <w:rPr>
          <w:kern w:val="0"/>
        </w:rPr>
        <w:t>万元,较上年预算安排</w:t>
      </w:r>
      <w:r>
        <w:rPr>
          <w:rFonts w:hint="eastAsia"/>
          <w:kern w:val="0"/>
        </w:rPr>
        <w:t>减少65.28</w:t>
      </w:r>
      <w:r>
        <w:rPr>
          <w:kern w:val="0"/>
        </w:rPr>
        <w:t>万元;</w:t>
      </w:r>
      <w:r>
        <w:fldChar w:fldCharType="end"/>
      </w:r>
      <w:r>
        <w:rPr>
          <w:kern w:val="0"/>
        </w:rPr>
        <w:fldChar w:fldCharType="begin"/>
      </w:r>
      <w:r>
        <w:rPr>
          <w:kern w:val="0"/>
        </w:rPr>
        <w:instrText xml:space="preserve">MERGEFIELD ${page540426799.ds254512694_V_BGT_DEP_INCOME_DXQDW01_SRXMMX}</w:instrText>
      </w:r>
      <w:r>
        <w:rPr>
          <w:kern w:val="0"/>
        </w:rPr>
        <w:fldChar w:fldCharType="separate"/>
      </w:r>
      <w:r>
        <w:rPr>
          <w:kern w:val="0"/>
        </w:rPr>
        <w:t>财政拨款收入</w:t>
      </w:r>
      <w:r>
        <w:rPr>
          <w:rFonts w:hint="eastAsia"/>
          <w:kern w:val="0"/>
        </w:rPr>
        <w:t>730.73</w:t>
      </w:r>
      <w:r>
        <w:rPr>
          <w:kern w:val="0"/>
        </w:rPr>
        <w:t>万元,较上年预算安排增加</w:t>
      </w:r>
      <w:r>
        <w:rPr>
          <w:rFonts w:hint="eastAsia"/>
          <w:kern w:val="0"/>
        </w:rPr>
        <w:t>减少16.98</w:t>
      </w:r>
      <w:r>
        <w:rPr>
          <w:kern w:val="0"/>
        </w:rPr>
        <w:t>万元。</w:t>
      </w:r>
      <w:r>
        <w:fldChar w:fldCharType="end"/>
      </w:r>
      <w:r>
        <w:rPr>
          <w:rFonts w:hint="eastAsia"/>
          <w:kern w:val="0"/>
        </w:rPr>
        <w:t>减少变化原因为在职人员减少、事业收入减少。</w:t>
      </w:r>
    </w:p>
    <w:p w14:paraId="1D27734A">
      <w:pPr>
        <w:ind w:firstLine="726"/>
        <w:rPr>
          <w:rStyle w:val="13"/>
          <w:rFonts w:ascii="Adobe 仿宋 Std R" w:hAnsi="Adobe 仿宋 Std R" w:eastAsia="Adobe 仿宋 Std R"/>
          <w:b/>
        </w:rPr>
      </w:pPr>
      <w:r>
        <w:rPr>
          <w:rStyle w:val="13"/>
          <w:rFonts w:hint="eastAsia" w:ascii="Adobe 仿宋 Std R" w:hAnsi="Adobe 仿宋 Std R" w:eastAsia="Adobe 仿宋 Std R"/>
          <w:b/>
        </w:rPr>
        <w:t xml:space="preserve"> (二)支出预算情况</w:t>
      </w:r>
    </w:p>
    <w:p w14:paraId="67872882">
      <w:pPr>
        <w:rPr>
          <w:kern w:val="0"/>
        </w:rPr>
      </w:pPr>
      <w:r>
        <w:rPr>
          <w:rStyle w:val="13"/>
          <w:rFonts w:hint="eastAsia"/>
        </w:rPr>
        <w:t>2</w:t>
      </w:r>
      <w:r>
        <w:rPr>
          <w:rStyle w:val="13"/>
        </w:rPr>
        <w:t>02</w:t>
      </w:r>
      <w:r>
        <w:rPr>
          <w:rStyle w:val="13"/>
          <w:rFonts w:hint="eastAsia"/>
        </w:rPr>
        <w:t>5年</w:t>
      </w:r>
      <w:r>
        <w:rPr>
          <w:rStyle w:val="13"/>
        </w:rPr>
        <w:fldChar w:fldCharType="begin"/>
      </w:r>
      <w:r>
        <w:rPr>
          <w:rStyle w:val="13"/>
        </w:rPr>
        <w:instrText xml:space="preserve">MERGEFIELD ${page540426799.ds254512694_REP_JXJC_AGENCY_WZR_NAME}</w:instrText>
      </w:r>
      <w:r>
        <w:rPr>
          <w:rStyle w:val="13"/>
        </w:rPr>
        <w:fldChar w:fldCharType="separate"/>
      </w:r>
      <w:r>
        <w:rPr>
          <w:rStyle w:val="13"/>
        </w:rPr>
        <w:t>庐山市海会中学</w:t>
      </w:r>
      <w:r>
        <w:fldChar w:fldCharType="end"/>
      </w:r>
      <w:r>
        <w:rPr>
          <w:rStyle w:val="13"/>
        </w:rPr>
        <w:fldChar w:fldCharType="begin"/>
      </w:r>
      <w:r>
        <w:rPr>
          <w:rStyle w:val="13"/>
        </w:rPr>
        <w:instrText xml:space="preserve">MERGEFIELD ${page540426799.ds357974894_REP_BGT_T_HC1100002019_DXQ02DW_S_ZJ}</w:instrText>
      </w:r>
      <w:r>
        <w:rPr>
          <w:rStyle w:val="13"/>
        </w:rPr>
        <w:fldChar w:fldCharType="separate"/>
      </w:r>
      <w:r>
        <w:rPr>
          <w:rStyle w:val="13"/>
        </w:rPr>
        <w:t>支出预算总额为</w:t>
      </w:r>
      <w:r>
        <w:rPr>
          <w:rStyle w:val="13"/>
          <w:rFonts w:hint="eastAsia"/>
        </w:rPr>
        <w:t>732.43</w:t>
      </w:r>
      <w:r>
        <w:rPr>
          <w:rStyle w:val="13"/>
        </w:rPr>
        <w:t>万元,较上年预算安排减少</w:t>
      </w:r>
      <w:r>
        <w:rPr>
          <w:rStyle w:val="13"/>
          <w:rFonts w:hint="eastAsia"/>
        </w:rPr>
        <w:t>65.28</w:t>
      </w:r>
      <w:r>
        <w:rPr>
          <w:rStyle w:val="13"/>
        </w:rPr>
        <w:t>万元;</w:t>
      </w:r>
      <w:r>
        <w:fldChar w:fldCharType="end"/>
      </w:r>
      <w:r>
        <w:rPr>
          <w:rFonts w:hint="eastAsia"/>
          <w:kern w:val="0"/>
        </w:rPr>
        <w:t xml:space="preserve"> 减少变化原因为在职人员减少、事业收入减少。</w:t>
      </w:r>
    </w:p>
    <w:p w14:paraId="684A4AD9">
      <w:pPr>
        <w:rPr>
          <w:rStyle w:val="13"/>
        </w:rPr>
      </w:pPr>
      <w:r>
        <w:rPr>
          <w:rStyle w:val="13"/>
          <w:rFonts w:hint="eastAsia"/>
        </w:rPr>
        <w:t>按支出项目类别划分：</w:t>
      </w:r>
      <w:r>
        <w:rPr>
          <w:rStyle w:val="13"/>
        </w:rPr>
        <w:fldChar w:fldCharType="begin"/>
      </w:r>
      <w:r>
        <w:rPr>
          <w:rStyle w:val="13"/>
        </w:rPr>
        <w:instrText xml:space="preserve">MERGEFIELD ${page540426799.ds357974894_REP_BGT_T_HC1100002019_DXQ02DW_JBZCQK}</w:instrText>
      </w:r>
      <w:r>
        <w:rPr>
          <w:rStyle w:val="13"/>
        </w:rPr>
        <w:fldChar w:fldCharType="separate"/>
      </w:r>
      <w:r>
        <w:rPr>
          <w:rStyle w:val="13"/>
        </w:rPr>
        <w:t>基本支出</w:t>
      </w:r>
      <w:r>
        <w:rPr>
          <w:rStyle w:val="13"/>
          <w:rFonts w:hint="eastAsia"/>
        </w:rPr>
        <w:t>719.73</w:t>
      </w:r>
      <w:r>
        <w:rPr>
          <w:rStyle w:val="13"/>
        </w:rPr>
        <w:t>万元,较上年预算安排</w:t>
      </w:r>
      <w:r>
        <w:rPr>
          <w:rStyle w:val="13"/>
          <w:rFonts w:hint="eastAsia"/>
        </w:rPr>
        <w:t>减少24.14</w:t>
      </w:r>
      <w:r>
        <w:rPr>
          <w:rStyle w:val="13"/>
        </w:rPr>
        <w:t>万元;其中：工资福利支出</w:t>
      </w:r>
      <w:r>
        <w:rPr>
          <w:rStyle w:val="13"/>
          <w:rFonts w:hint="eastAsia"/>
        </w:rPr>
        <w:t>677.14</w:t>
      </w:r>
      <w:r>
        <w:rPr>
          <w:rStyle w:val="13"/>
        </w:rPr>
        <w:t>万元,商品和服务支出</w:t>
      </w:r>
      <w:r>
        <w:rPr>
          <w:rStyle w:val="13"/>
          <w:rFonts w:hint="eastAsia"/>
        </w:rPr>
        <w:t>0.23</w:t>
      </w:r>
      <w:r>
        <w:rPr>
          <w:rStyle w:val="13"/>
        </w:rPr>
        <w:t>万元,对个人和家庭的补助</w:t>
      </w:r>
      <w:r>
        <w:rPr>
          <w:rStyle w:val="13"/>
          <w:rFonts w:hint="eastAsia"/>
        </w:rPr>
        <w:t>42.36</w:t>
      </w:r>
      <w:r>
        <w:rPr>
          <w:rStyle w:val="13"/>
        </w:rPr>
        <w:t>万元。</w:t>
      </w:r>
      <w:r>
        <w:fldChar w:fldCharType="end"/>
      </w:r>
      <w:r>
        <w:rPr>
          <w:rStyle w:val="13"/>
        </w:rPr>
        <w:fldChar w:fldCharType="begin"/>
      </w:r>
      <w:r>
        <w:rPr>
          <w:rStyle w:val="13"/>
        </w:rPr>
        <w:instrText xml:space="preserve">MERGEFIELD ${page540426799.ds357974894_REP_BGT_T_HC1100002019_DXQ02DW_XMZCQK}</w:instrText>
      </w:r>
      <w:r>
        <w:rPr>
          <w:rStyle w:val="13"/>
        </w:rPr>
        <w:fldChar w:fldCharType="separate"/>
      </w:r>
      <w:r>
        <w:rPr>
          <w:rStyle w:val="13"/>
        </w:rPr>
        <w:t>项目支出</w:t>
      </w:r>
      <w:r>
        <w:rPr>
          <w:rStyle w:val="13"/>
          <w:rFonts w:hint="eastAsia"/>
        </w:rPr>
        <w:t>12.7</w:t>
      </w:r>
      <w:r>
        <w:rPr>
          <w:rStyle w:val="13"/>
        </w:rPr>
        <w:t>万元,较上年预算安排减少</w:t>
      </w:r>
      <w:r>
        <w:rPr>
          <w:rStyle w:val="13"/>
          <w:rFonts w:hint="eastAsia"/>
        </w:rPr>
        <w:t>41.14</w:t>
      </w:r>
      <w:r>
        <w:rPr>
          <w:rStyle w:val="13"/>
        </w:rPr>
        <w:t>万元;其中：商品和服务支出</w:t>
      </w:r>
      <w:r>
        <w:rPr>
          <w:rStyle w:val="13"/>
          <w:rFonts w:hint="eastAsia"/>
        </w:rPr>
        <w:t>12.7</w:t>
      </w:r>
      <w:r>
        <w:rPr>
          <w:rStyle w:val="13"/>
        </w:rPr>
        <w:t>万元,资本性支出</w:t>
      </w:r>
      <w:r>
        <w:rPr>
          <w:rStyle w:val="13"/>
          <w:rFonts w:hint="eastAsia"/>
        </w:rPr>
        <w:t>_0</w:t>
      </w:r>
      <w:r>
        <w:rPr>
          <w:rStyle w:val="13"/>
        </w:rPr>
        <w:t>万元。</w:t>
      </w:r>
      <w:r>
        <w:fldChar w:fldCharType="end"/>
      </w:r>
    </w:p>
    <w:p w14:paraId="10123AD0">
      <w:pPr>
        <w:rPr>
          <w:rStyle w:val="13"/>
          <w:b/>
          <w:sz w:val="20"/>
        </w:rPr>
      </w:pPr>
      <w:r>
        <w:rPr>
          <w:rStyle w:val="13"/>
          <w:rFonts w:hint="eastAsia"/>
        </w:rPr>
        <w:t>按支出功能科目划分：</w:t>
      </w:r>
      <w:r>
        <w:rPr>
          <w:rStyle w:val="13"/>
        </w:rPr>
        <w:fldChar w:fldCharType="begin"/>
      </w:r>
      <w:r>
        <w:rPr>
          <w:rStyle w:val="13"/>
        </w:rPr>
        <w:instrText xml:space="preserve">MERGEFIELD ${page540426799.ds197859873_REP_BGT_T_HC1100002019DXQ01DW_GNZJMX}</w:instrText>
      </w:r>
      <w:r>
        <w:rPr>
          <w:rStyle w:val="13"/>
        </w:rPr>
        <w:fldChar w:fldCharType="separate"/>
      </w:r>
      <w:r>
        <w:rPr>
          <w:rStyle w:val="13"/>
          <w:rFonts w:hint="eastAsia"/>
        </w:rPr>
        <w:t>教育支出532.1</w:t>
      </w:r>
      <w:r>
        <w:rPr>
          <w:rStyle w:val="13"/>
        </w:rPr>
        <w:t>万元,较上年预算安排减少</w:t>
      </w:r>
      <w:r>
        <w:rPr>
          <w:rStyle w:val="13"/>
          <w:rFonts w:hint="eastAsia"/>
        </w:rPr>
        <w:t>59.12</w:t>
      </w:r>
      <w:r>
        <w:rPr>
          <w:rStyle w:val="13"/>
        </w:rPr>
        <w:t>万元;社会保障和就业支出</w:t>
      </w:r>
      <w:r>
        <w:rPr>
          <w:rStyle w:val="13"/>
          <w:rFonts w:hint="eastAsia"/>
        </w:rPr>
        <w:t>104.68</w:t>
      </w:r>
      <w:r>
        <w:rPr>
          <w:rStyle w:val="13"/>
        </w:rPr>
        <w:t>万元,较上年预算安排</w:t>
      </w:r>
      <w:r>
        <w:rPr>
          <w:rStyle w:val="13"/>
          <w:rFonts w:hint="eastAsia"/>
        </w:rPr>
        <w:t>减少4.43</w:t>
      </w:r>
      <w:r>
        <w:rPr>
          <w:rStyle w:val="13"/>
        </w:rPr>
        <w:t>万元;卫生健康支出</w:t>
      </w:r>
      <w:r>
        <w:rPr>
          <w:rStyle w:val="13"/>
          <w:rFonts w:hint="eastAsia"/>
        </w:rPr>
        <w:t>40.36</w:t>
      </w:r>
      <w:r>
        <w:rPr>
          <w:rStyle w:val="13"/>
        </w:rPr>
        <w:t>元,较上年预算安排增加</w:t>
      </w:r>
      <w:r>
        <w:rPr>
          <w:rStyle w:val="13"/>
          <w:rFonts w:hint="eastAsia"/>
        </w:rPr>
        <w:t>0.85</w:t>
      </w:r>
      <w:r>
        <w:rPr>
          <w:rStyle w:val="13"/>
        </w:rPr>
        <w:t>万元;住房保障支出</w:t>
      </w:r>
      <w:r>
        <w:rPr>
          <w:rStyle w:val="13"/>
          <w:rFonts w:hint="eastAsia"/>
        </w:rPr>
        <w:t>55.29</w:t>
      </w:r>
      <w:r>
        <w:rPr>
          <w:rStyle w:val="13"/>
        </w:rPr>
        <w:t>万元,较上年预算安排</w:t>
      </w:r>
      <w:r>
        <w:rPr>
          <w:rStyle w:val="13"/>
          <w:rFonts w:hint="eastAsia"/>
        </w:rPr>
        <w:t>减少2.68</w:t>
      </w:r>
      <w:r>
        <w:rPr>
          <w:rStyle w:val="13"/>
        </w:rPr>
        <w:t>万元。</w:t>
      </w:r>
      <w:r>
        <w:fldChar w:fldCharType="end"/>
      </w:r>
    </w:p>
    <w:p w14:paraId="3A48F477">
      <w:r>
        <w:rPr>
          <w:rStyle w:val="13"/>
          <w:rFonts w:hint="eastAsia"/>
        </w:rPr>
        <w:t>按支出经济分类划分：</w:t>
      </w:r>
      <w:r>
        <w:rPr>
          <w:rStyle w:val="13"/>
        </w:rPr>
        <w:fldChar w:fldCharType="begin"/>
      </w:r>
      <w:r>
        <w:rPr>
          <w:rStyle w:val="13"/>
        </w:rPr>
        <w:instrText xml:space="preserve">MERGEFIELD ${page540426799.ds197859873_REP_BGT_T_HC1100002019DXQ01DW_JJMX}</w:instrText>
      </w:r>
      <w:r>
        <w:rPr>
          <w:rStyle w:val="13"/>
        </w:rPr>
        <w:fldChar w:fldCharType="separate"/>
      </w:r>
      <w:r>
        <w:rPr>
          <w:rStyle w:val="13"/>
        </w:rPr>
        <w:t>工资福利支出</w:t>
      </w:r>
      <w:r>
        <w:rPr>
          <w:rStyle w:val="13"/>
          <w:rFonts w:hint="eastAsia"/>
        </w:rPr>
        <w:t>677.14</w:t>
      </w:r>
      <w:r>
        <w:rPr>
          <w:rStyle w:val="13"/>
        </w:rPr>
        <w:t>万元,较上年预算安排</w:t>
      </w:r>
      <w:r>
        <w:rPr>
          <w:rStyle w:val="13"/>
          <w:rFonts w:hint="eastAsia"/>
        </w:rPr>
        <w:t>减少66.53</w:t>
      </w:r>
      <w:r>
        <w:rPr>
          <w:rStyle w:val="13"/>
        </w:rPr>
        <w:t>万元;商品和服务支出</w:t>
      </w:r>
      <w:r>
        <w:rPr>
          <w:rStyle w:val="13"/>
          <w:rFonts w:hint="eastAsia"/>
        </w:rPr>
        <w:t>12.93</w:t>
      </w:r>
      <w:r>
        <w:rPr>
          <w:rStyle w:val="13"/>
        </w:rPr>
        <w:t>万元,较上年预算安排</w:t>
      </w:r>
      <w:r>
        <w:rPr>
          <w:rStyle w:val="13"/>
          <w:rFonts w:hint="eastAsia"/>
        </w:rPr>
        <w:t>减少92.04</w:t>
      </w:r>
      <w:r>
        <w:rPr>
          <w:rStyle w:val="13"/>
        </w:rPr>
        <w:t>万元;对个人和家庭的补助</w:t>
      </w:r>
      <w:r>
        <w:rPr>
          <w:rStyle w:val="13"/>
          <w:rFonts w:hint="eastAsia"/>
        </w:rPr>
        <w:t>43.36</w:t>
      </w:r>
      <w:r>
        <w:rPr>
          <w:rStyle w:val="13"/>
        </w:rPr>
        <w:t>万元,较上年预算安排</w:t>
      </w:r>
      <w:r>
        <w:rPr>
          <w:rStyle w:val="13"/>
          <w:rFonts w:hint="eastAsia"/>
        </w:rPr>
        <w:t>增加43.16</w:t>
      </w:r>
      <w:r>
        <w:rPr>
          <w:rStyle w:val="13"/>
        </w:rPr>
        <w:t>万元;资本性支出</w:t>
      </w:r>
      <w:r>
        <w:rPr>
          <w:rStyle w:val="13"/>
          <w:rFonts w:hint="eastAsia"/>
        </w:rPr>
        <w:t>0</w:t>
      </w:r>
      <w:r>
        <w:rPr>
          <w:rStyle w:val="13"/>
        </w:rPr>
        <w:t>万元,</w:t>
      </w:r>
      <w:r>
        <w:rPr>
          <w:rStyle w:val="13"/>
          <w:rFonts w:hint="eastAsia"/>
        </w:rPr>
        <w:t>与上年保持一致</w:t>
      </w:r>
      <w:r>
        <w:rPr>
          <w:rStyle w:val="13"/>
        </w:rPr>
        <w:t>。</w:t>
      </w:r>
      <w:r>
        <w:fldChar w:fldCharType="end"/>
      </w:r>
    </w:p>
    <w:p w14:paraId="5F5F3ED2">
      <w:pPr>
        <w:ind w:firstLine="726"/>
        <w:rPr>
          <w:rStyle w:val="13"/>
          <w:rFonts w:ascii="Adobe 仿宋 Std R" w:hAnsi="Adobe 仿宋 Std R" w:eastAsia="Adobe 仿宋 Std R"/>
          <w:b/>
        </w:rPr>
      </w:pPr>
      <w:r>
        <w:rPr>
          <w:rStyle w:val="13"/>
          <w:rFonts w:hint="eastAsia" w:ascii="Adobe 仿宋 Std R" w:hAnsi="Adobe 仿宋 Std R" w:eastAsia="Adobe 仿宋 Std R"/>
          <w:b/>
        </w:rPr>
        <w:t>(三)财政拨款支出情况</w:t>
      </w:r>
    </w:p>
    <w:p w14:paraId="7A935AA8">
      <w:pPr>
        <w:rPr>
          <w:rFonts w:cs="Times New Roman"/>
          <w:kern w:val="0"/>
        </w:rPr>
      </w:pPr>
      <w:r>
        <w:rPr>
          <w:rStyle w:val="13"/>
          <w:rFonts w:hint="eastAsia"/>
        </w:rPr>
        <w:t>2</w:t>
      </w:r>
      <w:r>
        <w:rPr>
          <w:rStyle w:val="13"/>
        </w:rPr>
        <w:t>02</w:t>
      </w:r>
      <w:r>
        <w:rPr>
          <w:rStyle w:val="13"/>
          <w:rFonts w:hint="eastAsia"/>
        </w:rPr>
        <w:t>5年</w:t>
      </w:r>
      <w:r>
        <w:rPr>
          <w:rStyle w:val="13"/>
        </w:rPr>
        <w:fldChar w:fldCharType="begin"/>
      </w:r>
      <w:r>
        <w:rPr>
          <w:rStyle w:val="13"/>
        </w:rPr>
        <w:instrText xml:space="preserve">MERGEFIELD ${page540426799.ds254512694_REP_JXJC_AGENCY_WZR_NAME}</w:instrText>
      </w:r>
      <w:r>
        <w:rPr>
          <w:rStyle w:val="13"/>
        </w:rPr>
        <w:fldChar w:fldCharType="separate"/>
      </w:r>
      <w:r>
        <w:rPr>
          <w:rStyle w:val="13"/>
        </w:rPr>
        <w:t>庐山市海会中学</w:t>
      </w:r>
      <w:r>
        <w:fldChar w:fldCharType="end"/>
      </w:r>
      <w:r>
        <w:rPr>
          <w:rStyle w:val="13"/>
        </w:rPr>
        <w:fldChar w:fldCharType="begin"/>
      </w:r>
      <w:r>
        <w:rPr>
          <w:rStyle w:val="13"/>
        </w:rPr>
        <w:instrText xml:space="preserve">MERGEFIELD ${page540426799.ds357974894_REP_BGT_T_HC1100002019_DXQ02DW_S_CBXJ}</w:instrText>
      </w:r>
      <w:r>
        <w:rPr>
          <w:rStyle w:val="13"/>
        </w:rPr>
        <w:fldChar w:fldCharType="separate"/>
      </w:r>
      <w:r>
        <w:rPr>
          <w:rStyle w:val="13"/>
        </w:rPr>
        <w:t>财政拨款支出预算总额</w:t>
      </w:r>
      <w:r>
        <w:rPr>
          <w:rStyle w:val="13"/>
          <w:rFonts w:hint="eastAsia"/>
        </w:rPr>
        <w:t>730.73</w:t>
      </w:r>
      <w:r>
        <w:rPr>
          <w:rStyle w:val="13"/>
        </w:rPr>
        <w:t>万元,较上年预算安排</w:t>
      </w:r>
      <w:r>
        <w:rPr>
          <w:rStyle w:val="13"/>
          <w:rFonts w:hint="eastAsia"/>
        </w:rPr>
        <w:t>减少16.98</w:t>
      </w:r>
      <w:r>
        <w:rPr>
          <w:rStyle w:val="13"/>
        </w:rPr>
        <w:t>万元;</w:t>
      </w:r>
      <w:r>
        <w:fldChar w:fldCharType="end"/>
      </w:r>
      <w:r>
        <w:rPr>
          <w:rFonts w:hint="eastAsia" w:cs="Times New Roman"/>
          <w:kern w:val="0"/>
        </w:rPr>
        <w:t>减少变化原因为在职人员减少。</w:t>
      </w:r>
    </w:p>
    <w:p w14:paraId="7C37FDD6">
      <w:pPr>
        <w:rPr>
          <w:rStyle w:val="13"/>
        </w:rPr>
      </w:pPr>
      <w:r>
        <w:rPr>
          <w:rStyle w:val="13"/>
          <w:rFonts w:hint="eastAsia"/>
        </w:rPr>
        <w:t>按支出功能科目划分：</w:t>
      </w:r>
      <w:r>
        <w:rPr>
          <w:rStyle w:val="13"/>
        </w:rPr>
        <w:fldChar w:fldCharType="begin"/>
      </w:r>
      <w:r>
        <w:rPr>
          <w:rStyle w:val="13"/>
        </w:rPr>
        <w:instrText xml:space="preserve">MERGEFIELD ${page400644146.ds247441498_REP_BGT_T_HC1100002019DXQ01_GNCBMX}</w:instrText>
      </w:r>
      <w:r>
        <w:rPr>
          <w:rStyle w:val="13"/>
        </w:rPr>
        <w:fldChar w:fldCharType="separate"/>
      </w:r>
      <w:r>
        <w:rPr>
          <w:rStyle w:val="13"/>
          <w:rFonts w:hint="eastAsia"/>
        </w:rPr>
        <w:t>教育支出530.4万元，较上年预算安排减少10.72万元；</w:t>
      </w:r>
      <w:r>
        <w:rPr>
          <w:rStyle w:val="13"/>
        </w:rPr>
        <w:t>社会保障和就业支出</w:t>
      </w:r>
      <w:r>
        <w:rPr>
          <w:rStyle w:val="13"/>
          <w:rFonts w:hint="eastAsia"/>
        </w:rPr>
        <w:t>104.68</w:t>
      </w:r>
      <w:r>
        <w:rPr>
          <w:rStyle w:val="13"/>
        </w:rPr>
        <w:t>万元,较上年预算安排</w:t>
      </w:r>
      <w:r>
        <w:rPr>
          <w:rStyle w:val="13"/>
          <w:rFonts w:hint="eastAsia"/>
        </w:rPr>
        <w:t>减少4.43</w:t>
      </w:r>
      <w:r>
        <w:rPr>
          <w:rStyle w:val="13"/>
        </w:rPr>
        <w:t>万元</w:t>
      </w:r>
      <w:r>
        <w:rPr>
          <w:rStyle w:val="13"/>
          <w:rFonts w:hint="eastAsia"/>
        </w:rPr>
        <w:t>；</w:t>
      </w:r>
      <w:r>
        <w:rPr>
          <w:rStyle w:val="13"/>
        </w:rPr>
        <w:t>卫生健康支出</w:t>
      </w:r>
      <w:r>
        <w:rPr>
          <w:rStyle w:val="13"/>
          <w:rFonts w:hint="eastAsia"/>
        </w:rPr>
        <w:t>40.36</w:t>
      </w:r>
      <w:r>
        <w:rPr>
          <w:rStyle w:val="13"/>
        </w:rPr>
        <w:t>万元,较上年预算安排增加</w:t>
      </w:r>
      <w:r>
        <w:rPr>
          <w:rStyle w:val="13"/>
          <w:rFonts w:hint="eastAsia"/>
        </w:rPr>
        <w:t>0.85</w:t>
      </w:r>
      <w:r>
        <w:rPr>
          <w:rStyle w:val="13"/>
        </w:rPr>
        <w:t>万元</w:t>
      </w:r>
      <w:r>
        <w:rPr>
          <w:rStyle w:val="13"/>
          <w:rFonts w:hint="eastAsia"/>
        </w:rPr>
        <w:t>；</w:t>
      </w:r>
      <w:r>
        <w:rPr>
          <w:rStyle w:val="13"/>
        </w:rPr>
        <w:t>住房保障支出</w:t>
      </w:r>
      <w:r>
        <w:rPr>
          <w:rStyle w:val="13"/>
          <w:rFonts w:hint="eastAsia"/>
        </w:rPr>
        <w:t>55.29</w:t>
      </w:r>
      <w:r>
        <w:rPr>
          <w:rStyle w:val="13"/>
        </w:rPr>
        <w:t>万元</w:t>
      </w:r>
      <w:r>
        <w:rPr>
          <w:rStyle w:val="13"/>
          <w:rFonts w:hint="eastAsia"/>
        </w:rPr>
        <w:t>，</w:t>
      </w:r>
      <w:r>
        <w:rPr>
          <w:rStyle w:val="13"/>
        </w:rPr>
        <w:t>较上年预算安排</w:t>
      </w:r>
      <w:r>
        <w:rPr>
          <w:rStyle w:val="13"/>
          <w:rFonts w:hint="eastAsia"/>
        </w:rPr>
        <w:t>减少2.68</w:t>
      </w:r>
      <w:r>
        <w:rPr>
          <w:rStyle w:val="13"/>
        </w:rPr>
        <w:t>万元。</w:t>
      </w:r>
      <w:r>
        <w:fldChar w:fldCharType="end"/>
      </w:r>
    </w:p>
    <w:p w14:paraId="556533D9">
      <w:r>
        <w:rPr>
          <w:rStyle w:val="13"/>
          <w:rFonts w:hint="eastAsia"/>
        </w:rPr>
        <w:t>按支出项目类别划分：</w:t>
      </w:r>
      <w:r>
        <w:rPr>
          <w:rStyle w:val="13"/>
        </w:rPr>
        <w:fldChar w:fldCharType="begin"/>
      </w:r>
      <w:r>
        <w:rPr>
          <w:rStyle w:val="13"/>
        </w:rPr>
        <w:instrText xml:space="preserve">MERGEFIELD ${page540426799.ds357974894_REP_BGT_T_HC1100002019_DXQ02DW_JBZCQKCB}</w:instrText>
      </w:r>
      <w:r>
        <w:rPr>
          <w:rStyle w:val="13"/>
        </w:rPr>
        <w:fldChar w:fldCharType="separate"/>
      </w:r>
      <w:r>
        <w:rPr>
          <w:rStyle w:val="13"/>
        </w:rPr>
        <w:t>基本支出</w:t>
      </w:r>
      <w:r>
        <w:rPr>
          <w:rStyle w:val="13"/>
          <w:rFonts w:hint="eastAsia"/>
        </w:rPr>
        <w:t>719.73</w:t>
      </w:r>
      <w:r>
        <w:rPr>
          <w:rStyle w:val="13"/>
        </w:rPr>
        <w:t>万元,较上年预算安排</w:t>
      </w:r>
      <w:r>
        <w:rPr>
          <w:rStyle w:val="13"/>
          <w:rFonts w:hint="eastAsia"/>
        </w:rPr>
        <w:t>减少24.14</w:t>
      </w:r>
      <w:r>
        <w:rPr>
          <w:rStyle w:val="13"/>
        </w:rPr>
        <w:t>万元;其中：工资福利支出</w:t>
      </w:r>
      <w:r>
        <w:rPr>
          <w:rStyle w:val="13"/>
          <w:rFonts w:hint="eastAsia"/>
        </w:rPr>
        <w:t>677.14</w:t>
      </w:r>
      <w:r>
        <w:rPr>
          <w:rStyle w:val="13"/>
        </w:rPr>
        <w:t>万元,商品和服务支出</w:t>
      </w:r>
      <w:r>
        <w:rPr>
          <w:rStyle w:val="13"/>
          <w:rFonts w:hint="eastAsia"/>
        </w:rPr>
        <w:t>0.23</w:t>
      </w:r>
      <w:r>
        <w:rPr>
          <w:rStyle w:val="13"/>
        </w:rPr>
        <w:t>万元,对个人和家庭的补助</w:t>
      </w:r>
      <w:r>
        <w:rPr>
          <w:rStyle w:val="13"/>
          <w:rFonts w:hint="eastAsia"/>
        </w:rPr>
        <w:t>42.36</w:t>
      </w:r>
      <w:r>
        <w:rPr>
          <w:rStyle w:val="13"/>
        </w:rPr>
        <w:t>万元。</w:t>
      </w:r>
      <w:r>
        <w:fldChar w:fldCharType="end"/>
      </w:r>
      <w:r>
        <w:rPr>
          <w:rStyle w:val="13"/>
        </w:rPr>
        <w:fldChar w:fldCharType="begin"/>
      </w:r>
      <w:r>
        <w:rPr>
          <w:rStyle w:val="13"/>
        </w:rPr>
        <w:instrText xml:space="preserve">MERGEFIELD ${page540426799.ds357974894_REP_BGT_T_HC1100002019_DXQ02DW_XMZCQKCB}</w:instrText>
      </w:r>
      <w:r>
        <w:rPr>
          <w:rStyle w:val="13"/>
        </w:rPr>
        <w:fldChar w:fldCharType="separate"/>
      </w:r>
      <w:r>
        <w:rPr>
          <w:rStyle w:val="13"/>
        </w:rPr>
        <w:t>项目</w:t>
      </w:r>
      <w:r>
        <w:rPr>
          <w:rStyle w:val="13"/>
          <w:rFonts w:hint="eastAsia"/>
        </w:rPr>
        <w:t>11</w:t>
      </w:r>
      <w:r>
        <w:rPr>
          <w:rStyle w:val="13"/>
        </w:rPr>
        <w:t>元,较上年预算安排</w:t>
      </w:r>
      <w:r>
        <w:rPr>
          <w:rStyle w:val="13"/>
          <w:rFonts w:hint="eastAsia"/>
        </w:rPr>
        <w:t>增加7.16</w:t>
      </w:r>
      <w:r>
        <w:rPr>
          <w:rStyle w:val="13"/>
        </w:rPr>
        <w:t>万元;其中：商品和服务支出</w:t>
      </w:r>
      <w:r>
        <w:rPr>
          <w:rStyle w:val="13"/>
          <w:rFonts w:hint="eastAsia"/>
        </w:rPr>
        <w:t>11</w:t>
      </w:r>
      <w:r>
        <w:rPr>
          <w:rStyle w:val="13"/>
        </w:rPr>
        <w:t>万元,资本性支出</w:t>
      </w:r>
      <w:r>
        <w:rPr>
          <w:rStyle w:val="13"/>
          <w:rFonts w:hint="eastAsia"/>
        </w:rPr>
        <w:t>0</w:t>
      </w:r>
      <w:r>
        <w:rPr>
          <w:rStyle w:val="13"/>
        </w:rPr>
        <w:t>万元。</w:t>
      </w:r>
      <w:r>
        <w:fldChar w:fldCharType="end"/>
      </w:r>
    </w:p>
    <w:p w14:paraId="0CE8872E"/>
    <w:p w14:paraId="0A9137C4">
      <w:pPr>
        <w:ind w:firstLine="726"/>
        <w:rPr>
          <w:rStyle w:val="13"/>
          <w:rFonts w:ascii="Adobe 仿宋 Std R" w:hAnsi="Adobe 仿宋 Std R" w:eastAsia="Adobe 仿宋 Std R"/>
          <w:b/>
        </w:rPr>
      </w:pPr>
      <w:r>
        <w:rPr>
          <w:rStyle w:val="13"/>
          <w:rFonts w:hint="eastAsia" w:ascii="Adobe 仿宋 Std R" w:hAnsi="Adobe 仿宋 Std R" w:eastAsia="Adobe 仿宋 Std R"/>
          <w:b/>
        </w:rPr>
        <w:t>(四)政府性基金情况</w:t>
      </w:r>
    </w:p>
    <w:p w14:paraId="3F1ACE23">
      <w:r>
        <w:rPr>
          <w:rFonts w:hint="eastAsia"/>
        </w:rPr>
        <w:t>本单位没有使用政府性基金预算拨款安排的支出。</w:t>
      </w:r>
    </w:p>
    <w:p w14:paraId="1A83EF53">
      <w:pPr>
        <w:ind w:firstLine="726"/>
        <w:rPr>
          <w:rStyle w:val="13"/>
          <w:rFonts w:ascii="Adobe 仿宋 Std R" w:hAnsi="Adobe 仿宋 Std R" w:eastAsia="Adobe 仿宋 Std R"/>
          <w:b/>
        </w:rPr>
      </w:pPr>
      <w:r>
        <w:rPr>
          <w:rStyle w:val="13"/>
          <w:rFonts w:hint="eastAsia" w:ascii="Adobe 仿宋 Std R" w:hAnsi="Adobe 仿宋 Std R" w:eastAsia="Adobe 仿宋 Std R"/>
          <w:b/>
        </w:rPr>
        <w:t>（五）国有资本经营情况</w:t>
      </w:r>
    </w:p>
    <w:p w14:paraId="7625FEE7">
      <w:r>
        <w:rPr>
          <w:rFonts w:hint="eastAsia"/>
        </w:rPr>
        <w:t>本单位没有使用国有资本经营预算拨款安排的支出。</w:t>
      </w:r>
    </w:p>
    <w:p w14:paraId="5CC5E81C">
      <w:pPr>
        <w:rPr>
          <w:rStyle w:val="13"/>
          <w:rFonts w:ascii="Adobe 仿宋 Std R" w:hAnsi="Adobe 仿宋 Std R" w:eastAsia="Adobe 仿宋 Std R"/>
          <w:b/>
        </w:rPr>
      </w:pPr>
      <w:r>
        <w:rPr>
          <w:rFonts w:hint="eastAsia"/>
        </w:rPr>
        <w:t xml:space="preserve"> </w:t>
      </w:r>
      <w:r>
        <w:rPr>
          <w:rStyle w:val="13"/>
          <w:rFonts w:hint="eastAsia" w:ascii="Adobe 仿宋 Std R" w:hAnsi="Adobe 仿宋 Std R" w:eastAsia="Adobe 仿宋 Std R"/>
          <w:b/>
        </w:rPr>
        <w:t>(六)机关运行经费等重要事项的说明</w:t>
      </w:r>
    </w:p>
    <w:p w14:paraId="4FFD5368">
      <w:r>
        <w:rPr>
          <w:rStyle w:val="13"/>
          <w:rFonts w:hint="eastAsia" w:ascii="Adobe 仿宋 Std R" w:hAnsi="Adobe 仿宋 Std R" w:eastAsia="Adobe 仿宋 Std R" w:cs="仿宋"/>
        </w:rPr>
        <w:t>本单位非行政参公单位，无机关运行经费。</w:t>
      </w:r>
    </w:p>
    <w:p w14:paraId="618A0892">
      <w:pPr>
        <w:ind w:firstLine="726"/>
        <w:rPr>
          <w:rStyle w:val="13"/>
          <w:rFonts w:ascii="Adobe 仿宋 Std R" w:hAnsi="Adobe 仿宋 Std R" w:eastAsia="Adobe 仿宋 Std R"/>
          <w:b/>
        </w:rPr>
      </w:pPr>
      <w:r>
        <w:rPr>
          <w:rStyle w:val="13"/>
          <w:rFonts w:hint="eastAsia" w:ascii="Adobe 仿宋 Std R" w:hAnsi="Adobe 仿宋 Std R" w:eastAsia="Adobe 仿宋 Std R"/>
          <w:b/>
        </w:rPr>
        <w:t>(七)政府采购情况</w:t>
      </w:r>
    </w:p>
    <w:p w14:paraId="40DF3AA1">
      <w:r>
        <w:rPr>
          <w:rFonts w:hint="eastAsia"/>
        </w:rPr>
        <w:t>2025年政府采购总额0万元</w:t>
      </w:r>
      <w:r>
        <w:t>,</w:t>
      </w:r>
      <w:r>
        <w:rPr>
          <w:rFonts w:hint="eastAsia"/>
        </w:rPr>
        <w:t>其中</w:t>
      </w:r>
      <w:r>
        <w:t>:</w:t>
      </w:r>
      <w:r>
        <w:rPr>
          <w:rFonts w:hint="eastAsia"/>
        </w:rPr>
        <w:t xml:space="preserve"> 政府采购货物预算0万元</w:t>
      </w:r>
      <w:r>
        <w:t>,</w:t>
      </w:r>
      <w:r>
        <w:rPr>
          <w:rFonts w:hint="eastAsia"/>
        </w:rPr>
        <w:t xml:space="preserve"> 政府采购工程预算0万元</w:t>
      </w:r>
      <w:r>
        <w:t>,</w:t>
      </w:r>
      <w:r>
        <w:rPr>
          <w:rFonts w:hint="eastAsia"/>
        </w:rPr>
        <w:t xml:space="preserve"> 政府采购服务预算0万元。</w:t>
      </w:r>
    </w:p>
    <w:p w14:paraId="2DECC1C1">
      <w:pPr>
        <w:ind w:firstLine="726"/>
        <w:rPr>
          <w:rStyle w:val="13"/>
          <w:rFonts w:ascii="Adobe 仿宋 Std R" w:hAnsi="Adobe 仿宋 Std R" w:eastAsia="Adobe 仿宋 Std R"/>
          <w:b/>
        </w:rPr>
      </w:pPr>
      <w:r>
        <w:rPr>
          <w:rStyle w:val="13"/>
          <w:rFonts w:hint="eastAsia" w:ascii="Adobe 仿宋 Std R" w:hAnsi="Adobe 仿宋 Std R" w:eastAsia="Adobe 仿宋 Std R"/>
          <w:b/>
        </w:rPr>
        <w:t xml:space="preserve"> (八)国有资产占有使用情况</w:t>
      </w:r>
    </w:p>
    <w:p w14:paraId="68FB213A">
      <w:r>
        <w:rPr>
          <w:rFonts w:hint="eastAsia"/>
        </w:rPr>
        <w:t xml:space="preserve">截至2024年12月31日, </w:t>
      </w:r>
      <w:r>
        <w:fldChar w:fldCharType="begin"/>
      </w:r>
      <w:r>
        <w:instrText xml:space="preserve">MERGEFIELD ${page400644146.ds532982397_REP_JX_BAS_AGENCY_INFO_ZYFRS_S_CLSYS}</w:instrText>
      </w:r>
      <w:r>
        <w:fldChar w:fldCharType="separate"/>
      </w:r>
      <w:r>
        <w:rPr>
          <w:rFonts w:hint="eastAsia"/>
        </w:rPr>
        <w:t>单位共有车辆0辆,其中：一般公务用车实有数0辆,执法执勤用车实有数0辆。</w:t>
      </w:r>
      <w:r>
        <w:rPr>
          <w:rFonts w:hint="eastAsia"/>
        </w:rPr>
        <w:fldChar w:fldCharType="end"/>
      </w:r>
    </w:p>
    <w:p w14:paraId="1B276A85">
      <w:pPr>
        <w:rPr>
          <w:rStyle w:val="13"/>
        </w:rPr>
      </w:pPr>
      <w:r>
        <w:rPr>
          <w:rFonts w:hint="eastAsia"/>
        </w:rPr>
        <w:t>2025年单位预算安排购置车辆0辆，安排购置单位价值200万元以上大型设备具体为0。</w:t>
      </w:r>
    </w:p>
    <w:p w14:paraId="3094710C">
      <w:pPr>
        <w:ind w:firstLine="726"/>
        <w:rPr>
          <w:rStyle w:val="13"/>
          <w:rFonts w:ascii="Adobe 仿宋 Std R" w:hAnsi="Adobe 仿宋 Std R" w:eastAsia="Adobe 仿宋 Std R"/>
          <w:b/>
        </w:rPr>
      </w:pPr>
      <w:r>
        <w:rPr>
          <w:rStyle w:val="13"/>
          <w:rFonts w:hint="eastAsia" w:ascii="Adobe 仿宋 Std R" w:hAnsi="Adobe 仿宋 Std R" w:eastAsia="Adobe 仿宋 Std R"/>
          <w:b/>
        </w:rPr>
        <w:t>（九）庐山市海会中学项目情况说明</w:t>
      </w:r>
    </w:p>
    <w:p w14:paraId="718E0333">
      <w:pPr>
        <w:ind w:firstLine="642"/>
        <w:rPr>
          <w:rFonts w:hint="eastAsia" w:ascii="仿宋" w:hAnsi="仿宋" w:eastAsia="仿宋" w:cs="仿宋"/>
          <w:b/>
          <w:bCs/>
          <w:sz w:val="32"/>
          <w:szCs w:val="32"/>
        </w:rPr>
      </w:pPr>
      <w:r>
        <w:rPr>
          <w:rFonts w:hint="eastAsia" w:cs="仿宋"/>
          <w:b/>
          <w:bCs/>
          <w:sz w:val="32"/>
          <w:szCs w:val="32"/>
          <w:lang w:val="en-US" w:eastAsia="zh-CN"/>
        </w:rPr>
        <w:t>1、项目名称：事业收入支出项目</w:t>
      </w:r>
    </w:p>
    <w:p w14:paraId="5A48538F">
      <w:pPr>
        <w:ind w:firstLine="642"/>
        <w:rPr>
          <w:rFonts w:hint="eastAsia" w:ascii="仿宋" w:hAnsi="仿宋" w:eastAsia="仿宋" w:cs="仿宋"/>
          <w:sz w:val="32"/>
          <w:szCs w:val="32"/>
          <w:lang w:eastAsia="zh-CN"/>
        </w:rPr>
      </w:pPr>
      <w:r>
        <w:rPr>
          <w:rFonts w:hint="eastAsia" w:ascii="仿宋" w:hAnsi="仿宋" w:eastAsia="仿宋" w:cs="仿宋"/>
          <w:sz w:val="32"/>
          <w:szCs w:val="32"/>
        </w:rPr>
        <w:t>1）项目概述</w:t>
      </w:r>
      <w:r>
        <w:rPr>
          <w:rFonts w:hint="eastAsia" w:cs="仿宋"/>
          <w:sz w:val="32"/>
          <w:szCs w:val="32"/>
          <w:lang w:eastAsia="zh-CN"/>
        </w:rPr>
        <w:t>：</w:t>
      </w:r>
    </w:p>
    <w:p w14:paraId="4FB83E4C">
      <w:pPr>
        <w:ind w:firstLine="642"/>
        <w:rPr>
          <w:rFonts w:hint="eastAsia" w:ascii="仿宋" w:hAnsi="仿宋" w:eastAsia="仿宋" w:cs="仿宋"/>
          <w:sz w:val="32"/>
          <w:szCs w:val="32"/>
        </w:rPr>
      </w:pPr>
      <w:r>
        <w:rPr>
          <w:rFonts w:hint="eastAsia" w:ascii="仿宋" w:hAnsi="仿宋" w:eastAsia="仿宋" w:cs="仿宋"/>
          <w:sz w:val="32"/>
          <w:szCs w:val="32"/>
        </w:rPr>
        <w:t>坚持以习近平新时代中国特色社会主义思想为指导，全面贯彻党的教育方针，落实立德树人根本任务，以服务学生、家庭和社会为宗旨，促进“双减”落地，进一步发挥中小学校在课后服务的主渠道作用，强化学校管理，建立健全课后服务制度和激励机制，激发学校及教师参与课后服务工作的积极性。</w:t>
      </w:r>
    </w:p>
    <w:p w14:paraId="1A1996AA">
      <w:pPr>
        <w:numPr>
          <w:ilvl w:val="0"/>
          <w:numId w:val="0"/>
        </w:numPr>
        <w:ind w:firstLine="640" w:firstLineChars="200"/>
        <w:rPr>
          <w:rFonts w:hint="eastAsia" w:ascii="仿宋" w:hAnsi="仿宋" w:eastAsia="仿宋" w:cs="仿宋"/>
          <w:sz w:val="32"/>
          <w:szCs w:val="32"/>
        </w:rPr>
      </w:pPr>
      <w:r>
        <w:rPr>
          <w:rFonts w:hint="eastAsia" w:cs="仿宋"/>
          <w:sz w:val="32"/>
          <w:szCs w:val="32"/>
          <w:lang w:val="en-US" w:eastAsia="zh-CN"/>
        </w:rPr>
        <w:t>2)</w:t>
      </w:r>
      <w:r>
        <w:rPr>
          <w:rFonts w:hint="eastAsia" w:ascii="仿宋" w:hAnsi="仿宋" w:eastAsia="仿宋" w:cs="仿宋"/>
          <w:sz w:val="32"/>
          <w:szCs w:val="32"/>
        </w:rPr>
        <w:t>立项依据</w:t>
      </w:r>
      <w:r>
        <w:rPr>
          <w:rFonts w:hint="eastAsia" w:cs="仿宋"/>
          <w:sz w:val="32"/>
          <w:szCs w:val="32"/>
          <w:lang w:eastAsia="zh-CN"/>
        </w:rPr>
        <w:t>：</w:t>
      </w:r>
    </w:p>
    <w:p w14:paraId="467A50C0">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《庐山市义务教育学校课后服务工作实施方案》（庐教体发〔2021〕92号）。</w:t>
      </w:r>
    </w:p>
    <w:p w14:paraId="3CB82503">
      <w:pPr>
        <w:numPr>
          <w:ilvl w:val="0"/>
          <w:numId w:val="0"/>
        </w:numPr>
        <w:ind w:firstLine="640" w:firstLineChars="200"/>
        <w:rPr>
          <w:rFonts w:hint="eastAsia" w:ascii="仿宋" w:hAnsi="仿宋" w:eastAsia="仿宋" w:cs="仿宋"/>
          <w:sz w:val="32"/>
          <w:szCs w:val="32"/>
          <w:lang w:val="en-US" w:eastAsia="zh-CN"/>
        </w:rPr>
      </w:pPr>
      <w:r>
        <w:rPr>
          <w:rFonts w:hint="eastAsia" w:cs="仿宋"/>
          <w:sz w:val="32"/>
          <w:szCs w:val="32"/>
          <w:lang w:val="en-US" w:eastAsia="zh-CN"/>
        </w:rPr>
        <w:t>3）</w:t>
      </w:r>
      <w:r>
        <w:rPr>
          <w:rFonts w:hint="eastAsia" w:ascii="仿宋" w:hAnsi="仿宋" w:eastAsia="仿宋" w:cs="仿宋"/>
          <w:sz w:val="32"/>
          <w:szCs w:val="32"/>
        </w:rPr>
        <w:t>实施主体</w:t>
      </w:r>
      <w:r>
        <w:rPr>
          <w:rFonts w:hint="eastAsia" w:cs="仿宋"/>
          <w:sz w:val="32"/>
          <w:szCs w:val="32"/>
          <w:lang w:eastAsia="zh-CN"/>
        </w:rPr>
        <w:t>：</w:t>
      </w:r>
      <w:r>
        <w:rPr>
          <w:rFonts w:hint="eastAsia" w:ascii="仿宋" w:hAnsi="仿宋" w:eastAsia="仿宋" w:cs="仿宋"/>
          <w:sz w:val="32"/>
          <w:szCs w:val="32"/>
          <w:lang w:val="en-US" w:eastAsia="zh-CN"/>
        </w:rPr>
        <w:t>庐山市</w:t>
      </w:r>
      <w:r>
        <w:rPr>
          <w:rFonts w:hint="eastAsia" w:cs="仿宋"/>
          <w:sz w:val="32"/>
          <w:szCs w:val="32"/>
          <w:lang w:val="en-US" w:eastAsia="zh-CN"/>
        </w:rPr>
        <w:t>海会中</w:t>
      </w:r>
      <w:r>
        <w:rPr>
          <w:rFonts w:hint="eastAsia" w:ascii="仿宋" w:hAnsi="仿宋" w:eastAsia="仿宋" w:cs="仿宋"/>
          <w:sz w:val="32"/>
          <w:szCs w:val="32"/>
          <w:lang w:val="en-US" w:eastAsia="zh-CN"/>
        </w:rPr>
        <w:t>学。</w:t>
      </w:r>
    </w:p>
    <w:p w14:paraId="202621F9">
      <w:pPr>
        <w:numPr>
          <w:ilvl w:val="0"/>
          <w:numId w:val="0"/>
        </w:numPr>
        <w:ind w:firstLine="640" w:firstLineChars="200"/>
        <w:rPr>
          <w:rFonts w:hint="eastAsia" w:ascii="仿宋" w:hAnsi="仿宋" w:eastAsia="仿宋" w:cs="仿宋"/>
          <w:sz w:val="32"/>
          <w:szCs w:val="32"/>
        </w:rPr>
      </w:pPr>
      <w:r>
        <w:rPr>
          <w:rFonts w:hint="eastAsia" w:cs="仿宋"/>
          <w:sz w:val="32"/>
          <w:szCs w:val="32"/>
          <w:lang w:val="en-US" w:eastAsia="zh-CN"/>
        </w:rPr>
        <w:t>4）</w:t>
      </w:r>
      <w:r>
        <w:rPr>
          <w:rFonts w:hint="eastAsia" w:ascii="仿宋" w:hAnsi="仿宋" w:eastAsia="仿宋" w:cs="仿宋"/>
          <w:sz w:val="32"/>
          <w:szCs w:val="32"/>
        </w:rPr>
        <w:t>实施方案</w:t>
      </w:r>
      <w:r>
        <w:rPr>
          <w:rFonts w:hint="eastAsia" w:cs="仿宋"/>
          <w:sz w:val="32"/>
          <w:szCs w:val="32"/>
          <w:lang w:eastAsia="zh-CN"/>
        </w:rPr>
        <w:t>：</w:t>
      </w:r>
    </w:p>
    <w:p w14:paraId="5476DF78">
      <w:pPr>
        <w:numPr>
          <w:ilvl w:val="0"/>
          <w:numId w:val="0"/>
        </w:num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课后服务费的10%用于学校课后服务运行（</w:t>
      </w:r>
      <w:r>
        <w:rPr>
          <w:rFonts w:hint="eastAsia" w:ascii="仿宋" w:hAnsi="仿宋" w:eastAsia="仿宋" w:cs="仿宋"/>
          <w:bCs/>
          <w:sz w:val="32"/>
          <w:szCs w:val="32"/>
        </w:rPr>
        <w:t>用于支付学校开展课后服务活动产生的水电、宣传、教材、设备器材等费用；用于支付学校开展学生文体活动等费用；用于支付校级特色兴趣队伍专题训练等费用；用于支付学校课后服务活动相关的其他费用）</w:t>
      </w:r>
      <w:r>
        <w:rPr>
          <w:rFonts w:hint="eastAsia" w:ascii="仿宋" w:hAnsi="仿宋" w:eastAsia="仿宋" w:cs="仿宋"/>
          <w:bCs/>
          <w:sz w:val="32"/>
          <w:szCs w:val="32"/>
          <w:lang w:eastAsia="zh-CN"/>
        </w:rPr>
        <w:t>。</w:t>
      </w:r>
    </w:p>
    <w:p w14:paraId="60B44CD9">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 xml:space="preserve"> 5）实施周期</w:t>
      </w:r>
      <w:r>
        <w:rPr>
          <w:rFonts w:hint="eastAsia" w:cs="仿宋"/>
          <w:sz w:val="32"/>
          <w:szCs w:val="32"/>
          <w:lang w:eastAsia="zh-CN"/>
        </w:rPr>
        <w:t>：</w:t>
      </w:r>
      <w:r>
        <w:rPr>
          <w:rFonts w:hint="eastAsia" w:ascii="仿宋" w:hAnsi="仿宋" w:eastAsia="仿宋" w:cs="仿宋"/>
          <w:sz w:val="32"/>
          <w:szCs w:val="32"/>
          <w:lang w:val="en-US" w:eastAsia="zh-CN"/>
        </w:rPr>
        <w:t>2025年1月1日至2025年12月31日。</w:t>
      </w:r>
    </w:p>
    <w:p w14:paraId="632348D5">
      <w:pPr>
        <w:ind w:firstLine="642"/>
        <w:rPr>
          <w:rFonts w:hint="eastAsia" w:ascii="仿宋" w:hAnsi="仿宋" w:eastAsia="仿宋" w:cs="仿宋"/>
          <w:kern w:val="0"/>
        </w:rPr>
      </w:pPr>
      <w:r>
        <w:rPr>
          <w:rFonts w:hint="eastAsia" w:ascii="仿宋" w:hAnsi="仿宋" w:eastAsia="仿宋" w:cs="仿宋"/>
          <w:sz w:val="32"/>
          <w:szCs w:val="32"/>
        </w:rPr>
        <w:t xml:space="preserve"> 6）年度预算安排</w:t>
      </w:r>
      <w:r>
        <w:rPr>
          <w:rFonts w:hint="eastAsia" w:cs="仿宋"/>
          <w:sz w:val="32"/>
          <w:szCs w:val="32"/>
          <w:lang w:eastAsia="zh-CN"/>
        </w:rPr>
        <w:t>：</w:t>
      </w:r>
      <w:r>
        <w:rPr>
          <w:rStyle w:val="13"/>
          <w:rFonts w:hint="eastAsia" w:ascii="仿宋" w:hAnsi="仿宋" w:eastAsia="仿宋" w:cs="仿宋"/>
          <w:sz w:val="32"/>
          <w:szCs w:val="32"/>
          <w:lang w:val="en-US" w:eastAsia="zh-CN"/>
        </w:rPr>
        <w:t>2025年</w:t>
      </w:r>
      <w:r>
        <w:rPr>
          <w:rStyle w:val="13"/>
          <w:rFonts w:hint="eastAsia" w:cs="仿宋"/>
          <w:sz w:val="32"/>
          <w:szCs w:val="32"/>
          <w:lang w:val="en-US" w:eastAsia="zh-CN"/>
        </w:rPr>
        <w:t>预算安排1.7万元。</w:t>
      </w:r>
    </w:p>
    <w:p w14:paraId="115B094D">
      <w:pPr>
        <w:ind w:firstLine="642"/>
        <w:rPr>
          <w:rFonts w:hint="eastAsia" w:cs="仿宋"/>
          <w:b/>
          <w:bCs/>
          <w:sz w:val="32"/>
          <w:szCs w:val="32"/>
          <w:lang w:val="en-US" w:eastAsia="zh-CN"/>
        </w:rPr>
      </w:pPr>
      <w:r>
        <w:rPr>
          <w:rFonts w:hint="eastAsia" w:cs="仿宋"/>
          <w:b/>
          <w:bCs/>
          <w:sz w:val="32"/>
          <w:szCs w:val="32"/>
          <w:lang w:val="en-US" w:eastAsia="zh-CN"/>
        </w:rPr>
        <w:t>2、项目名称：城乡义务教育生均公用经费(初中)_基本民生保障需求</w:t>
      </w:r>
    </w:p>
    <w:p w14:paraId="55853670">
      <w:pPr>
        <w:ind w:firstLine="642"/>
        <w:rPr>
          <w:rFonts w:hint="eastAsia" w:ascii="仿宋" w:hAnsi="仿宋" w:eastAsia="仿宋" w:cs="仿宋"/>
          <w:sz w:val="32"/>
          <w:szCs w:val="32"/>
          <w:lang w:eastAsia="zh-CN"/>
        </w:rPr>
      </w:pPr>
      <w:r>
        <w:rPr>
          <w:rFonts w:hint="eastAsia" w:ascii="仿宋" w:hAnsi="仿宋" w:eastAsia="仿宋" w:cs="仿宋"/>
          <w:sz w:val="32"/>
          <w:szCs w:val="32"/>
        </w:rPr>
        <w:t>1）项目概述</w:t>
      </w:r>
      <w:r>
        <w:rPr>
          <w:rFonts w:hint="eastAsia" w:cs="仿宋"/>
          <w:sz w:val="32"/>
          <w:szCs w:val="32"/>
          <w:lang w:eastAsia="zh-CN"/>
        </w:rPr>
        <w:t>：</w:t>
      </w:r>
    </w:p>
    <w:p w14:paraId="127004D2">
      <w:pPr>
        <w:ind w:firstLine="642"/>
        <w:rPr>
          <w:rFonts w:hint="eastAsia" w:ascii="仿宋" w:hAnsi="仿宋" w:eastAsia="仿宋" w:cs="仿宋"/>
          <w:sz w:val="32"/>
          <w:szCs w:val="32"/>
        </w:rPr>
      </w:pPr>
      <w:r>
        <w:rPr>
          <w:rFonts w:hint="eastAsia" w:ascii="仿宋" w:hAnsi="仿宋" w:eastAsia="仿宋" w:cs="仿宋"/>
          <w:sz w:val="32"/>
          <w:szCs w:val="32"/>
        </w:rPr>
        <w:t>庐山市海会中学2025年义务教育经费（本级资金）投入预算11万元，确保学校正常运转，实现城乡义务教育在更高层次的均衡发展，促进教育公平、提高教育质量，保障教育事业健康发展。</w:t>
      </w:r>
    </w:p>
    <w:p w14:paraId="7A7A1232">
      <w:pPr>
        <w:numPr>
          <w:ilvl w:val="0"/>
          <w:numId w:val="0"/>
        </w:numPr>
        <w:ind w:firstLine="640" w:firstLineChars="200"/>
        <w:rPr>
          <w:rFonts w:hint="eastAsia" w:ascii="仿宋" w:hAnsi="仿宋" w:eastAsia="仿宋" w:cs="仿宋"/>
          <w:sz w:val="32"/>
          <w:szCs w:val="32"/>
        </w:rPr>
      </w:pPr>
      <w:r>
        <w:rPr>
          <w:rFonts w:hint="eastAsia" w:cs="仿宋"/>
          <w:sz w:val="32"/>
          <w:szCs w:val="32"/>
          <w:lang w:val="en-US" w:eastAsia="zh-CN"/>
        </w:rPr>
        <w:t>2)</w:t>
      </w:r>
      <w:r>
        <w:rPr>
          <w:rFonts w:hint="eastAsia" w:ascii="仿宋" w:hAnsi="仿宋" w:eastAsia="仿宋" w:cs="仿宋"/>
          <w:sz w:val="32"/>
          <w:szCs w:val="32"/>
        </w:rPr>
        <w:t>立项依据</w:t>
      </w:r>
      <w:r>
        <w:rPr>
          <w:rFonts w:hint="eastAsia" w:cs="仿宋"/>
          <w:sz w:val="32"/>
          <w:szCs w:val="32"/>
          <w:lang w:eastAsia="zh-CN"/>
        </w:rPr>
        <w:t>：</w:t>
      </w:r>
    </w:p>
    <w:p w14:paraId="42F92398">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w:t>
      </w:r>
      <w:r>
        <w:rPr>
          <w:rFonts w:hint="eastAsia" w:cs="仿宋"/>
          <w:sz w:val="32"/>
          <w:szCs w:val="32"/>
          <w:lang w:val="en-US" w:eastAsia="zh-CN"/>
        </w:rPr>
        <w:t>关于提前下达全市2025年各义务教育学校公用经费本级资金预算的通知</w:t>
      </w:r>
      <w:r>
        <w:rPr>
          <w:rFonts w:hint="eastAsia" w:ascii="仿宋" w:hAnsi="仿宋" w:eastAsia="仿宋" w:cs="仿宋"/>
          <w:sz w:val="32"/>
          <w:szCs w:val="32"/>
          <w:lang w:val="en-US" w:eastAsia="zh-CN"/>
        </w:rPr>
        <w:t>》（庐</w:t>
      </w:r>
      <w:r>
        <w:rPr>
          <w:rFonts w:hint="eastAsia" w:cs="仿宋"/>
          <w:sz w:val="32"/>
          <w:szCs w:val="32"/>
          <w:lang w:val="en-US" w:eastAsia="zh-CN"/>
        </w:rPr>
        <w:t>财教指【2024】41</w:t>
      </w:r>
      <w:r>
        <w:rPr>
          <w:rFonts w:hint="eastAsia" w:ascii="仿宋" w:hAnsi="仿宋" w:eastAsia="仿宋" w:cs="仿宋"/>
          <w:sz w:val="32"/>
          <w:szCs w:val="32"/>
          <w:lang w:val="en-US" w:eastAsia="zh-CN"/>
        </w:rPr>
        <w:t>号）。</w:t>
      </w:r>
    </w:p>
    <w:p w14:paraId="6181EEEA">
      <w:pPr>
        <w:numPr>
          <w:ilvl w:val="0"/>
          <w:numId w:val="0"/>
        </w:numPr>
        <w:ind w:firstLine="640" w:firstLineChars="200"/>
        <w:rPr>
          <w:rFonts w:hint="eastAsia" w:ascii="仿宋" w:hAnsi="仿宋" w:eastAsia="仿宋" w:cs="仿宋"/>
          <w:sz w:val="32"/>
          <w:szCs w:val="32"/>
          <w:lang w:val="en-US" w:eastAsia="zh-CN"/>
        </w:rPr>
      </w:pPr>
      <w:r>
        <w:rPr>
          <w:rFonts w:hint="eastAsia" w:cs="仿宋"/>
          <w:sz w:val="32"/>
          <w:szCs w:val="32"/>
          <w:lang w:val="en-US" w:eastAsia="zh-CN"/>
        </w:rPr>
        <w:t>3）</w:t>
      </w:r>
      <w:r>
        <w:rPr>
          <w:rFonts w:hint="eastAsia" w:ascii="仿宋" w:hAnsi="仿宋" w:eastAsia="仿宋" w:cs="仿宋"/>
          <w:sz w:val="32"/>
          <w:szCs w:val="32"/>
        </w:rPr>
        <w:t>实施主体</w:t>
      </w:r>
      <w:r>
        <w:rPr>
          <w:rFonts w:hint="eastAsia" w:cs="仿宋"/>
          <w:sz w:val="32"/>
          <w:szCs w:val="32"/>
          <w:lang w:eastAsia="zh-CN"/>
        </w:rPr>
        <w:t>：</w:t>
      </w:r>
      <w:r>
        <w:rPr>
          <w:rFonts w:hint="eastAsia" w:ascii="仿宋" w:hAnsi="仿宋" w:eastAsia="仿宋" w:cs="仿宋"/>
          <w:sz w:val="32"/>
          <w:szCs w:val="32"/>
          <w:lang w:val="en-US" w:eastAsia="zh-CN"/>
        </w:rPr>
        <w:t>庐山市</w:t>
      </w:r>
      <w:r>
        <w:rPr>
          <w:rFonts w:hint="eastAsia" w:cs="仿宋"/>
          <w:sz w:val="32"/>
          <w:szCs w:val="32"/>
          <w:lang w:val="en-US" w:eastAsia="zh-CN"/>
        </w:rPr>
        <w:t>海会中</w:t>
      </w:r>
      <w:r>
        <w:rPr>
          <w:rFonts w:hint="eastAsia" w:ascii="仿宋" w:hAnsi="仿宋" w:eastAsia="仿宋" w:cs="仿宋"/>
          <w:sz w:val="32"/>
          <w:szCs w:val="32"/>
          <w:lang w:val="en-US" w:eastAsia="zh-CN"/>
        </w:rPr>
        <w:t>学。</w:t>
      </w:r>
    </w:p>
    <w:p w14:paraId="21C7863D">
      <w:pPr>
        <w:numPr>
          <w:ilvl w:val="0"/>
          <w:numId w:val="0"/>
        </w:numPr>
        <w:ind w:firstLine="640" w:firstLineChars="200"/>
        <w:rPr>
          <w:rFonts w:hint="eastAsia" w:ascii="仿宋" w:hAnsi="仿宋" w:eastAsia="仿宋" w:cs="仿宋"/>
          <w:sz w:val="32"/>
          <w:szCs w:val="32"/>
        </w:rPr>
      </w:pPr>
      <w:r>
        <w:rPr>
          <w:rFonts w:hint="eastAsia" w:cs="仿宋"/>
          <w:sz w:val="32"/>
          <w:szCs w:val="32"/>
          <w:lang w:val="en-US" w:eastAsia="zh-CN"/>
        </w:rPr>
        <w:t>4）</w:t>
      </w:r>
      <w:r>
        <w:rPr>
          <w:rFonts w:hint="eastAsia" w:ascii="仿宋" w:hAnsi="仿宋" w:eastAsia="仿宋" w:cs="仿宋"/>
          <w:sz w:val="32"/>
          <w:szCs w:val="32"/>
        </w:rPr>
        <w:t>实施方案</w:t>
      </w:r>
      <w:r>
        <w:rPr>
          <w:rFonts w:hint="eastAsia" w:cs="仿宋"/>
          <w:sz w:val="32"/>
          <w:szCs w:val="32"/>
          <w:lang w:eastAsia="zh-CN"/>
        </w:rPr>
        <w:t>：</w:t>
      </w:r>
    </w:p>
    <w:p w14:paraId="1855C409">
      <w:pPr>
        <w:numPr>
          <w:ilvl w:val="0"/>
          <w:numId w:val="0"/>
        </w:numPr>
        <w:ind w:firstLine="600" w:firstLineChars="200"/>
        <w:rPr>
          <w:rFonts w:hint="eastAsia" w:ascii="仿宋" w:hAnsi="仿宋" w:eastAsia="仿宋" w:cs="仿宋"/>
          <w:sz w:val="32"/>
          <w:szCs w:val="32"/>
          <w:lang w:eastAsia="zh-CN"/>
        </w:rPr>
      </w:pPr>
      <w:r>
        <w:rPr>
          <w:rFonts w:hint="eastAsia" w:cs="仿宋"/>
          <w:sz w:val="30"/>
          <w:szCs w:val="30"/>
          <w:lang w:val="en-US" w:eastAsia="zh-CN"/>
        </w:rPr>
        <w:t>提前下达的义务教育公用经费本级资金</w:t>
      </w:r>
      <w:r>
        <w:rPr>
          <w:rFonts w:hint="eastAsia" w:ascii="仿宋" w:hAnsi="仿宋" w:eastAsia="仿宋" w:cs="仿宋"/>
          <w:bCs/>
          <w:sz w:val="30"/>
          <w:szCs w:val="30"/>
        </w:rPr>
        <w:t>用于支付学校的</w:t>
      </w:r>
      <w:r>
        <w:rPr>
          <w:rFonts w:hint="eastAsia" w:cs="仿宋"/>
          <w:bCs/>
          <w:sz w:val="30"/>
          <w:szCs w:val="30"/>
          <w:lang w:val="en-US" w:eastAsia="zh-CN"/>
        </w:rPr>
        <w:t>办公费、水电费、邮电费、差旅费、维修维护费、其他商品服务支出</w:t>
      </w:r>
      <w:r>
        <w:rPr>
          <w:rFonts w:hint="eastAsia" w:ascii="仿宋" w:hAnsi="仿宋" w:eastAsia="仿宋" w:cs="仿宋"/>
          <w:bCs/>
          <w:sz w:val="30"/>
          <w:szCs w:val="30"/>
          <w:lang w:eastAsia="zh-CN"/>
        </w:rPr>
        <w:t>。</w:t>
      </w:r>
    </w:p>
    <w:p w14:paraId="1F55F08D">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5）实施周期</w:t>
      </w:r>
      <w:r>
        <w:rPr>
          <w:rFonts w:hint="eastAsia" w:cs="仿宋"/>
          <w:sz w:val="32"/>
          <w:szCs w:val="32"/>
          <w:lang w:eastAsia="zh-CN"/>
        </w:rPr>
        <w:t>：</w:t>
      </w:r>
      <w:r>
        <w:rPr>
          <w:rFonts w:hint="eastAsia" w:ascii="仿宋" w:hAnsi="仿宋" w:eastAsia="仿宋" w:cs="仿宋"/>
          <w:sz w:val="32"/>
          <w:szCs w:val="32"/>
          <w:lang w:val="en-US" w:eastAsia="zh-CN"/>
        </w:rPr>
        <w:t>2025年1月1日至2025年12月31日。</w:t>
      </w:r>
    </w:p>
    <w:p w14:paraId="38D35DD1">
      <w:pPr>
        <w:ind w:firstLine="642"/>
        <w:rPr>
          <w:rFonts w:hint="eastAsia" w:ascii="仿宋" w:hAnsi="仿宋" w:eastAsia="仿宋" w:cs="仿宋"/>
          <w:kern w:val="2"/>
          <w:sz w:val="32"/>
          <w:szCs w:val="32"/>
        </w:rPr>
      </w:pPr>
      <w:r>
        <w:rPr>
          <w:rFonts w:hint="eastAsia" w:ascii="仿宋" w:hAnsi="仿宋" w:eastAsia="仿宋" w:cs="仿宋"/>
          <w:sz w:val="32"/>
          <w:szCs w:val="32"/>
        </w:rPr>
        <w:t>6）年度预算安排</w:t>
      </w:r>
      <w:r>
        <w:rPr>
          <w:rFonts w:hint="eastAsia" w:cs="仿宋"/>
          <w:sz w:val="32"/>
          <w:szCs w:val="32"/>
          <w:lang w:eastAsia="zh-CN"/>
        </w:rPr>
        <w:t>：</w:t>
      </w:r>
      <w:r>
        <w:rPr>
          <w:rFonts w:hint="eastAsia" w:ascii="仿宋" w:hAnsi="仿宋" w:eastAsia="仿宋" w:cs="仿宋"/>
          <w:kern w:val="2"/>
          <w:sz w:val="32"/>
          <w:szCs w:val="32"/>
          <w:lang w:val="en-US" w:eastAsia="zh-CN" w:bidi="ar"/>
        </w:rPr>
        <w:t>2025年年度预算安排11万元。</w:t>
      </w:r>
    </w:p>
    <w:p w14:paraId="54E6A50F"/>
    <w:p w14:paraId="170DE5F4">
      <w:r>
        <w:rPr>
          <w:rFonts w:hint="eastAsia" w:ascii="楷体_GB2312" w:hAnsi="楷体_GB2312" w:eastAsia="楷体_GB2312" w:cs="楷体_GB2312"/>
          <w:b/>
          <w:bCs/>
          <w:kern w:val="0"/>
        </w:rPr>
        <w:t>二、</w:t>
      </w:r>
      <w:r>
        <w:rPr>
          <w:rFonts w:hint="eastAsia" w:ascii="楷体_GB2312" w:hAnsi="楷体_GB2312" w:eastAsia="楷体_GB2312" w:cs="楷体_GB2312"/>
          <w:b/>
          <w:bCs/>
        </w:rPr>
        <w:t>2025年“三公”经费预算情况说明</w:t>
      </w:r>
    </w:p>
    <w:p w14:paraId="6299AF19">
      <w:r>
        <w:rPr>
          <w:rFonts w:hint="eastAsia"/>
        </w:rPr>
        <w:t>2025年庐山市海会中学“三公”经费财政拨款安排0万元，其中：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529BD117">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1667CAED">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2EF94C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bCs/>
          <w:sz w:val="32"/>
          <w:szCs w:val="32"/>
          <w:lang w:val="en-US" w:eastAsia="zh-CN"/>
        </w:rPr>
        <w:t>0</w:t>
      </w:r>
      <w:r>
        <w:rPr>
          <w:rFonts w:ascii="仿宋" w:hAnsi="仿宋" w:eastAsia="仿宋"/>
          <w:bCs/>
          <w:sz w:val="32"/>
          <w:szCs w:val="32"/>
        </w:rPr>
        <w:t>万元,比上年增（减</w:t>
      </w:r>
      <w:r>
        <w:rPr>
          <w:rFonts w:hint="eastAsia"/>
          <w:bCs/>
          <w:sz w:val="32"/>
          <w:szCs w:val="32"/>
          <w:lang w:eastAsia="zh-CN"/>
        </w:rPr>
        <w:t>）</w:t>
      </w:r>
      <w:r>
        <w:rPr>
          <w:rFonts w:hint="eastAsia"/>
          <w:bCs/>
          <w:sz w:val="32"/>
          <w:szCs w:val="32"/>
          <w:lang w:val="en-US" w:eastAsia="zh-CN"/>
        </w:rPr>
        <w:t>0</w:t>
      </w:r>
      <w:r>
        <w:rPr>
          <w:rFonts w:ascii="仿宋" w:hAnsi="仿宋" w:eastAsia="仿宋"/>
          <w:bCs/>
          <w:sz w:val="32"/>
          <w:szCs w:val="32"/>
        </w:rPr>
        <w:t>万元，主要原因是：</w:t>
      </w:r>
      <w:r>
        <w:rPr>
          <w:rFonts w:hint="eastAsia"/>
          <w:bCs/>
          <w:sz w:val="32"/>
          <w:szCs w:val="32"/>
          <w:lang w:val="en-US" w:eastAsia="zh-CN"/>
        </w:rPr>
        <w:t>与上年保持一致</w:t>
      </w:r>
      <w:r>
        <w:rPr>
          <w:rFonts w:ascii="仿宋" w:hAnsi="仿宋" w:eastAsia="仿宋"/>
          <w:bCs/>
          <w:sz w:val="32"/>
          <w:szCs w:val="32"/>
        </w:rPr>
        <w:t>。</w:t>
      </w:r>
    </w:p>
    <w:p w14:paraId="4548F6A4">
      <w:pPr>
        <w:ind w:firstLine="640" w:firstLineChars="200"/>
        <w:jc w:val="left"/>
        <w:rPr>
          <w:rFonts w:ascii="仿宋" w:hAnsi="仿宋" w:eastAsia="仿宋"/>
          <w:bCs/>
          <w:sz w:val="32"/>
          <w:szCs w:val="32"/>
        </w:rPr>
      </w:pPr>
    </w:p>
    <w:p w14:paraId="242C7CBB">
      <w:pPr>
        <w:widowControl/>
        <w:shd w:val="clear" w:color="auto" w:fill="FFFFFF"/>
        <w:spacing w:line="640" w:lineRule="atLeast"/>
        <w:ind w:firstLine="640" w:firstLineChars="0"/>
        <w:jc w:val="center"/>
        <w:rPr>
          <w:rFonts w:ascii="Arial" w:hAnsi="Arial" w:cs="Arial" w:eastAsiaTheme="minorEastAsia"/>
          <w:color w:val="333333"/>
          <w:sz w:val="14"/>
          <w:szCs w:val="14"/>
        </w:rPr>
      </w:pPr>
      <w:r>
        <w:rPr>
          <w:rFonts w:hint="eastAsia" w:ascii="仿宋_GB2312" w:eastAsia="仿宋_GB2312" w:hAnsiTheme="minorHAnsi"/>
          <w:b/>
          <w:sz w:val="32"/>
          <w:szCs w:val="30"/>
        </w:rPr>
        <w:t>第四部分   名词解释</w:t>
      </w:r>
    </w:p>
    <w:p w14:paraId="62D7A737">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3D06AC7A">
      <w:pPr>
        <w:widowControl/>
        <w:numPr>
          <w:ilvl w:val="0"/>
          <w:numId w:val="1"/>
        </w:numPr>
        <w:spacing w:line="600" w:lineRule="exact"/>
        <w:ind w:firstLine="640" w:firstLineChars="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4C929D39">
      <w:pPr>
        <w:widowControl/>
        <w:numPr>
          <w:ilvl w:val="0"/>
          <w:numId w:val="1"/>
        </w:numPr>
        <w:spacing w:line="600" w:lineRule="exact"/>
        <w:ind w:firstLine="640" w:firstLineChars="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5FC6B331">
      <w:pPr>
        <w:widowControl/>
        <w:spacing w:line="600" w:lineRule="exact"/>
        <w:ind w:firstLine="636" w:firstLineChars="0"/>
        <w:jc w:val="left"/>
        <w:rPr>
          <w:rFonts w:ascii="仿宋_GB2312" w:eastAsia="仿宋_GB2312" w:hAnsiTheme="minorHAnsi"/>
          <w:color w:val="000000"/>
          <w:sz w:val="32"/>
          <w:szCs w:val="30"/>
        </w:rPr>
      </w:pPr>
      <w:r>
        <w:rPr>
          <w:rFonts w:hint="eastAsia" w:ascii="Adobe 仿宋 Std R" w:hAnsi="Adobe 仿宋 Std R" w:eastAsia="Adobe 仿宋 Std R"/>
          <w:sz w:val="32"/>
          <w:szCs w:val="32"/>
        </w:rPr>
        <w:t>（三）</w:t>
      </w:r>
      <w:r>
        <w:rPr>
          <w:rFonts w:hint="eastAsia" w:ascii="仿宋_GB2312" w:eastAsia="仿宋_GB2312" w:hAnsiTheme="minorHAnsi"/>
          <w:color w:val="000000"/>
          <w:sz w:val="32"/>
          <w:szCs w:val="30"/>
        </w:rPr>
        <w:t>事业收入：指事业单位开展专业业务活动及辅助活动取得的收入。</w:t>
      </w:r>
    </w:p>
    <w:p w14:paraId="372CFD6D">
      <w:pPr>
        <w:widowControl/>
        <w:spacing w:line="600" w:lineRule="exact"/>
        <w:ind w:firstLine="636" w:firstLineChars="0"/>
        <w:jc w:val="left"/>
        <w:rPr>
          <w:rFonts w:ascii="仿宋_GB2312" w:eastAsia="仿宋_GB2312" w:hAnsiTheme="minorHAnsi"/>
          <w:color w:val="000000"/>
          <w:sz w:val="32"/>
          <w:szCs w:val="30"/>
        </w:rPr>
      </w:pPr>
      <w:r>
        <w:rPr>
          <w:rFonts w:hint="eastAsia" w:ascii="Adobe 仿宋 Std R" w:hAnsi="Adobe 仿宋 Std R" w:eastAsia="Adobe 仿宋 Std R"/>
          <w:sz w:val="32"/>
          <w:szCs w:val="32"/>
        </w:rPr>
        <w:t>（四）</w:t>
      </w:r>
      <w:r>
        <w:rPr>
          <w:rFonts w:hint="eastAsia" w:ascii="仿宋_GB2312" w:eastAsia="仿宋_GB2312" w:hAnsiTheme="minorHAnsi"/>
          <w:color w:val="000000"/>
          <w:sz w:val="32"/>
          <w:szCs w:val="30"/>
        </w:rPr>
        <w:t>事业单位经营收入：指事业单位在专业业务活动及辅助活动之外开展非独立核算经营活动取得的收入。</w:t>
      </w:r>
    </w:p>
    <w:p w14:paraId="5B787548">
      <w:pPr>
        <w:widowControl/>
        <w:spacing w:line="580" w:lineRule="exact"/>
        <w:ind w:firstLine="636" w:firstLineChars="0"/>
        <w:jc w:val="left"/>
        <w:rPr>
          <w:rFonts w:ascii="Adobe 仿宋 Std R" w:hAnsi="Adobe 仿宋 Std R" w:eastAsia="Adobe 仿宋 Std R"/>
          <w:sz w:val="32"/>
          <w:szCs w:val="32"/>
        </w:rPr>
      </w:pPr>
      <w:r>
        <w:rPr>
          <w:rFonts w:hint="eastAsia" w:ascii="仿宋_GB2312" w:eastAsia="仿宋_GB2312" w:hAnsiTheme="minorHAnsi"/>
          <w:sz w:val="32"/>
          <w:szCs w:val="30"/>
        </w:rPr>
        <w:t>（</w:t>
      </w:r>
      <w:r>
        <w:rPr>
          <w:rFonts w:hint="eastAsia" w:ascii="Adobe 仿宋 Std R" w:hAnsi="Adobe 仿宋 Std R" w:eastAsia="Adobe 仿宋 Std R"/>
          <w:sz w:val="32"/>
          <w:szCs w:val="32"/>
        </w:rPr>
        <w:t>五）</w:t>
      </w:r>
      <w:r>
        <w:rPr>
          <w:rFonts w:hint="eastAsia" w:ascii="仿宋_GB2312" w:eastAsia="仿宋_GB2312" w:hAnsiTheme="minorHAnsi"/>
          <w:color w:val="000000"/>
          <w:sz w:val="32"/>
          <w:szCs w:val="30"/>
        </w:rPr>
        <w:t>附属单位上缴收入：反映事业单位附属的独立核算单位按规定标准或比例缴纳的各项收入。包括附属的事业单位上缴的收入和附属的企业上缴的利润等。</w:t>
      </w:r>
    </w:p>
    <w:p w14:paraId="40D6B716">
      <w:pPr>
        <w:spacing w:line="600" w:lineRule="exact"/>
        <w:ind w:firstLine="640" w:firstLineChars="200"/>
        <w:rPr>
          <w:rFonts w:ascii="仿宋_GB2312" w:eastAsia="仿宋_GB2312" w:hAnsiTheme="minorHAnsi"/>
          <w:color w:val="000000"/>
          <w:sz w:val="32"/>
          <w:szCs w:val="30"/>
        </w:rPr>
      </w:pPr>
      <w:r>
        <w:rPr>
          <w:rFonts w:hint="eastAsia" w:ascii="Adobe 仿宋 Std R" w:hAnsi="Adobe 仿宋 Std R" w:eastAsia="Adobe 仿宋 Std R"/>
          <w:sz w:val="32"/>
          <w:szCs w:val="32"/>
        </w:rPr>
        <w:t>（六）</w:t>
      </w:r>
      <w:r>
        <w:rPr>
          <w:rFonts w:hint="eastAsia" w:ascii="仿宋_GB2312" w:eastAsia="仿宋_GB2312" w:hAnsiTheme="minorHAnsi"/>
          <w:color w:val="000000"/>
          <w:sz w:val="32"/>
          <w:szCs w:val="30"/>
        </w:rPr>
        <w:t>上级补助收入：反映事业单位从主管部门和上级单位取得的非财政补助收入。</w:t>
      </w:r>
    </w:p>
    <w:p w14:paraId="64FD816B">
      <w:pPr>
        <w:widowControl/>
        <w:spacing w:line="600" w:lineRule="exact"/>
        <w:ind w:firstLine="636" w:firstLineChars="0"/>
        <w:jc w:val="left"/>
        <w:rPr>
          <w:rFonts w:ascii="仿宋_GB2312" w:eastAsia="仿宋_GB2312" w:hAnsiTheme="minorHAnsi"/>
          <w:color w:val="000000"/>
          <w:sz w:val="32"/>
          <w:szCs w:val="30"/>
        </w:rPr>
      </w:pPr>
      <w:r>
        <w:rPr>
          <w:rFonts w:hint="eastAsia" w:ascii="Adobe 仿宋 Std R" w:hAnsi="Adobe 仿宋 Std R" w:eastAsia="Adobe 仿宋 Std R"/>
          <w:sz w:val="32"/>
          <w:szCs w:val="32"/>
        </w:rPr>
        <w:t>（七）</w:t>
      </w:r>
      <w:r>
        <w:rPr>
          <w:rFonts w:hint="eastAsia" w:ascii="仿宋_GB2312" w:eastAsia="仿宋_GB2312" w:hAnsiTheme="minorHAnsi"/>
          <w:color w:val="000000"/>
          <w:sz w:val="32"/>
          <w:szCs w:val="30"/>
        </w:rPr>
        <w:t>其他收入：指除财政拨款、事业收入、事业单位经营收入等以外的各项收入。</w:t>
      </w:r>
    </w:p>
    <w:p w14:paraId="48A3E031">
      <w:pPr>
        <w:ind w:firstLine="640" w:firstLineChars="200"/>
        <w:rPr>
          <w:rFonts w:ascii="仿宋_GB2312" w:eastAsia="仿宋_GB2312" w:hAnsiTheme="minorHAnsi"/>
          <w:color w:val="000000"/>
          <w:sz w:val="32"/>
          <w:szCs w:val="30"/>
        </w:rPr>
      </w:pPr>
      <w:r>
        <w:rPr>
          <w:rFonts w:hint="eastAsia" w:ascii="Adobe 仿宋 Std R" w:hAnsi="Adobe 仿宋 Std R" w:eastAsia="Adobe 仿宋 Std R"/>
          <w:sz w:val="32"/>
          <w:szCs w:val="32"/>
        </w:rPr>
        <w:t>（八）</w:t>
      </w:r>
      <w:r>
        <w:rPr>
          <w:rFonts w:hint="eastAsia" w:ascii="仿宋_GB2312" w:eastAsia="仿宋_GB2312" w:hAnsiTheme="minorHAnsi"/>
          <w:color w:val="000000"/>
          <w:sz w:val="32"/>
          <w:szCs w:val="30"/>
        </w:rPr>
        <w:t>使用非财政拨款结余：填列历年滚存的非限定用途的非统计财政拨款结余弥补202</w:t>
      </w:r>
      <w:r>
        <w:rPr>
          <w:rFonts w:hint="eastAsia" w:ascii="仿宋_GB2312" w:eastAsia="仿宋_GB2312" w:hAnsiTheme="minorHAnsi"/>
          <w:color w:val="000000"/>
          <w:sz w:val="32"/>
          <w:szCs w:val="30"/>
          <w:lang w:val="en-US" w:eastAsia="zh-CN"/>
        </w:rPr>
        <w:t>5</w:t>
      </w:r>
      <w:r>
        <w:rPr>
          <w:rFonts w:hint="eastAsia" w:ascii="仿宋_GB2312" w:eastAsia="仿宋_GB2312" w:hAnsiTheme="minorHAnsi"/>
          <w:color w:val="000000"/>
          <w:sz w:val="32"/>
          <w:szCs w:val="30"/>
        </w:rPr>
        <w:t>年收支差额的数额。</w:t>
      </w:r>
    </w:p>
    <w:p w14:paraId="06C18C9C">
      <w:pPr>
        <w:spacing w:line="600" w:lineRule="exact"/>
        <w:ind w:firstLine="640" w:firstLineChars="200"/>
        <w:rPr>
          <w:rFonts w:ascii="仿宋_GB2312" w:eastAsia="仿宋_GB2312" w:hAnsiTheme="minorHAnsi"/>
          <w:color w:val="000000"/>
          <w:sz w:val="32"/>
          <w:szCs w:val="30"/>
        </w:rPr>
      </w:pPr>
      <w:r>
        <w:rPr>
          <w:rFonts w:hint="eastAsia" w:ascii="Adobe 仿宋 Std R" w:hAnsi="Adobe 仿宋 Std R" w:eastAsia="Adobe 仿宋 Std R"/>
          <w:sz w:val="32"/>
          <w:szCs w:val="32"/>
        </w:rPr>
        <w:t>（九）</w:t>
      </w:r>
      <w:r>
        <w:rPr>
          <w:rFonts w:hint="eastAsia" w:ascii="仿宋_GB2312" w:eastAsia="仿宋_GB2312" w:hAnsiTheme="minorHAnsi"/>
          <w:color w:val="000000"/>
          <w:sz w:val="32"/>
          <w:szCs w:val="30"/>
        </w:rPr>
        <w:t>上年结转和结余：填列202</w:t>
      </w:r>
      <w:r>
        <w:rPr>
          <w:rFonts w:hint="eastAsia" w:ascii="仿宋_GB2312" w:eastAsia="仿宋_GB2312" w:hAnsiTheme="minorHAnsi"/>
          <w:color w:val="000000"/>
          <w:sz w:val="32"/>
          <w:szCs w:val="30"/>
          <w:lang w:val="en-US" w:eastAsia="zh-CN"/>
        </w:rPr>
        <w:t>4</w:t>
      </w:r>
      <w:r>
        <w:rPr>
          <w:rFonts w:hint="eastAsia" w:ascii="仿宋_GB2312" w:eastAsia="仿宋_GB2312" w:hAnsiTheme="minorHAnsi"/>
          <w:color w:val="000000"/>
          <w:sz w:val="32"/>
          <w:szCs w:val="30"/>
        </w:rPr>
        <w:t>年全部结转和结余的资金数，包括当年结转结余资金和历年滚存结转结余资金。</w:t>
      </w:r>
    </w:p>
    <w:p w14:paraId="278EC81C">
      <w:pPr>
        <w:ind w:firstLine="640" w:firstLineChars="200"/>
        <w:rPr>
          <w:rFonts w:ascii="Adobe 仿宋 Std R" w:hAnsi="Adobe 仿宋 Std R" w:eastAsia="Adobe 仿宋 Std R"/>
          <w:sz w:val="32"/>
          <w:szCs w:val="32"/>
        </w:rPr>
      </w:pPr>
    </w:p>
    <w:p w14:paraId="6A9BC908">
      <w:pPr>
        <w:ind w:firstLine="640" w:firstLineChars="200"/>
        <w:rPr>
          <w:rFonts w:ascii="Adobe 仿宋 Std R" w:hAnsi="Adobe 仿宋 Std R" w:eastAsia="Adobe 仿宋 Std R"/>
          <w:sz w:val="32"/>
          <w:szCs w:val="32"/>
        </w:rPr>
      </w:pPr>
    </w:p>
    <w:p w14:paraId="3E1DC7A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1E369F6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E2555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51FE694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7FEBA34E">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1E374596">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3DDF0183">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437D8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71A13BFE">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2AC582">
      <w:pPr>
        <w:widowControl/>
        <w:spacing w:line="600" w:lineRule="exact"/>
        <w:ind w:firstLine="640" w:firstLineChars="200"/>
        <w:jc w:val="left"/>
        <w:rPr>
          <w:rFonts w:ascii="仿宋_GB2312" w:eastAsia="仿宋_GB2312" w:hAnsiTheme="minorHAnsi"/>
          <w:color w:val="000000"/>
          <w:sz w:val="32"/>
          <w:szCs w:val="30"/>
        </w:rPr>
      </w:pPr>
      <w:r>
        <w:rPr>
          <w:rFonts w:hint="eastAsia" w:ascii="仿宋_GB2312" w:eastAsia="仿宋_GB2312" w:hAnsiTheme="minorHAnsi"/>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4415E82">
      <w:pPr>
        <w:widowControl/>
        <w:spacing w:line="600" w:lineRule="exact"/>
        <w:ind w:firstLine="640" w:firstLineChars="200"/>
        <w:jc w:val="left"/>
        <w:rPr>
          <w:rFonts w:hint="eastAsia" w:ascii="仿宋_GB2312" w:eastAsia="仿宋_GB2312" w:hAnsiTheme="minorHAnsi"/>
          <w:color w:val="000000"/>
          <w:sz w:val="32"/>
          <w:szCs w:val="30"/>
        </w:rPr>
      </w:pPr>
      <w:r>
        <w:rPr>
          <w:rFonts w:hint="eastAsia" w:ascii="仿宋_GB2312" w:eastAsia="仿宋_GB2312" w:hAnsiTheme="minorHAnsi"/>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7972FCA"/>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707"/>
      </w:pPr>
      <w:r>
        <w:separator/>
      </w:r>
    </w:p>
  </w:endnote>
  <w:endnote w:type="continuationSeparator" w:id="1">
    <w:p>
      <w:pPr>
        <w:ind w:firstLine="70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Adobe 仿宋 Std R">
    <w:panose1 w:val="02020400000000000000"/>
    <w:charset w:val="86"/>
    <w:family w:val="roman"/>
    <w:pitch w:val="default"/>
    <w:sig w:usb0="00000001" w:usb1="0A0F181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707"/>
      </w:pPr>
      <w:r>
        <w:separator/>
      </w:r>
    </w:p>
  </w:footnote>
  <w:footnote w:type="continuationSeparator" w:id="1">
    <w:p>
      <w:pPr>
        <w:ind w:firstLine="707"/>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108"/>
    <w:rsid w:val="00022CB3"/>
    <w:rsid w:val="00031749"/>
    <w:rsid w:val="00040B5E"/>
    <w:rsid w:val="00041EAA"/>
    <w:rsid w:val="00053111"/>
    <w:rsid w:val="00055F20"/>
    <w:rsid w:val="000609CC"/>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6CDF"/>
    <w:rsid w:val="00117D8C"/>
    <w:rsid w:val="0013060B"/>
    <w:rsid w:val="00131F78"/>
    <w:rsid w:val="00143884"/>
    <w:rsid w:val="00144EB3"/>
    <w:rsid w:val="00167DB0"/>
    <w:rsid w:val="001823EA"/>
    <w:rsid w:val="00186709"/>
    <w:rsid w:val="00192620"/>
    <w:rsid w:val="00193C37"/>
    <w:rsid w:val="001A0944"/>
    <w:rsid w:val="001A451F"/>
    <w:rsid w:val="001A6D82"/>
    <w:rsid w:val="001C4ED5"/>
    <w:rsid w:val="001C6F31"/>
    <w:rsid w:val="001D2644"/>
    <w:rsid w:val="001E633B"/>
    <w:rsid w:val="001E6FA2"/>
    <w:rsid w:val="001F1DED"/>
    <w:rsid w:val="0021331D"/>
    <w:rsid w:val="00213D4E"/>
    <w:rsid w:val="0022612A"/>
    <w:rsid w:val="00232A32"/>
    <w:rsid w:val="002355EB"/>
    <w:rsid w:val="002436CD"/>
    <w:rsid w:val="00251AD0"/>
    <w:rsid w:val="00252ECB"/>
    <w:rsid w:val="00256522"/>
    <w:rsid w:val="00265BC1"/>
    <w:rsid w:val="00273EE1"/>
    <w:rsid w:val="002741E5"/>
    <w:rsid w:val="00281E28"/>
    <w:rsid w:val="00283C63"/>
    <w:rsid w:val="00284437"/>
    <w:rsid w:val="00296654"/>
    <w:rsid w:val="002A02B4"/>
    <w:rsid w:val="002A1ED6"/>
    <w:rsid w:val="002A45BD"/>
    <w:rsid w:val="002B0263"/>
    <w:rsid w:val="002B128B"/>
    <w:rsid w:val="002B2D42"/>
    <w:rsid w:val="002C2478"/>
    <w:rsid w:val="002D18CE"/>
    <w:rsid w:val="002D2681"/>
    <w:rsid w:val="002D418E"/>
    <w:rsid w:val="002D497C"/>
    <w:rsid w:val="002E2EE9"/>
    <w:rsid w:val="0030186C"/>
    <w:rsid w:val="003057A1"/>
    <w:rsid w:val="0031568B"/>
    <w:rsid w:val="0032092A"/>
    <w:rsid w:val="00334A98"/>
    <w:rsid w:val="00344DED"/>
    <w:rsid w:val="003560FC"/>
    <w:rsid w:val="0036119C"/>
    <w:rsid w:val="00380DD1"/>
    <w:rsid w:val="00386217"/>
    <w:rsid w:val="00394DC6"/>
    <w:rsid w:val="003959F5"/>
    <w:rsid w:val="003A2923"/>
    <w:rsid w:val="003B68F4"/>
    <w:rsid w:val="003B76FD"/>
    <w:rsid w:val="003C0BFF"/>
    <w:rsid w:val="003C0D66"/>
    <w:rsid w:val="003C19AF"/>
    <w:rsid w:val="003C6154"/>
    <w:rsid w:val="003C7840"/>
    <w:rsid w:val="003D0809"/>
    <w:rsid w:val="004016C6"/>
    <w:rsid w:val="004021CF"/>
    <w:rsid w:val="004038DB"/>
    <w:rsid w:val="00406851"/>
    <w:rsid w:val="004345D9"/>
    <w:rsid w:val="00436836"/>
    <w:rsid w:val="0044016E"/>
    <w:rsid w:val="004422A2"/>
    <w:rsid w:val="00446148"/>
    <w:rsid w:val="004535A0"/>
    <w:rsid w:val="004535AC"/>
    <w:rsid w:val="00456869"/>
    <w:rsid w:val="004664AF"/>
    <w:rsid w:val="00472987"/>
    <w:rsid w:val="00480768"/>
    <w:rsid w:val="00495091"/>
    <w:rsid w:val="00495985"/>
    <w:rsid w:val="00496629"/>
    <w:rsid w:val="004A0058"/>
    <w:rsid w:val="004B06B4"/>
    <w:rsid w:val="004C4060"/>
    <w:rsid w:val="004D2293"/>
    <w:rsid w:val="004D46B3"/>
    <w:rsid w:val="004D530A"/>
    <w:rsid w:val="004D6A23"/>
    <w:rsid w:val="004E0577"/>
    <w:rsid w:val="004E5555"/>
    <w:rsid w:val="004F51F3"/>
    <w:rsid w:val="004F5378"/>
    <w:rsid w:val="004F7260"/>
    <w:rsid w:val="005006DE"/>
    <w:rsid w:val="00502AB1"/>
    <w:rsid w:val="005036E4"/>
    <w:rsid w:val="00516279"/>
    <w:rsid w:val="0052565B"/>
    <w:rsid w:val="00526265"/>
    <w:rsid w:val="00526CE0"/>
    <w:rsid w:val="00532264"/>
    <w:rsid w:val="00541FE6"/>
    <w:rsid w:val="00544895"/>
    <w:rsid w:val="00553AA6"/>
    <w:rsid w:val="0055670D"/>
    <w:rsid w:val="00571A5D"/>
    <w:rsid w:val="00576FA2"/>
    <w:rsid w:val="00580BF8"/>
    <w:rsid w:val="005828C8"/>
    <w:rsid w:val="005902D1"/>
    <w:rsid w:val="0059038A"/>
    <w:rsid w:val="005942E5"/>
    <w:rsid w:val="0059672A"/>
    <w:rsid w:val="00596957"/>
    <w:rsid w:val="005A3FD6"/>
    <w:rsid w:val="005C3DDD"/>
    <w:rsid w:val="005D3587"/>
    <w:rsid w:val="005D7ACB"/>
    <w:rsid w:val="005F090C"/>
    <w:rsid w:val="005F35BD"/>
    <w:rsid w:val="005F6727"/>
    <w:rsid w:val="005F69D4"/>
    <w:rsid w:val="00607F2B"/>
    <w:rsid w:val="00611FE7"/>
    <w:rsid w:val="006168F7"/>
    <w:rsid w:val="00623A52"/>
    <w:rsid w:val="00631E83"/>
    <w:rsid w:val="00631FA4"/>
    <w:rsid w:val="0063286F"/>
    <w:rsid w:val="00650900"/>
    <w:rsid w:val="00655E8B"/>
    <w:rsid w:val="00660CC3"/>
    <w:rsid w:val="00674082"/>
    <w:rsid w:val="006740FD"/>
    <w:rsid w:val="00682E0E"/>
    <w:rsid w:val="006833F4"/>
    <w:rsid w:val="006924DA"/>
    <w:rsid w:val="00696646"/>
    <w:rsid w:val="006A1709"/>
    <w:rsid w:val="006B2CA6"/>
    <w:rsid w:val="006C0C19"/>
    <w:rsid w:val="006C185B"/>
    <w:rsid w:val="006C3868"/>
    <w:rsid w:val="006E055B"/>
    <w:rsid w:val="006E25EE"/>
    <w:rsid w:val="006E470E"/>
    <w:rsid w:val="006F20BD"/>
    <w:rsid w:val="00704CAB"/>
    <w:rsid w:val="00723F08"/>
    <w:rsid w:val="007335A9"/>
    <w:rsid w:val="00735C41"/>
    <w:rsid w:val="007424E0"/>
    <w:rsid w:val="00742D51"/>
    <w:rsid w:val="0075709B"/>
    <w:rsid w:val="007574FE"/>
    <w:rsid w:val="00777795"/>
    <w:rsid w:val="00777962"/>
    <w:rsid w:val="007913DC"/>
    <w:rsid w:val="00792A6C"/>
    <w:rsid w:val="0079393D"/>
    <w:rsid w:val="00796F4F"/>
    <w:rsid w:val="007A4D44"/>
    <w:rsid w:val="007B4314"/>
    <w:rsid w:val="007C27E0"/>
    <w:rsid w:val="007D4023"/>
    <w:rsid w:val="007D4ACC"/>
    <w:rsid w:val="007D78E9"/>
    <w:rsid w:val="007F1616"/>
    <w:rsid w:val="007F2583"/>
    <w:rsid w:val="007F5C86"/>
    <w:rsid w:val="007F79A6"/>
    <w:rsid w:val="00804C42"/>
    <w:rsid w:val="00823697"/>
    <w:rsid w:val="008253F3"/>
    <w:rsid w:val="00846526"/>
    <w:rsid w:val="008506D9"/>
    <w:rsid w:val="00854F95"/>
    <w:rsid w:val="00863898"/>
    <w:rsid w:val="00864D3F"/>
    <w:rsid w:val="00865CCE"/>
    <w:rsid w:val="00872CE4"/>
    <w:rsid w:val="00875B04"/>
    <w:rsid w:val="00875C3A"/>
    <w:rsid w:val="00876D17"/>
    <w:rsid w:val="0088145F"/>
    <w:rsid w:val="00882C91"/>
    <w:rsid w:val="00884FAE"/>
    <w:rsid w:val="00894455"/>
    <w:rsid w:val="008979F6"/>
    <w:rsid w:val="008B0401"/>
    <w:rsid w:val="008B30B9"/>
    <w:rsid w:val="008B52E8"/>
    <w:rsid w:val="008C011F"/>
    <w:rsid w:val="008C01B1"/>
    <w:rsid w:val="008C6EEE"/>
    <w:rsid w:val="008E1EFA"/>
    <w:rsid w:val="00902917"/>
    <w:rsid w:val="0091783F"/>
    <w:rsid w:val="00920EAF"/>
    <w:rsid w:val="0094115F"/>
    <w:rsid w:val="009421D2"/>
    <w:rsid w:val="0094514C"/>
    <w:rsid w:val="00946A59"/>
    <w:rsid w:val="009471C3"/>
    <w:rsid w:val="0095097A"/>
    <w:rsid w:val="009527A7"/>
    <w:rsid w:val="009557AC"/>
    <w:rsid w:val="00956999"/>
    <w:rsid w:val="009619B4"/>
    <w:rsid w:val="00964A10"/>
    <w:rsid w:val="00964DCD"/>
    <w:rsid w:val="0097222E"/>
    <w:rsid w:val="00973905"/>
    <w:rsid w:val="0097415C"/>
    <w:rsid w:val="00984ACE"/>
    <w:rsid w:val="009A4624"/>
    <w:rsid w:val="009A7AB9"/>
    <w:rsid w:val="009B449A"/>
    <w:rsid w:val="009B4813"/>
    <w:rsid w:val="009B639A"/>
    <w:rsid w:val="009C2EBF"/>
    <w:rsid w:val="009E1C45"/>
    <w:rsid w:val="009E1F3F"/>
    <w:rsid w:val="009F1807"/>
    <w:rsid w:val="009F72E5"/>
    <w:rsid w:val="00A02463"/>
    <w:rsid w:val="00A0455D"/>
    <w:rsid w:val="00A10F16"/>
    <w:rsid w:val="00A2168A"/>
    <w:rsid w:val="00A33186"/>
    <w:rsid w:val="00A345A4"/>
    <w:rsid w:val="00A45305"/>
    <w:rsid w:val="00A54282"/>
    <w:rsid w:val="00A55773"/>
    <w:rsid w:val="00A60B4D"/>
    <w:rsid w:val="00A6297B"/>
    <w:rsid w:val="00A81B89"/>
    <w:rsid w:val="00A81BA2"/>
    <w:rsid w:val="00A8206C"/>
    <w:rsid w:val="00AA316E"/>
    <w:rsid w:val="00AA4301"/>
    <w:rsid w:val="00AB4B24"/>
    <w:rsid w:val="00AB656D"/>
    <w:rsid w:val="00AB7307"/>
    <w:rsid w:val="00AC370A"/>
    <w:rsid w:val="00AD40D5"/>
    <w:rsid w:val="00AE09D7"/>
    <w:rsid w:val="00AF095D"/>
    <w:rsid w:val="00AF3859"/>
    <w:rsid w:val="00AF57C9"/>
    <w:rsid w:val="00AF62CD"/>
    <w:rsid w:val="00B03D03"/>
    <w:rsid w:val="00B128C8"/>
    <w:rsid w:val="00B15E09"/>
    <w:rsid w:val="00B169A7"/>
    <w:rsid w:val="00B3166B"/>
    <w:rsid w:val="00B348A8"/>
    <w:rsid w:val="00B42D58"/>
    <w:rsid w:val="00B5453F"/>
    <w:rsid w:val="00B619F8"/>
    <w:rsid w:val="00B6242B"/>
    <w:rsid w:val="00B71EBE"/>
    <w:rsid w:val="00B82840"/>
    <w:rsid w:val="00B85D96"/>
    <w:rsid w:val="00BA3184"/>
    <w:rsid w:val="00BA572C"/>
    <w:rsid w:val="00BB676A"/>
    <w:rsid w:val="00BD7E39"/>
    <w:rsid w:val="00C03AFB"/>
    <w:rsid w:val="00C12F37"/>
    <w:rsid w:val="00C24340"/>
    <w:rsid w:val="00C31681"/>
    <w:rsid w:val="00C33157"/>
    <w:rsid w:val="00C35830"/>
    <w:rsid w:val="00C474E4"/>
    <w:rsid w:val="00C608F5"/>
    <w:rsid w:val="00C61B8F"/>
    <w:rsid w:val="00C644A7"/>
    <w:rsid w:val="00C64FFB"/>
    <w:rsid w:val="00C75D67"/>
    <w:rsid w:val="00C771B3"/>
    <w:rsid w:val="00C803DA"/>
    <w:rsid w:val="00C82CA3"/>
    <w:rsid w:val="00CA76E0"/>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24801"/>
    <w:rsid w:val="00D3381E"/>
    <w:rsid w:val="00D36173"/>
    <w:rsid w:val="00D371C3"/>
    <w:rsid w:val="00D41219"/>
    <w:rsid w:val="00D524EE"/>
    <w:rsid w:val="00D666BC"/>
    <w:rsid w:val="00D678E3"/>
    <w:rsid w:val="00D86F52"/>
    <w:rsid w:val="00D87D1C"/>
    <w:rsid w:val="00DA3C2B"/>
    <w:rsid w:val="00DD15FE"/>
    <w:rsid w:val="00DE2065"/>
    <w:rsid w:val="00DE20E0"/>
    <w:rsid w:val="00DE5904"/>
    <w:rsid w:val="00DE6773"/>
    <w:rsid w:val="00DF29E5"/>
    <w:rsid w:val="00DF2E83"/>
    <w:rsid w:val="00DF43D8"/>
    <w:rsid w:val="00E01C5E"/>
    <w:rsid w:val="00E023A8"/>
    <w:rsid w:val="00E04E74"/>
    <w:rsid w:val="00E11187"/>
    <w:rsid w:val="00E147FF"/>
    <w:rsid w:val="00E17924"/>
    <w:rsid w:val="00E17B11"/>
    <w:rsid w:val="00E23D75"/>
    <w:rsid w:val="00E313B6"/>
    <w:rsid w:val="00E32B10"/>
    <w:rsid w:val="00E34083"/>
    <w:rsid w:val="00E503CC"/>
    <w:rsid w:val="00E53745"/>
    <w:rsid w:val="00E55EF9"/>
    <w:rsid w:val="00E5794A"/>
    <w:rsid w:val="00E60E90"/>
    <w:rsid w:val="00E70025"/>
    <w:rsid w:val="00E759BF"/>
    <w:rsid w:val="00E83029"/>
    <w:rsid w:val="00E9213F"/>
    <w:rsid w:val="00E9293D"/>
    <w:rsid w:val="00E92A8B"/>
    <w:rsid w:val="00E97D8C"/>
    <w:rsid w:val="00EA3654"/>
    <w:rsid w:val="00EA36FC"/>
    <w:rsid w:val="00EB1DF2"/>
    <w:rsid w:val="00EB5768"/>
    <w:rsid w:val="00EB656D"/>
    <w:rsid w:val="00EB6777"/>
    <w:rsid w:val="00EC3DDF"/>
    <w:rsid w:val="00ED0D2B"/>
    <w:rsid w:val="00ED1F0E"/>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97247A"/>
    <w:rsid w:val="0D1A7920"/>
    <w:rsid w:val="0D2269B3"/>
    <w:rsid w:val="0DB3098E"/>
    <w:rsid w:val="12220323"/>
    <w:rsid w:val="13FB007C"/>
    <w:rsid w:val="16B036C0"/>
    <w:rsid w:val="1A705E7F"/>
    <w:rsid w:val="1ABF2D84"/>
    <w:rsid w:val="1D011F2E"/>
    <w:rsid w:val="1E172FD7"/>
    <w:rsid w:val="1E491A3B"/>
    <w:rsid w:val="1F1F7406"/>
    <w:rsid w:val="206D0602"/>
    <w:rsid w:val="22430342"/>
    <w:rsid w:val="22D66EA9"/>
    <w:rsid w:val="23977FB1"/>
    <w:rsid w:val="245C3447"/>
    <w:rsid w:val="25B931E9"/>
    <w:rsid w:val="28263441"/>
    <w:rsid w:val="2828673B"/>
    <w:rsid w:val="290B705B"/>
    <w:rsid w:val="29981D60"/>
    <w:rsid w:val="2AFC7E43"/>
    <w:rsid w:val="2B2339AC"/>
    <w:rsid w:val="2C57797E"/>
    <w:rsid w:val="2F554A96"/>
    <w:rsid w:val="304075B1"/>
    <w:rsid w:val="311C29BA"/>
    <w:rsid w:val="318814ED"/>
    <w:rsid w:val="31931AC3"/>
    <w:rsid w:val="32E14AE7"/>
    <w:rsid w:val="3328400E"/>
    <w:rsid w:val="335D665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1366FB"/>
    <w:rsid w:val="4052753A"/>
    <w:rsid w:val="40C302CE"/>
    <w:rsid w:val="41737C65"/>
    <w:rsid w:val="42DC038C"/>
    <w:rsid w:val="43BF53DB"/>
    <w:rsid w:val="44CD25D5"/>
    <w:rsid w:val="45D833CA"/>
    <w:rsid w:val="464E5AFF"/>
    <w:rsid w:val="49D432A0"/>
    <w:rsid w:val="4DB628F2"/>
    <w:rsid w:val="4E0D4F31"/>
    <w:rsid w:val="4EFF051F"/>
    <w:rsid w:val="528E6F80"/>
    <w:rsid w:val="53516268"/>
    <w:rsid w:val="55924F68"/>
    <w:rsid w:val="55EE43AE"/>
    <w:rsid w:val="56C47F55"/>
    <w:rsid w:val="573A53AA"/>
    <w:rsid w:val="58126DD8"/>
    <w:rsid w:val="5AB93E8B"/>
    <w:rsid w:val="5EA31F07"/>
    <w:rsid w:val="5EDA0640"/>
    <w:rsid w:val="5F193B70"/>
    <w:rsid w:val="5FC2113B"/>
    <w:rsid w:val="61D17BB5"/>
    <w:rsid w:val="61E31A71"/>
    <w:rsid w:val="62283DE4"/>
    <w:rsid w:val="63E33020"/>
    <w:rsid w:val="656229B9"/>
    <w:rsid w:val="658856FB"/>
    <w:rsid w:val="67B10C38"/>
    <w:rsid w:val="67DC7D34"/>
    <w:rsid w:val="68E97589"/>
    <w:rsid w:val="6BE248E5"/>
    <w:rsid w:val="6C617282"/>
    <w:rsid w:val="6CCB135B"/>
    <w:rsid w:val="6DCC3028"/>
    <w:rsid w:val="6EAF555B"/>
    <w:rsid w:val="6ED26059"/>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707" w:firstLineChars="221"/>
      <w:jc w:val="both"/>
    </w:pPr>
    <w:rPr>
      <w:rFonts w:ascii="仿宋" w:hAnsi="仿宋" w:eastAsia="仿宋" w:cstheme="minorBidi"/>
      <w:kern w:val="2"/>
      <w:sz w:val="32"/>
      <w:szCs w:val="32"/>
      <w:lang w:val="en-US" w:eastAsia="zh-CN" w:bidi="ar-SA"/>
    </w:rPr>
  </w:style>
  <w:style w:type="paragraph" w:styleId="2">
    <w:name w:val="heading 1"/>
    <w:basedOn w:val="1"/>
    <w:next w:val="1"/>
    <w:link w:val="16"/>
    <w:autoRedefine/>
    <w:qFormat/>
    <w:uiPriority w:val="9"/>
    <w:pPr>
      <w:keepNext/>
      <w:keepLines/>
      <w:spacing w:line="576" w:lineRule="auto"/>
      <w:outlineLvl w:val="0"/>
    </w:pPr>
    <w:rPr>
      <w:b/>
      <w:kern w:val="44"/>
      <w:sz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7"/>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autoRedefine/>
    <w:qFormat/>
    <w:uiPriority w:val="0"/>
    <w:rPr>
      <w:color w:val="0000FF"/>
      <w:u w:val="single"/>
    </w:rPr>
  </w:style>
  <w:style w:type="character" w:customStyle="1" w:styleId="10">
    <w:name w:val="页眉 Char"/>
    <w:basedOn w:val="8"/>
    <w:link w:val="5"/>
    <w:qFormat/>
    <w:uiPriority w:val="99"/>
    <w:rPr>
      <w:sz w:val="18"/>
      <w:szCs w:val="18"/>
    </w:rPr>
  </w:style>
  <w:style w:type="character" w:customStyle="1" w:styleId="11">
    <w:name w:val="页脚 Char"/>
    <w:basedOn w:val="8"/>
    <w:link w:val="4"/>
    <w:autoRedefine/>
    <w:qFormat/>
    <w:uiPriority w:val="99"/>
    <w:rPr>
      <w:sz w:val="18"/>
      <w:szCs w:val="18"/>
    </w:rPr>
  </w:style>
  <w:style w:type="character" w:customStyle="1" w:styleId="12">
    <w:name w:val="row_tree_level_3"/>
    <w:basedOn w:val="8"/>
    <w:autoRedefine/>
    <w:qFormat/>
    <w:uiPriority w:val="0"/>
  </w:style>
  <w:style w:type="character" w:customStyle="1" w:styleId="13">
    <w:name w:val="row_tree_level_4"/>
    <w:basedOn w:val="8"/>
    <w:qFormat/>
    <w:uiPriority w:val="0"/>
  </w:style>
  <w:style w:type="paragraph" w:customStyle="1" w:styleId="14">
    <w:name w:val="p0"/>
    <w:basedOn w:val="1"/>
    <w:autoRedefine/>
    <w:qFormat/>
    <w:uiPriority w:val="0"/>
    <w:pPr>
      <w:widowControl/>
    </w:pPr>
    <w:rPr>
      <w:rFonts w:ascii="Times New Roman" w:hAnsi="Times New Roman" w:eastAsia="宋体" w:cs="Times New Roman"/>
      <w:kern w:val="0"/>
      <w:szCs w:val="21"/>
    </w:rPr>
  </w:style>
  <w:style w:type="character" w:customStyle="1" w:styleId="15">
    <w:name w:val="15"/>
    <w:basedOn w:val="8"/>
    <w:autoRedefine/>
    <w:qFormat/>
    <w:uiPriority w:val="0"/>
    <w:rPr>
      <w:rFonts w:hint="default" w:ascii="Times New Roman" w:hAnsi="Times New Roman" w:cs="Times New Roman"/>
      <w:sz w:val="20"/>
      <w:szCs w:val="20"/>
    </w:rPr>
  </w:style>
  <w:style w:type="character" w:customStyle="1" w:styleId="16">
    <w:name w:val="标题 1 Char"/>
    <w:link w:val="2"/>
    <w:qFormat/>
    <w:uiPriority w:val="0"/>
    <w:rPr>
      <w:b/>
      <w:kern w:val="44"/>
      <w:sz w:val="44"/>
    </w:rPr>
  </w:style>
  <w:style w:type="character" w:customStyle="1" w:styleId="17">
    <w:name w:val="批注框文本 Char"/>
    <w:basedOn w:val="8"/>
    <w:link w:val="3"/>
    <w:semiHidden/>
    <w:qFormat/>
    <w:uiPriority w:val="99"/>
    <w:rPr>
      <w:rFonts w:ascii="仿宋" w:hAnsi="仿宋" w:eastAsia="仿宋"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4139</Words>
  <Characters>4427</Characters>
  <Lines>40</Lines>
  <Paragraphs>11</Paragraphs>
  <TotalTime>3</TotalTime>
  <ScaleCrop>false</ScaleCrop>
  <LinksUpToDate>false</LinksUpToDate>
  <CharactersWithSpaces>4464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小树林</cp:lastModifiedBy>
  <dcterms:modified xsi:type="dcterms:W3CDTF">2025-01-08T04:46:29Z</dcterms:modified>
  <cp:revision>196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2C4F306C5A05459D88EA6F51E534EDC2_13</vt:lpwstr>
  </property>
  <property fmtid="{D5CDD505-2E9C-101B-9397-08002B2CF9AE}" pid="4" name="KSOTemplateDocerSaveRecord">
    <vt:lpwstr>eyJoZGlkIjoiNjhkYTczNGU1MTA5YzVjYzViMjU4OTEwMzBjNDA0NmQiLCJ1c2VySWQiOiIyNjAwMzA2MzQifQ==</vt:lpwstr>
  </property>
</Properties>
</file>