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19B9E">
      <w:pPr>
        <w:widowControl/>
        <w:spacing w:line="520" w:lineRule="atLeast"/>
        <w:ind w:firstLine="442" w:firstLineChars="100"/>
        <w:jc w:val="center"/>
        <w:rPr>
          <w:rFonts w:hint="eastAsia" w:ascii="仿宋" w:hAnsi="仿宋" w:eastAsia="仿宋" w:cs="仿宋"/>
          <w:b/>
          <w:bCs/>
          <w:color w:val="auto"/>
          <w:kern w:val="0"/>
          <w:sz w:val="44"/>
          <w:szCs w:val="44"/>
        </w:rPr>
      </w:pPr>
      <w:r>
        <w:rPr>
          <w:rFonts w:hint="eastAsia" w:ascii="仿宋" w:hAnsi="仿宋" w:eastAsia="仿宋" w:cs="仿宋"/>
          <w:b/>
          <w:bCs/>
          <w:color w:val="auto"/>
          <w:kern w:val="0"/>
          <w:sz w:val="44"/>
          <w:szCs w:val="44"/>
        </w:rPr>
        <w:fldChar w:fldCharType="begin"/>
      </w:r>
      <w:r>
        <w:rPr>
          <w:rFonts w:hint="eastAsia" w:ascii="仿宋" w:hAnsi="仿宋" w:eastAsia="仿宋" w:cs="仿宋"/>
          <w:b/>
          <w:bCs/>
          <w:color w:val="auto"/>
          <w:kern w:val="0"/>
          <w:sz w:val="44"/>
          <w:szCs w:val="44"/>
        </w:rPr>
        <w:instrText xml:space="preserve">MERGEFIELD ${page540426799.ds254512694_REP_JXJC_AGENCY_WZR_NAME}</w:instrText>
      </w:r>
      <w:r>
        <w:rPr>
          <w:rFonts w:hint="eastAsia" w:ascii="仿宋" w:hAnsi="仿宋" w:eastAsia="仿宋" w:cs="仿宋"/>
          <w:b/>
          <w:bCs/>
          <w:color w:val="auto"/>
          <w:kern w:val="0"/>
          <w:sz w:val="44"/>
          <w:szCs w:val="44"/>
        </w:rPr>
        <w:fldChar w:fldCharType="separate"/>
      </w:r>
      <w:r>
        <w:rPr>
          <w:rFonts w:hint="eastAsia" w:ascii="仿宋" w:hAnsi="仿宋" w:eastAsia="仿宋" w:cs="仿宋"/>
          <w:b/>
          <w:bCs/>
          <w:color w:val="auto"/>
          <w:kern w:val="0"/>
          <w:sz w:val="44"/>
          <w:szCs w:val="44"/>
          <w:lang w:eastAsia="zh-CN"/>
        </w:rPr>
        <w:t>庐山市民政局</w:t>
      </w:r>
      <w:r>
        <w:rPr>
          <w:rFonts w:hint="eastAsia" w:ascii="仿宋" w:hAnsi="仿宋" w:eastAsia="仿宋" w:cs="仿宋"/>
          <w:color w:val="auto"/>
        </w:rPr>
        <w:fldChar w:fldCharType="end"/>
      </w:r>
      <w:r>
        <w:rPr>
          <w:rFonts w:hint="eastAsia" w:ascii="仿宋" w:hAnsi="仿宋" w:eastAsia="仿宋" w:cs="仿宋"/>
          <w:b/>
          <w:bCs/>
          <w:color w:val="auto"/>
          <w:kern w:val="0"/>
          <w:sz w:val="44"/>
          <w:szCs w:val="44"/>
        </w:rPr>
        <w:t>202</w:t>
      </w:r>
      <w:r>
        <w:rPr>
          <w:rFonts w:hint="eastAsia" w:ascii="仿宋" w:hAnsi="仿宋" w:eastAsia="仿宋" w:cs="仿宋"/>
          <w:b/>
          <w:bCs/>
          <w:color w:val="auto"/>
          <w:kern w:val="0"/>
          <w:sz w:val="44"/>
          <w:szCs w:val="44"/>
          <w:lang w:val="en-US" w:eastAsia="zh-CN"/>
        </w:rPr>
        <w:t>5</w:t>
      </w:r>
      <w:r>
        <w:rPr>
          <w:rFonts w:hint="eastAsia" w:ascii="仿宋" w:hAnsi="仿宋" w:eastAsia="仿宋" w:cs="仿宋"/>
          <w:b/>
          <w:bCs/>
          <w:color w:val="auto"/>
          <w:kern w:val="0"/>
          <w:sz w:val="44"/>
          <w:szCs w:val="44"/>
        </w:rPr>
        <w:t>年单位预算</w:t>
      </w:r>
    </w:p>
    <w:p w14:paraId="2DBEDA5B">
      <w:pPr>
        <w:pStyle w:val="14"/>
        <w:spacing w:line="600" w:lineRule="atLeast"/>
        <w:jc w:val="center"/>
        <w:rPr>
          <w:rFonts w:hint="eastAsia" w:ascii="仿宋" w:hAnsi="仿宋" w:eastAsia="仿宋" w:cs="仿宋"/>
          <w:color w:val="000000"/>
          <w:sz w:val="32"/>
          <w:szCs w:val="32"/>
        </w:rPr>
      </w:pPr>
    </w:p>
    <w:p w14:paraId="7370F0BE">
      <w:pPr>
        <w:pStyle w:val="14"/>
        <w:spacing w:line="600" w:lineRule="atLeast"/>
        <w:jc w:val="center"/>
        <w:rPr>
          <w:rFonts w:hint="eastAsia" w:ascii="仿宋" w:hAnsi="仿宋" w:eastAsia="仿宋" w:cs="仿宋"/>
          <w:color w:val="000000"/>
          <w:sz w:val="32"/>
          <w:szCs w:val="32"/>
        </w:rPr>
      </w:pPr>
      <w:r>
        <w:rPr>
          <w:rFonts w:hint="eastAsia" w:ascii="仿宋" w:hAnsi="仿宋" w:eastAsia="仿宋" w:cs="仿宋"/>
          <w:color w:val="000000"/>
          <w:sz w:val="32"/>
          <w:szCs w:val="32"/>
        </w:rPr>
        <w:t>目    录</w:t>
      </w:r>
    </w:p>
    <w:p w14:paraId="3BCFE7B8">
      <w:pPr>
        <w:pStyle w:val="14"/>
        <w:rPr>
          <w:rFonts w:ascii="宋体" w:hAnsi="宋体"/>
          <w:color w:val="000000"/>
        </w:rPr>
      </w:pPr>
    </w:p>
    <w:p w14:paraId="64CAAA3A">
      <w:pPr>
        <w:pStyle w:val="14"/>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庐山市民政局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000000"/>
          <w:sz w:val="32"/>
          <w:szCs w:val="32"/>
        </w:rPr>
        <w:tab/>
      </w:r>
    </w:p>
    <w:p w14:paraId="04F3F14F">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6CCA4B68">
      <w:pPr>
        <w:pStyle w:val="14"/>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12EC4937">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rPr>
        <w:t xml:space="preserve">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庐山市民政局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w:t>
      </w:r>
      <w:r>
        <w:rPr>
          <w:rFonts w:hint="eastAsia" w:ascii="仿宋_GB2312" w:eastAsia="仿宋_GB2312"/>
          <w:b/>
          <w:bCs/>
          <w:color w:val="000000"/>
          <w:sz w:val="32"/>
          <w:szCs w:val="32"/>
        </w:rPr>
        <w:t>单位预算表</w:t>
      </w:r>
    </w:p>
    <w:p w14:paraId="735862D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6E62248">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1C4E3B33">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380783F3">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3E870EAC">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ECFDBCB">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4695B92">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08AD342E">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3E452C7">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36FF561C">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97E99EB">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w:t>
      </w:r>
      <w:r>
        <w:rPr>
          <w:rFonts w:hint="eastAsia" w:ascii="仿宋_GB2312" w:eastAsia="仿宋_GB2312"/>
          <w:b/>
          <w:bCs/>
          <w:color w:val="auto"/>
          <w:sz w:val="32"/>
          <w:szCs w:val="32"/>
        </w:rPr>
        <w:t xml:space="preserve">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庐山市民政局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6048A98A">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11502001">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333C8469">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3A893ED">
      <w:pPr>
        <w:widowControl/>
        <w:spacing w:line="580" w:lineRule="exact"/>
        <w:jc w:val="center"/>
        <w:rPr>
          <w:rFonts w:hint="eastAsia" w:ascii="仿宋" w:hAnsi="仿宋" w:eastAsia="仿宋" w:cs="仿宋"/>
          <w:b/>
          <w:sz w:val="36"/>
          <w:szCs w:val="36"/>
        </w:rPr>
      </w:pPr>
      <w:r>
        <w:rPr>
          <w:rFonts w:hint="eastAsia" w:ascii="仿宋" w:hAnsi="仿宋" w:eastAsia="仿宋" w:cs="仿宋"/>
          <w:b/>
          <w:sz w:val="36"/>
          <w:szCs w:val="36"/>
        </w:rPr>
        <w:t>第一部分</w:t>
      </w:r>
      <w:r>
        <w:rPr>
          <w:rFonts w:hint="eastAsia" w:ascii="仿宋" w:hAnsi="仿宋" w:eastAsia="仿宋" w:cs="仿宋"/>
          <w:b/>
          <w:color w:val="auto"/>
          <w:sz w:val="36"/>
          <w:szCs w:val="36"/>
        </w:rPr>
        <w:t xml:space="preserve">  </w:t>
      </w:r>
      <w:r>
        <w:rPr>
          <w:rFonts w:hint="eastAsia" w:ascii="仿宋" w:hAnsi="仿宋" w:eastAsia="仿宋" w:cs="仿宋"/>
          <w:b/>
          <w:color w:val="auto"/>
          <w:sz w:val="36"/>
          <w:szCs w:val="36"/>
        </w:rPr>
        <w:fldChar w:fldCharType="begin"/>
      </w:r>
      <w:r>
        <w:rPr>
          <w:rFonts w:hint="eastAsia" w:ascii="仿宋" w:hAnsi="仿宋" w:eastAsia="仿宋" w:cs="仿宋"/>
          <w:b/>
          <w:color w:val="auto"/>
          <w:sz w:val="36"/>
          <w:szCs w:val="36"/>
        </w:rPr>
        <w:instrText xml:space="preserve">MERGEFIELD ${page540426799.ds254512694_REP_JXJC_AGENCY_WZR_NAME}</w:instrText>
      </w:r>
      <w:r>
        <w:rPr>
          <w:rFonts w:hint="eastAsia" w:ascii="仿宋" w:hAnsi="仿宋" w:eastAsia="仿宋" w:cs="仿宋"/>
          <w:b/>
          <w:color w:val="auto"/>
          <w:sz w:val="36"/>
          <w:szCs w:val="36"/>
        </w:rPr>
        <w:fldChar w:fldCharType="separate"/>
      </w:r>
      <w:r>
        <w:rPr>
          <w:rFonts w:hint="eastAsia" w:ascii="仿宋" w:hAnsi="仿宋" w:eastAsia="仿宋" w:cs="仿宋"/>
          <w:b/>
          <w:color w:val="auto"/>
          <w:sz w:val="36"/>
          <w:szCs w:val="36"/>
          <w:lang w:eastAsia="zh-CN"/>
        </w:rPr>
        <w:t>庐山市民政局</w:t>
      </w:r>
      <w:r>
        <w:rPr>
          <w:rFonts w:hint="eastAsia" w:ascii="仿宋" w:hAnsi="仿宋" w:eastAsia="仿宋" w:cs="仿宋"/>
          <w:color w:val="auto"/>
          <w:sz w:val="36"/>
          <w:szCs w:val="36"/>
        </w:rPr>
        <w:fldChar w:fldCharType="end"/>
      </w:r>
      <w:r>
        <w:rPr>
          <w:rFonts w:hint="eastAsia" w:ascii="仿宋" w:hAnsi="仿宋" w:eastAsia="仿宋" w:cs="仿宋"/>
          <w:b/>
          <w:sz w:val="36"/>
          <w:szCs w:val="36"/>
        </w:rPr>
        <w:t>概况</w:t>
      </w:r>
    </w:p>
    <w:p w14:paraId="799FF043">
      <w:pPr>
        <w:widowControl/>
        <w:spacing w:line="580" w:lineRule="exact"/>
        <w:jc w:val="left"/>
        <w:rPr>
          <w:rFonts w:asciiTheme="minorEastAsia" w:hAnsiTheme="minorEastAsia"/>
          <w:b/>
          <w:sz w:val="36"/>
          <w:szCs w:val="36"/>
        </w:rPr>
      </w:pPr>
    </w:p>
    <w:p w14:paraId="32ED2F3B">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063A77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640" w:firstLineChars="20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（一）在全市经济社会发展总体规划的框架内，拟订全市民政事业发展规划和政策，草拟有关地方规范性文件，并组织实施和监督检查。</w:t>
      </w:r>
    </w:p>
    <w:p w14:paraId="14013D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（二）拟订全市社会团体、基金会、社会服务机构登记管理办法，并按照管辖权限进行登记管理和执法监察；承担社会组织信息管理工作；参与指导全市社会组织党建工作。</w:t>
      </w:r>
    </w:p>
    <w:p w14:paraId="707940F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   （三）牵头拟订全市社会救助规划、政策和标准，健全城乡社会救助体系，组织实施全市城乡居民最低生活保障、临时救助、精减退职老职工救助工作；牵头负责农村脱贫攻坚兜底保障和城镇贫困群众脱贫解困工作；健全完善居民家庭收入核对平台建设；负责全市流浪乞讨人员救助管理和救助机构建设管理工作。</w:t>
      </w:r>
    </w:p>
    <w:p w14:paraId="05A5F6F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（四）牵头拟订全市城乡社区治理政策规划，统筹推进、督促指导城乡社区治理工作；组织实施全市城乡基层群众自治建设工作，推动城乡基层民主政治建设；提出加强和改进城乡基层政权建设的建议。</w:t>
      </w:r>
    </w:p>
    <w:p w14:paraId="55172F5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五）落实行政区划管理政策和行政区域界线、地名管理办法。承办乡（镇）、村委会、社区居委会的设立、撤销、命名更名的报批工作；承办毗邻县（市）及市内乡（镇）之间的边界线勘定并配合政府相关部门处理边界争议工作；负责全市的地名管理及标志设置工作。</w:t>
      </w:r>
    </w:p>
    <w:p w14:paraId="5EB28B6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（六）拟订全市养老服务体系建设规划、政策并组织实施，负责统筹推进、督促指导、监督管理养老服务工作，承担城乡特困人员救助供养、老年人福利和特殊困难老年人救助工作，指导特困人员供养机构建设。</w:t>
      </w:r>
    </w:p>
    <w:p w14:paraId="1E4C2B4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（七）拟订全市慈善事业发展政策，监督指导慈善活动。履行社会人才工作职责，推进全市社会工作人才队伍建设和相关志愿者队伍建设。</w:t>
      </w:r>
    </w:p>
    <w:p w14:paraId="7A2D0E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（八）拟订全市婚姻管理、殡葬管理政策，负责推进婚俗和殡葬改革，指导婚姻、殡葬服务机构管理工作。指导残疾人权益保障工作。</w:t>
      </w:r>
    </w:p>
    <w:p w14:paraId="455BA91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（九）拟订全市儿童福利和未成年人保护政策，牵头推进农村留守儿童关爱保护和困境儿童保护工作，指导各地儿童福利机构、未成年人保护机构建设。</w:t>
      </w:r>
    </w:p>
    <w:p w14:paraId="0348A13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（十）按职责负责民政系统行业安全生产监督管理工作。指导养老服务、特困供养、儿童福利、未成年人保护、救助管理、殡葬服务等民政服务机构的安全生产监督管理工作。</w:t>
      </w:r>
    </w:p>
    <w:p w14:paraId="13A7972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（十一）按职责负责福利彩票管理工作。</w:t>
      </w:r>
    </w:p>
    <w:p w14:paraId="0A0990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（十二）完成市委、市政府交办的其他任务。</w:t>
      </w:r>
    </w:p>
    <w:p w14:paraId="2CBA5E63">
      <w:pPr>
        <w:rPr>
          <w:b/>
          <w:sz w:val="36"/>
          <w:szCs w:val="36"/>
        </w:rPr>
      </w:pPr>
      <w:r>
        <w:rPr>
          <w:rFonts w:hint="eastAsia"/>
          <w:b/>
          <w:sz w:val="36"/>
          <w:szCs w:val="36"/>
        </w:rPr>
        <w:t>二、机构设置及人员情况</w:t>
      </w:r>
    </w:p>
    <w:p w14:paraId="25CD3A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left"/>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2025年</w:t>
      </w:r>
      <w:r>
        <w:rPr>
          <w:rFonts w:hint="eastAsia" w:ascii="Adobe 仿宋 Std R" w:hAnsi="Adobe 仿宋 Std R" w:eastAsia="Adobe 仿宋 Std R" w:cstheme="minorBidi"/>
          <w:kern w:val="2"/>
          <w:sz w:val="32"/>
          <w:szCs w:val="32"/>
          <w:lang w:val="en-US" w:eastAsia="zh-CN" w:bidi="ar-SA"/>
        </w:rPr>
        <w:fldChar w:fldCharType="begin"/>
      </w:r>
      <w:r>
        <w:rPr>
          <w:rFonts w:hint="eastAsia" w:ascii="Adobe 仿宋 Std R" w:hAnsi="Adobe 仿宋 Std R" w:eastAsia="Adobe 仿宋 Std R" w:cstheme="minorBidi"/>
          <w:kern w:val="2"/>
          <w:sz w:val="32"/>
          <w:szCs w:val="32"/>
          <w:lang w:val="en-US" w:eastAsia="zh-CN" w:bidi="ar-SA"/>
        </w:rPr>
        <w:instrText xml:space="preserve">MERGEFIELD ${page540426799.ds254512694_REP_JXJC_AGENCY_WZR_NAME}</w:instrText>
      </w:r>
      <w:r>
        <w:rPr>
          <w:rFonts w:hint="eastAsia" w:ascii="Adobe 仿宋 Std R" w:hAnsi="Adobe 仿宋 Std R" w:eastAsia="Adobe 仿宋 Std R" w:cstheme="minorBidi"/>
          <w:kern w:val="2"/>
          <w:sz w:val="32"/>
          <w:szCs w:val="32"/>
          <w:lang w:val="en-US" w:eastAsia="zh-CN" w:bidi="ar-SA"/>
        </w:rPr>
        <w:fldChar w:fldCharType="separate"/>
      </w:r>
      <w:r>
        <w:rPr>
          <w:rFonts w:hint="eastAsia" w:ascii="Adobe 仿宋 Std R" w:hAnsi="Adobe 仿宋 Std R" w:eastAsia="Adobe 仿宋 Std R" w:cstheme="minorBidi"/>
          <w:kern w:val="2"/>
          <w:sz w:val="32"/>
          <w:szCs w:val="32"/>
          <w:lang w:val="en-US" w:eastAsia="zh-CN" w:bidi="ar-SA"/>
        </w:rPr>
        <w:t>庐山市民政局</w:t>
      </w:r>
      <w:r>
        <w:rPr>
          <w:rFonts w:hint="eastAsia" w:ascii="Adobe 仿宋 Std R" w:hAnsi="Adobe 仿宋 Std R" w:eastAsia="Adobe 仿宋 Std R" w:cstheme="minorBidi"/>
          <w:kern w:val="2"/>
          <w:sz w:val="32"/>
          <w:szCs w:val="32"/>
          <w:lang w:val="en-US" w:eastAsia="zh-CN" w:bidi="ar-SA"/>
        </w:rPr>
        <w:fldChar w:fldCharType="end"/>
      </w:r>
      <w:r>
        <w:rPr>
          <w:rFonts w:hint="eastAsia" w:ascii="Adobe 仿宋 Std R" w:hAnsi="Adobe 仿宋 Std R" w:eastAsia="Adobe 仿宋 Std R" w:cstheme="minorBidi"/>
          <w:kern w:val="2"/>
          <w:sz w:val="32"/>
          <w:szCs w:val="32"/>
          <w:lang w:val="en-US" w:eastAsia="zh-CN" w:bidi="ar-SA"/>
        </w:rPr>
        <w:t>内设处室3个，包括：（一）办公室（社会组织管理股、政务服务股）。负责文电、会务、机要、档案、保密、财务、政务公开等机关日常运转工作。拟订社会团体、基金会、民办非企业单位等社会组织登记和监督管理办法，按照管理权限对社会组织进行登记和管理，组织推进社会工作人才队伍建设和志愿者队伍建设。负责本部门政务服务事项的统一组织协调，组织实施权限内行政许可事项和政务服务管理工作，负责窗口工作人员的管理和教育工作。</w:t>
      </w:r>
    </w:p>
    <w:p w14:paraId="01FBA1A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left"/>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二）社会救助股（福利和慈善股）。拟订城乡居民最低生活保障、特困人员救助供养、临时救助等社会救助政策和标准，健全城乡社会救助体系，负责困难群众救助补助资金分配和监管工作。承担全市老年人福利工作，拟订老年人福利补贴制度和养老服务体系建设规划、政策、标准，协调推进农村留守老年人关爱服务工作，指导养老服务、老年人福利、特困人员救助供养机构管理工作。负责福利和信托资金分配和管理，统筹福利项目申报工作，负责落实残疾人等特殊群体权益保护政策，负责加强福利彩票发行管理；负责落实促进慈善事业发展改革，加强慈善组织及其活动管理。</w:t>
      </w:r>
    </w:p>
    <w:p w14:paraId="30C886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left"/>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三）社会事务股（基层政权和区划地名股）。负责全市殡葬管理工作，推进殡葬改革，倡导文明丧葬习俗工作；指导殡葬事业单位的建设和管理工作；负责流浪乞讨人员救助管理工作；负责全市收养登记管理工作；负责全市婚姻登记工作；落实农村留守儿童关爱服务和困境儿童保障工作。依法指导村（居）民自治示范活动和村（居）民委员会换届选举工作，推行村（居）务公开，推进基层民主政治建设；推进社区建设工作。承办乡（镇）、村委会的设立、命名、变更的报批工作；承办与毗邻县（市）及市内乡（镇）的边界线勘定并协商处理边界争议、纠纷工作；负责全市地名管理、城区标志设置工作。</w:t>
      </w:r>
    </w:p>
    <w:p w14:paraId="69FEF73F">
      <w:pPr>
        <w:widowControl/>
        <w:spacing w:line="240" w:lineRule="auto"/>
        <w:ind w:firstLine="640" w:firstLineChars="200"/>
        <w:jc w:val="both"/>
        <w:rPr>
          <w:rFonts w:hint="eastAsia" w:ascii="仿宋_GB2312" w:hAnsi="仿宋_GB2312" w:eastAsia="仿宋_GB2312" w:cs="仿宋_GB2312"/>
          <w:color w:val="auto"/>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27</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7547EE47">
      <w:pPr>
        <w:widowControl/>
        <w:spacing w:line="580" w:lineRule="exact"/>
        <w:jc w:val="center"/>
        <w:rPr>
          <w:rFonts w:ascii="仿宋_GB2312" w:eastAsia="仿宋_GB2312"/>
          <w:b/>
          <w:szCs w:val="30"/>
        </w:rPr>
      </w:pPr>
    </w:p>
    <w:p w14:paraId="25A746C8">
      <w:pPr>
        <w:widowControl/>
        <w:spacing w:line="580" w:lineRule="exact"/>
        <w:jc w:val="center"/>
        <w:rPr>
          <w:rFonts w:ascii="仿宋_GB2312" w:eastAsia="仿宋_GB2312"/>
          <w:b/>
          <w:szCs w:val="30"/>
        </w:rPr>
      </w:pPr>
    </w:p>
    <w:p w14:paraId="107FCDDB">
      <w:pPr>
        <w:widowControl/>
        <w:spacing w:line="580" w:lineRule="exact"/>
        <w:jc w:val="center"/>
        <w:rPr>
          <w:rFonts w:ascii="仿宋_GB2312" w:eastAsia="仿宋_GB2312"/>
          <w:b/>
          <w:szCs w:val="30"/>
        </w:rPr>
      </w:pPr>
    </w:p>
    <w:p w14:paraId="467E44E4">
      <w:pPr>
        <w:widowControl/>
        <w:spacing w:line="580" w:lineRule="exact"/>
        <w:jc w:val="center"/>
        <w:rPr>
          <w:rFonts w:ascii="仿宋_GB2312" w:eastAsia="仿宋_GB2312"/>
          <w:b/>
          <w:szCs w:val="30"/>
        </w:rPr>
      </w:pPr>
    </w:p>
    <w:p w14:paraId="07B54C1C">
      <w:pPr>
        <w:widowControl/>
        <w:spacing w:line="580" w:lineRule="exact"/>
        <w:jc w:val="center"/>
        <w:rPr>
          <w:rFonts w:ascii="仿宋_GB2312" w:eastAsia="仿宋_GB2312"/>
          <w:b/>
          <w:szCs w:val="30"/>
        </w:rPr>
      </w:pPr>
    </w:p>
    <w:p w14:paraId="56E385B2">
      <w:pPr>
        <w:widowControl/>
        <w:spacing w:line="580" w:lineRule="exact"/>
        <w:jc w:val="center"/>
        <w:rPr>
          <w:rFonts w:hint="eastAsia" w:ascii="仿宋" w:hAnsi="仿宋" w:eastAsia="仿宋" w:cs="仿宋"/>
          <w:b/>
          <w:sz w:val="36"/>
          <w:szCs w:val="36"/>
        </w:rPr>
      </w:pPr>
      <w:r>
        <w:rPr>
          <w:rFonts w:hint="eastAsia" w:ascii="仿宋" w:hAnsi="仿宋" w:eastAsia="仿宋" w:cs="仿宋"/>
          <w:b/>
          <w:sz w:val="36"/>
          <w:szCs w:val="36"/>
        </w:rPr>
        <w:t xml:space="preserve">第二部分  </w:t>
      </w:r>
      <w:r>
        <w:rPr>
          <w:rFonts w:hint="eastAsia" w:ascii="仿宋" w:hAnsi="仿宋" w:eastAsia="仿宋" w:cs="仿宋"/>
          <w:b/>
          <w:color w:val="auto"/>
          <w:sz w:val="36"/>
          <w:szCs w:val="36"/>
        </w:rPr>
        <w:fldChar w:fldCharType="begin"/>
      </w:r>
      <w:r>
        <w:rPr>
          <w:rFonts w:hint="eastAsia" w:ascii="仿宋" w:hAnsi="仿宋" w:eastAsia="仿宋" w:cs="仿宋"/>
          <w:b/>
          <w:color w:val="auto"/>
          <w:sz w:val="36"/>
          <w:szCs w:val="36"/>
        </w:rPr>
        <w:instrText xml:space="preserve">MERGEFIELD ${page540426799.ds254512694_REP_JXJC_AGENCY_WZR_NAME}</w:instrText>
      </w:r>
      <w:r>
        <w:rPr>
          <w:rFonts w:hint="eastAsia" w:ascii="仿宋" w:hAnsi="仿宋" w:eastAsia="仿宋" w:cs="仿宋"/>
          <w:b/>
          <w:color w:val="auto"/>
          <w:sz w:val="36"/>
          <w:szCs w:val="36"/>
        </w:rPr>
        <w:fldChar w:fldCharType="separate"/>
      </w:r>
      <w:r>
        <w:rPr>
          <w:rFonts w:hint="eastAsia" w:ascii="仿宋" w:hAnsi="仿宋" w:eastAsia="仿宋" w:cs="仿宋"/>
          <w:b/>
          <w:color w:val="auto"/>
          <w:sz w:val="36"/>
          <w:szCs w:val="36"/>
          <w:lang w:eastAsia="zh-CN"/>
        </w:rPr>
        <w:t>庐山市民政局</w:t>
      </w:r>
      <w:r>
        <w:rPr>
          <w:rFonts w:hint="eastAsia" w:ascii="仿宋" w:hAnsi="仿宋" w:eastAsia="仿宋" w:cs="仿宋"/>
          <w:color w:val="auto"/>
          <w:sz w:val="36"/>
          <w:szCs w:val="36"/>
        </w:rPr>
        <w:fldChar w:fldCharType="end"/>
      </w:r>
      <w:r>
        <w:rPr>
          <w:rFonts w:hint="eastAsia" w:ascii="仿宋" w:hAnsi="仿宋" w:eastAsia="仿宋" w:cs="仿宋"/>
          <w:b/>
          <w:color w:val="auto"/>
          <w:sz w:val="36"/>
          <w:szCs w:val="36"/>
        </w:rPr>
        <w:t>202</w:t>
      </w:r>
      <w:r>
        <w:rPr>
          <w:rFonts w:hint="eastAsia" w:ascii="仿宋" w:hAnsi="仿宋" w:eastAsia="仿宋" w:cs="仿宋"/>
          <w:b/>
          <w:sz w:val="36"/>
          <w:szCs w:val="36"/>
          <w:lang w:val="en-US" w:eastAsia="zh-CN"/>
        </w:rPr>
        <w:t>5</w:t>
      </w:r>
      <w:r>
        <w:rPr>
          <w:rFonts w:hint="eastAsia" w:ascii="仿宋" w:hAnsi="仿宋" w:eastAsia="仿宋" w:cs="仿宋"/>
          <w:b/>
          <w:sz w:val="36"/>
          <w:szCs w:val="36"/>
        </w:rPr>
        <w:t>年单位预算表</w:t>
      </w:r>
    </w:p>
    <w:p w14:paraId="6A170E9D">
      <w:pPr>
        <w:ind w:firstLine="720" w:firstLineChars="200"/>
        <w:jc w:val="left"/>
        <w:rPr>
          <w:rFonts w:hint="eastAsia" w:ascii="仿宋" w:hAnsi="仿宋" w:eastAsia="仿宋" w:cs="仿宋"/>
          <w:bCs/>
          <w:sz w:val="36"/>
          <w:szCs w:val="36"/>
        </w:rPr>
      </w:pPr>
      <w:r>
        <w:rPr>
          <w:rFonts w:hint="eastAsia" w:ascii="仿宋" w:hAnsi="仿宋" w:eastAsia="仿宋" w:cs="仿宋"/>
          <w:bCs/>
          <w:sz w:val="36"/>
          <w:szCs w:val="36"/>
        </w:rPr>
        <w:t>（详见附表）</w:t>
      </w:r>
    </w:p>
    <w:p w14:paraId="1506550A">
      <w:pPr>
        <w:ind w:firstLine="640" w:firstLineChars="200"/>
        <w:jc w:val="left"/>
        <w:rPr>
          <w:rStyle w:val="13"/>
          <w:rFonts w:ascii="仿宋" w:hAnsi="仿宋" w:eastAsia="仿宋"/>
          <w:bCs/>
          <w:sz w:val="32"/>
          <w:szCs w:val="32"/>
        </w:rPr>
      </w:pPr>
    </w:p>
    <w:p w14:paraId="133FFA3A">
      <w:pPr>
        <w:ind w:firstLine="640" w:firstLineChars="200"/>
        <w:jc w:val="left"/>
        <w:rPr>
          <w:rStyle w:val="13"/>
          <w:rFonts w:ascii="仿宋" w:hAnsi="仿宋" w:eastAsia="仿宋"/>
          <w:bCs/>
          <w:sz w:val="32"/>
          <w:szCs w:val="32"/>
        </w:rPr>
      </w:pPr>
    </w:p>
    <w:p w14:paraId="7FA3F985">
      <w:pPr>
        <w:ind w:firstLine="640" w:firstLineChars="200"/>
        <w:jc w:val="left"/>
        <w:rPr>
          <w:rStyle w:val="13"/>
          <w:rFonts w:ascii="仿宋" w:hAnsi="仿宋" w:eastAsia="仿宋"/>
          <w:bCs/>
          <w:sz w:val="32"/>
          <w:szCs w:val="32"/>
        </w:rPr>
      </w:pPr>
    </w:p>
    <w:p w14:paraId="5FC3AE2C">
      <w:pPr>
        <w:ind w:firstLine="640" w:firstLineChars="200"/>
        <w:jc w:val="left"/>
        <w:rPr>
          <w:rStyle w:val="13"/>
          <w:rFonts w:ascii="仿宋" w:hAnsi="仿宋" w:eastAsia="仿宋"/>
          <w:bCs/>
          <w:sz w:val="32"/>
          <w:szCs w:val="32"/>
        </w:rPr>
      </w:pPr>
    </w:p>
    <w:p w14:paraId="560AF395">
      <w:pPr>
        <w:widowControl/>
        <w:numPr>
          <w:ilvl w:val="0"/>
          <w:numId w:val="1"/>
        </w:numPr>
        <w:spacing w:line="580" w:lineRule="exact"/>
        <w:jc w:val="center"/>
        <w:rPr>
          <w:rFonts w:hint="eastAsia" w:ascii="仿宋" w:hAnsi="仿宋" w:eastAsia="仿宋" w:cs="仿宋"/>
          <w:b/>
          <w:sz w:val="36"/>
          <w:szCs w:val="36"/>
        </w:rPr>
      </w:pPr>
      <w:r>
        <w:rPr>
          <w:rFonts w:hint="eastAsia" w:ascii="仿宋" w:hAnsi="仿宋" w:eastAsia="仿宋" w:cs="仿宋"/>
          <w:b/>
          <w:sz w:val="36"/>
          <w:szCs w:val="36"/>
        </w:rPr>
        <w:t xml:space="preserve"> </w:t>
      </w:r>
      <w:r>
        <w:rPr>
          <w:rFonts w:hint="eastAsia" w:ascii="仿宋" w:hAnsi="仿宋" w:eastAsia="仿宋" w:cs="仿宋"/>
          <w:b/>
          <w:color w:val="auto"/>
          <w:sz w:val="36"/>
          <w:szCs w:val="36"/>
        </w:rPr>
        <w:fldChar w:fldCharType="begin"/>
      </w:r>
      <w:r>
        <w:rPr>
          <w:rFonts w:hint="eastAsia" w:ascii="仿宋" w:hAnsi="仿宋" w:eastAsia="仿宋" w:cs="仿宋"/>
          <w:b/>
          <w:color w:val="auto"/>
          <w:sz w:val="36"/>
          <w:szCs w:val="36"/>
        </w:rPr>
        <w:instrText xml:space="preserve">MERGEFIELD ${page540426799.ds254512694_REP_JXJC_AGENCY_WZR_NAME}</w:instrText>
      </w:r>
      <w:r>
        <w:rPr>
          <w:rFonts w:hint="eastAsia" w:ascii="仿宋" w:hAnsi="仿宋" w:eastAsia="仿宋" w:cs="仿宋"/>
          <w:b/>
          <w:color w:val="auto"/>
          <w:sz w:val="36"/>
          <w:szCs w:val="36"/>
        </w:rPr>
        <w:fldChar w:fldCharType="separate"/>
      </w:r>
      <w:r>
        <w:rPr>
          <w:rFonts w:hint="eastAsia" w:ascii="仿宋" w:hAnsi="仿宋" w:eastAsia="仿宋" w:cs="仿宋"/>
          <w:b/>
          <w:color w:val="auto"/>
          <w:sz w:val="36"/>
          <w:szCs w:val="36"/>
          <w:lang w:eastAsia="zh-CN"/>
        </w:rPr>
        <w:t>庐山市民政局</w:t>
      </w:r>
      <w:r>
        <w:rPr>
          <w:rFonts w:hint="eastAsia" w:ascii="仿宋" w:hAnsi="仿宋" w:eastAsia="仿宋" w:cs="仿宋"/>
          <w:color w:val="auto"/>
          <w:sz w:val="36"/>
          <w:szCs w:val="36"/>
        </w:rPr>
        <w:fldChar w:fldCharType="end"/>
      </w:r>
      <w:r>
        <w:rPr>
          <w:rFonts w:hint="eastAsia" w:ascii="仿宋" w:hAnsi="仿宋" w:eastAsia="仿宋" w:cs="仿宋"/>
          <w:b/>
          <w:sz w:val="36"/>
          <w:szCs w:val="36"/>
        </w:rPr>
        <w:t>202</w:t>
      </w:r>
      <w:r>
        <w:rPr>
          <w:rFonts w:hint="eastAsia" w:ascii="仿宋" w:hAnsi="仿宋" w:eastAsia="仿宋" w:cs="仿宋"/>
          <w:b/>
          <w:sz w:val="36"/>
          <w:szCs w:val="36"/>
          <w:lang w:val="en-US" w:eastAsia="zh-CN"/>
        </w:rPr>
        <w:t>5</w:t>
      </w:r>
      <w:r>
        <w:rPr>
          <w:rFonts w:hint="eastAsia" w:ascii="仿宋" w:hAnsi="仿宋" w:eastAsia="仿宋" w:cs="仿宋"/>
          <w:b/>
          <w:sz w:val="36"/>
          <w:szCs w:val="36"/>
        </w:rPr>
        <w:t>年单位预算</w:t>
      </w:r>
    </w:p>
    <w:p w14:paraId="7AFFD87B">
      <w:pPr>
        <w:widowControl/>
        <w:numPr>
          <w:ilvl w:val="0"/>
          <w:numId w:val="0"/>
        </w:numPr>
        <w:spacing w:line="580" w:lineRule="exact"/>
        <w:jc w:val="center"/>
        <w:rPr>
          <w:rFonts w:hint="eastAsia" w:ascii="仿宋" w:hAnsi="仿宋" w:eastAsia="仿宋" w:cs="仿宋"/>
          <w:b/>
          <w:sz w:val="36"/>
          <w:szCs w:val="36"/>
        </w:rPr>
      </w:pPr>
      <w:r>
        <w:rPr>
          <w:rFonts w:hint="eastAsia" w:ascii="仿宋" w:hAnsi="仿宋" w:eastAsia="仿宋" w:cs="仿宋"/>
          <w:b/>
          <w:sz w:val="36"/>
          <w:szCs w:val="36"/>
        </w:rPr>
        <w:t>情况说明</w:t>
      </w:r>
    </w:p>
    <w:p w14:paraId="42EACE3B">
      <w:pPr>
        <w:widowControl/>
        <w:spacing w:line="580" w:lineRule="exact"/>
        <w:jc w:val="center"/>
        <w:rPr>
          <w:rFonts w:ascii="仿宋_GB2312" w:eastAsia="仿宋_GB2312"/>
          <w:b/>
          <w:sz w:val="32"/>
          <w:szCs w:val="30"/>
        </w:rPr>
      </w:pPr>
    </w:p>
    <w:p w14:paraId="51893487">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532083DF">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w:t>
      </w:r>
      <w:r>
        <w:rPr>
          <w:rStyle w:val="13"/>
          <w:rFonts w:hint="eastAsia" w:ascii="Adobe 仿宋 Std R" w:hAnsi="Adobe 仿宋 Std R" w:eastAsia="Adobe 仿宋 Std R"/>
          <w:b/>
          <w:sz w:val="32"/>
          <w:szCs w:val="32"/>
          <w:lang w:val="en-US" w:eastAsia="zh-CN"/>
        </w:rPr>
        <w:t xml:space="preserve">  </w:t>
      </w:r>
      <w:r>
        <w:rPr>
          <w:rStyle w:val="13"/>
          <w:rFonts w:hint="eastAsia" w:ascii="Adobe 仿宋 Std R" w:hAnsi="Adobe 仿宋 Std R" w:eastAsia="Adobe 仿宋 Std R"/>
          <w:b/>
          <w:sz w:val="32"/>
          <w:szCs w:val="32"/>
        </w:rPr>
        <w:t>(一)收入预算情况</w:t>
      </w:r>
    </w:p>
    <w:p w14:paraId="2F5AC907">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庐山市民政局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4357.14</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5180.99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4357.14</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5012.64</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减少原因为本年上级补助收入未包含在预算中。</w:t>
      </w:r>
    </w:p>
    <w:p w14:paraId="367DA713">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w:t>
      </w:r>
      <w:r>
        <w:rPr>
          <w:rStyle w:val="13"/>
          <w:rFonts w:hint="eastAsia" w:ascii="Adobe 仿宋 Std R" w:hAnsi="Adobe 仿宋 Std R" w:eastAsia="Adobe 仿宋 Std R"/>
          <w:b/>
          <w:sz w:val="32"/>
          <w:szCs w:val="32"/>
          <w:lang w:val="en-US" w:eastAsia="zh-CN"/>
        </w:rPr>
        <w:t xml:space="preserve">  </w:t>
      </w:r>
      <w:r>
        <w:rPr>
          <w:rStyle w:val="13"/>
          <w:rFonts w:hint="eastAsia" w:ascii="Adobe 仿宋 Std R" w:hAnsi="Adobe 仿宋 Std R" w:eastAsia="Adobe 仿宋 Std R"/>
          <w:b/>
          <w:sz w:val="32"/>
          <w:szCs w:val="32"/>
        </w:rPr>
        <w:t>(二)支出预算情况</w:t>
      </w:r>
    </w:p>
    <w:p w14:paraId="7E7684B4">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color w:val="auto"/>
          <w:sz w:val="32"/>
          <w:szCs w:val="32"/>
        </w:rPr>
        <w:t>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庐山市民政局</w:t>
      </w:r>
      <w:r>
        <w:rPr>
          <w:color w:val="auto"/>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Style w:val="13"/>
          <w:rFonts w:hint="eastAsia" w:ascii="仿宋" w:hAnsi="仿宋" w:eastAsia="仿宋"/>
          <w:sz w:val="32"/>
          <w:szCs w:val="32"/>
          <w:lang w:val="en-US" w:eastAsia="zh-CN"/>
        </w:rPr>
        <w:t>4357.14</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5180.99</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减少原因为本年上级补助收入未包含在预算中。</w:t>
      </w:r>
    </w:p>
    <w:p w14:paraId="5E05157B">
      <w:pPr>
        <w:widowControl/>
        <w:ind w:firstLine="640" w:firstLineChars="200"/>
        <w:rPr>
          <w:rStyle w:val="13"/>
          <w:rFonts w:ascii="仿宋" w:hAnsi="仿宋" w:eastAsia="仿宋"/>
          <w:sz w:val="32"/>
          <w:szCs w:val="32"/>
        </w:rPr>
      </w:pPr>
      <w:r>
        <w:rPr>
          <w:rStyle w:val="13"/>
          <w:rFonts w:hint="eastAsia" w:ascii="仿宋" w:hAnsi="仿宋" w:eastAsia="仿宋"/>
          <w:sz w:val="32"/>
          <w:szCs w:val="32"/>
        </w:rPr>
        <w:t>其中：按</w:t>
      </w:r>
      <w:r>
        <w:rPr>
          <w:rStyle w:val="13"/>
          <w:rFonts w:hint="eastAsia" w:ascii="仿宋" w:hAnsi="仿宋" w:eastAsia="仿宋"/>
          <w:color w:val="auto"/>
          <w:sz w:val="32"/>
          <w:szCs w:val="32"/>
        </w:rPr>
        <w:t>支出项目类别划分</w:t>
      </w:r>
      <w:r>
        <w:rPr>
          <w:rStyle w:val="13"/>
          <w:rFonts w:hint="eastAsia" w:ascii="仿宋" w:hAnsi="仿宋" w:eastAsia="仿宋"/>
          <w:sz w:val="32"/>
          <w:szCs w:val="32"/>
        </w:rPr>
        <w:t>：</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460.81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98.19</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346.84</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35</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78.97</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3896.33</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5279.18</w:t>
      </w:r>
      <w:r>
        <w:rPr>
          <w:rStyle w:val="13"/>
          <w:rFonts w:ascii="仿宋" w:hAnsi="仿宋" w:eastAsia="仿宋"/>
          <w:sz w:val="32"/>
          <w:szCs w:val="32"/>
        </w:rPr>
        <w:t>万元;其中：</w:t>
      </w:r>
      <w:r>
        <w:rPr>
          <w:rStyle w:val="13"/>
          <w:rFonts w:hint="eastAsia" w:ascii="仿宋" w:hAnsi="仿宋" w:eastAsia="仿宋"/>
          <w:sz w:val="32"/>
          <w:szCs w:val="32"/>
          <w:lang w:eastAsia="zh-CN"/>
        </w:rPr>
        <w:t>工资福利支出</w:t>
      </w:r>
      <w:r>
        <w:rPr>
          <w:rStyle w:val="13"/>
          <w:rFonts w:hint="eastAsia" w:ascii="仿宋" w:hAnsi="仿宋" w:eastAsia="仿宋"/>
          <w:sz w:val="32"/>
          <w:szCs w:val="32"/>
          <w:lang w:val="en-US" w:eastAsia="zh-CN"/>
        </w:rPr>
        <w:t>111.3万元，</w:t>
      </w:r>
      <w:r>
        <w:rPr>
          <w:rStyle w:val="13"/>
          <w:rFonts w:ascii="仿宋" w:hAnsi="仿宋" w:eastAsia="仿宋"/>
          <w:sz w:val="32"/>
          <w:szCs w:val="32"/>
        </w:rPr>
        <w:t>商品和服务支出</w:t>
      </w:r>
      <w:r>
        <w:rPr>
          <w:rStyle w:val="13"/>
          <w:rFonts w:hint="eastAsia" w:ascii="仿宋" w:hAnsi="仿宋" w:eastAsia="仿宋"/>
          <w:sz w:val="32"/>
          <w:szCs w:val="32"/>
          <w:lang w:val="en-US" w:eastAsia="zh-CN"/>
        </w:rPr>
        <w:t>172.14</w:t>
      </w:r>
      <w:r>
        <w:rPr>
          <w:rStyle w:val="13"/>
          <w:rFonts w:ascii="仿宋" w:hAnsi="仿宋" w:eastAsia="仿宋"/>
          <w:sz w:val="32"/>
          <w:szCs w:val="32"/>
        </w:rPr>
        <w:t>万元,</w:t>
      </w:r>
      <w:r>
        <w:rPr>
          <w:rStyle w:val="13"/>
          <w:rFonts w:hint="eastAsia" w:ascii="仿宋" w:hAnsi="仿宋" w:eastAsia="仿宋"/>
          <w:sz w:val="32"/>
          <w:szCs w:val="32"/>
          <w:lang w:eastAsia="zh-CN"/>
        </w:rPr>
        <w:t>对个人和家庭的补助</w:t>
      </w:r>
      <w:r>
        <w:rPr>
          <w:rStyle w:val="13"/>
          <w:rFonts w:hint="eastAsia" w:ascii="仿宋" w:hAnsi="仿宋" w:eastAsia="仿宋"/>
          <w:sz w:val="32"/>
          <w:szCs w:val="32"/>
          <w:lang w:val="en-US" w:eastAsia="zh-CN"/>
        </w:rPr>
        <w:t>3257.71万元，</w:t>
      </w:r>
      <w:r>
        <w:rPr>
          <w:rStyle w:val="13"/>
          <w:rFonts w:ascii="仿宋" w:hAnsi="仿宋" w:eastAsia="仿宋"/>
          <w:sz w:val="32"/>
          <w:szCs w:val="32"/>
        </w:rPr>
        <w:t>资本性支出</w:t>
      </w:r>
      <w:r>
        <w:rPr>
          <w:rStyle w:val="13"/>
          <w:rFonts w:hint="eastAsia" w:ascii="仿宋" w:hAnsi="仿宋" w:eastAsia="仿宋"/>
          <w:sz w:val="32"/>
          <w:szCs w:val="32"/>
          <w:lang w:val="en-US" w:eastAsia="zh-CN"/>
        </w:rPr>
        <w:t>355.18</w:t>
      </w:r>
      <w:r>
        <w:rPr>
          <w:rStyle w:val="13"/>
          <w:rFonts w:ascii="仿宋" w:hAnsi="仿宋" w:eastAsia="仿宋"/>
          <w:sz w:val="32"/>
          <w:szCs w:val="32"/>
        </w:rPr>
        <w:t>万元。</w:t>
      </w:r>
      <w:r>
        <w:fldChar w:fldCharType="end"/>
      </w:r>
    </w:p>
    <w:p w14:paraId="5E1ACBD1">
      <w:pPr>
        <w:ind w:firstLine="640" w:firstLineChars="200"/>
        <w:rPr>
          <w:rStyle w:val="13"/>
          <w:rFonts w:ascii="仿宋" w:hAnsi="仿宋" w:eastAsia="仿宋"/>
          <w:b/>
          <w:sz w:val="20"/>
          <w:szCs w:val="32"/>
        </w:rPr>
      </w:pPr>
      <w:r>
        <w:rPr>
          <w:rStyle w:val="13"/>
          <w:rFonts w:hint="eastAsia" w:ascii="仿宋" w:hAnsi="仿宋" w:eastAsia="仿宋"/>
          <w:sz w:val="32"/>
          <w:szCs w:val="32"/>
        </w:rPr>
        <w:t>按</w:t>
      </w:r>
      <w:r>
        <w:rPr>
          <w:rStyle w:val="13"/>
          <w:rFonts w:hint="eastAsia" w:ascii="仿宋" w:hAnsi="仿宋" w:eastAsia="仿宋"/>
          <w:color w:val="auto"/>
          <w:sz w:val="32"/>
          <w:szCs w:val="32"/>
        </w:rPr>
        <w:t>支出功能科目划</w:t>
      </w:r>
      <w:r>
        <w:rPr>
          <w:rStyle w:val="13"/>
          <w:rFonts w:hint="eastAsia" w:ascii="仿宋" w:hAnsi="仿宋" w:eastAsia="仿宋"/>
          <w:sz w:val="32"/>
          <w:szCs w:val="32"/>
        </w:rPr>
        <w:t>分：</w:t>
      </w:r>
      <w:r>
        <w:rPr>
          <w:rStyle w:val="13"/>
          <w:rFonts w:ascii="仿宋" w:hAnsi="仿宋" w:eastAsia="仿宋" w:cs="Times New Roman"/>
          <w:sz w:val="32"/>
          <w:szCs w:val="32"/>
        </w:rPr>
        <w:fldChar w:fldCharType="begin"/>
      </w:r>
      <w:r>
        <w:rPr>
          <w:rStyle w:val="13"/>
          <w:rFonts w:ascii="仿宋" w:hAnsi="仿宋" w:eastAsia="仿宋" w:cs="Times New Roman"/>
          <w:sz w:val="32"/>
          <w:szCs w:val="32"/>
        </w:rPr>
        <w:instrText xml:space="preserve">MERGEFIELD ${page540426799.ds197859873_REP_BGT_T_HC1100002019DXQ01DW_GNZJMX}</w:instrText>
      </w:r>
      <w:r>
        <w:rPr>
          <w:rStyle w:val="13"/>
          <w:rFonts w:ascii="仿宋" w:hAnsi="仿宋" w:eastAsia="仿宋" w:cs="Times New Roman"/>
          <w:sz w:val="32"/>
          <w:szCs w:val="32"/>
        </w:rPr>
        <w:fldChar w:fldCharType="separate"/>
      </w:r>
      <w:r>
        <w:rPr>
          <w:rStyle w:val="13"/>
          <w:rFonts w:ascii="仿宋" w:hAnsi="仿宋" w:eastAsia="仿宋" w:cs="Times New Roman"/>
          <w:sz w:val="32"/>
          <w:szCs w:val="32"/>
        </w:rPr>
        <w:t>一般公共服务支出</w:t>
      </w:r>
      <w:r>
        <w:rPr>
          <w:rStyle w:val="13"/>
          <w:rFonts w:hint="eastAsia" w:ascii="仿宋" w:hAnsi="仿宋" w:eastAsia="仿宋" w:cs="Times New Roman"/>
          <w:sz w:val="32"/>
          <w:szCs w:val="32"/>
          <w:lang w:val="en-US" w:eastAsia="zh-CN"/>
        </w:rPr>
        <w:t>6.5</w:t>
      </w:r>
      <w:r>
        <w:rPr>
          <w:rStyle w:val="13"/>
          <w:rFonts w:ascii="仿宋" w:hAnsi="仿宋" w:eastAsia="仿宋" w:cs="Times New Roman"/>
          <w:sz w:val="32"/>
          <w:szCs w:val="32"/>
        </w:rPr>
        <w:t>万元,</w:t>
      </w:r>
      <w:r>
        <w:rPr>
          <w:rStyle w:val="13"/>
          <w:rFonts w:hint="eastAsia" w:ascii="仿宋" w:hAnsi="仿宋" w:eastAsia="仿宋" w:cs="Times New Roman"/>
          <w:sz w:val="32"/>
          <w:szCs w:val="32"/>
          <w:lang w:eastAsia="zh-CN"/>
        </w:rPr>
        <w:t>与</w:t>
      </w:r>
      <w:r>
        <w:rPr>
          <w:rStyle w:val="13"/>
          <w:rFonts w:ascii="仿宋" w:hAnsi="仿宋" w:eastAsia="仿宋" w:cs="Times New Roman"/>
          <w:sz w:val="32"/>
          <w:szCs w:val="32"/>
        </w:rPr>
        <w:t>上年预算安排</w:t>
      </w:r>
      <w:r>
        <w:rPr>
          <w:rStyle w:val="13"/>
          <w:rFonts w:hint="eastAsia" w:ascii="仿宋" w:hAnsi="仿宋" w:eastAsia="仿宋" w:cs="Times New Roman"/>
          <w:sz w:val="32"/>
          <w:szCs w:val="32"/>
          <w:lang w:eastAsia="zh-CN"/>
        </w:rPr>
        <w:t>无变化</w:t>
      </w:r>
      <w:r>
        <w:rPr>
          <w:rStyle w:val="13"/>
          <w:rFonts w:ascii="仿宋" w:hAnsi="仿宋" w:eastAsia="仿宋" w:cs="Times New Roman"/>
          <w:sz w:val="32"/>
          <w:szCs w:val="32"/>
        </w:rPr>
        <w:t>;社会保障和就业支出</w:t>
      </w:r>
      <w:r>
        <w:rPr>
          <w:rStyle w:val="13"/>
          <w:rFonts w:hint="eastAsia" w:ascii="仿宋" w:hAnsi="仿宋" w:eastAsia="仿宋" w:cs="Times New Roman"/>
          <w:sz w:val="32"/>
          <w:szCs w:val="32"/>
          <w:lang w:val="en-US" w:eastAsia="zh-CN"/>
        </w:rPr>
        <w:t>3736.71</w:t>
      </w:r>
      <w:r>
        <w:rPr>
          <w:rStyle w:val="13"/>
          <w:rFonts w:ascii="仿宋" w:hAnsi="仿宋" w:eastAsia="仿宋" w:cs="Times New Roman"/>
          <w:sz w:val="32"/>
          <w:szCs w:val="32"/>
        </w:rPr>
        <w:t>万元,较上年预算安排减少</w:t>
      </w:r>
      <w:r>
        <w:rPr>
          <w:rStyle w:val="13"/>
          <w:rFonts w:hint="eastAsia" w:ascii="仿宋" w:hAnsi="仿宋" w:eastAsia="仿宋" w:cs="Times New Roman"/>
          <w:sz w:val="32"/>
          <w:szCs w:val="32"/>
          <w:lang w:val="en-US" w:eastAsia="zh-CN"/>
        </w:rPr>
        <w:t>2928.13</w:t>
      </w:r>
      <w:r>
        <w:rPr>
          <w:rStyle w:val="13"/>
          <w:rFonts w:ascii="仿宋" w:hAnsi="仿宋" w:eastAsia="仿宋" w:cs="Times New Roman"/>
          <w:sz w:val="32"/>
          <w:szCs w:val="32"/>
        </w:rPr>
        <w:t>万元;卫生健康支出</w:t>
      </w:r>
      <w:r>
        <w:rPr>
          <w:rStyle w:val="13"/>
          <w:rFonts w:hint="eastAsia" w:ascii="仿宋" w:hAnsi="仿宋" w:eastAsia="仿宋" w:cs="Times New Roman"/>
          <w:sz w:val="32"/>
          <w:szCs w:val="32"/>
          <w:lang w:val="en-US" w:eastAsia="zh-CN"/>
        </w:rPr>
        <w:t>23.42</w:t>
      </w:r>
      <w:r>
        <w:rPr>
          <w:rStyle w:val="13"/>
          <w:rFonts w:ascii="仿宋" w:hAnsi="仿宋" w:eastAsia="仿宋" w:cs="Times New Roman"/>
          <w:sz w:val="32"/>
          <w:szCs w:val="32"/>
        </w:rPr>
        <w:t>万元,较上年预算安排增加</w:t>
      </w:r>
      <w:r>
        <w:rPr>
          <w:rStyle w:val="13"/>
          <w:rFonts w:hint="eastAsia" w:ascii="仿宋" w:hAnsi="仿宋" w:eastAsia="仿宋" w:cs="Times New Roman"/>
          <w:sz w:val="32"/>
          <w:szCs w:val="32"/>
          <w:lang w:val="en-US" w:eastAsia="zh-CN"/>
        </w:rPr>
        <w:t>5.96</w:t>
      </w:r>
      <w:r>
        <w:rPr>
          <w:rStyle w:val="13"/>
          <w:rFonts w:ascii="仿宋" w:hAnsi="仿宋" w:eastAsia="仿宋" w:cs="Times New Roman"/>
          <w:sz w:val="32"/>
          <w:szCs w:val="32"/>
        </w:rPr>
        <w:t>万元;住房保障支出</w:t>
      </w:r>
      <w:r>
        <w:rPr>
          <w:rStyle w:val="13"/>
          <w:rFonts w:hint="eastAsia" w:ascii="仿宋" w:hAnsi="仿宋" w:eastAsia="仿宋" w:cs="Times New Roman"/>
          <w:sz w:val="32"/>
          <w:szCs w:val="32"/>
          <w:lang w:val="en-US" w:eastAsia="zh-CN"/>
        </w:rPr>
        <w:t>28.84</w:t>
      </w:r>
      <w:r>
        <w:rPr>
          <w:rStyle w:val="13"/>
          <w:rFonts w:ascii="仿宋" w:hAnsi="仿宋" w:eastAsia="仿宋" w:cs="Times New Roman"/>
          <w:sz w:val="32"/>
          <w:szCs w:val="32"/>
        </w:rPr>
        <w:t>万元,较上年预算安排增加</w:t>
      </w:r>
      <w:r>
        <w:rPr>
          <w:rStyle w:val="13"/>
          <w:rFonts w:hint="eastAsia" w:ascii="仿宋" w:hAnsi="仿宋" w:eastAsia="仿宋" w:cs="Times New Roman"/>
          <w:sz w:val="32"/>
          <w:szCs w:val="32"/>
          <w:lang w:val="en-US" w:eastAsia="zh-CN"/>
        </w:rPr>
        <w:t>7.18</w:t>
      </w:r>
      <w:r>
        <w:rPr>
          <w:rStyle w:val="13"/>
          <w:rFonts w:ascii="仿宋" w:hAnsi="仿宋" w:eastAsia="仿宋" w:cs="Times New Roman"/>
          <w:sz w:val="32"/>
          <w:szCs w:val="32"/>
        </w:rPr>
        <w:t>万元</w:t>
      </w:r>
      <w:r>
        <w:rPr>
          <w:rStyle w:val="13"/>
          <w:rFonts w:hint="eastAsia" w:ascii="仿宋" w:hAnsi="仿宋" w:eastAsia="仿宋" w:cs="Times New Roman"/>
          <w:sz w:val="32"/>
          <w:szCs w:val="32"/>
          <w:lang w:eastAsia="zh-CN"/>
        </w:rPr>
        <w:t>；</w:t>
      </w:r>
      <w:r>
        <w:rPr>
          <w:rStyle w:val="13"/>
          <w:rFonts w:ascii="仿宋" w:hAnsi="仿宋" w:eastAsia="仿宋" w:cs="Times New Roman"/>
          <w:sz w:val="32"/>
          <w:szCs w:val="32"/>
        </w:rPr>
        <w:fldChar w:fldCharType="end"/>
      </w:r>
      <w:r>
        <w:rPr>
          <w:rStyle w:val="13"/>
          <w:rFonts w:hint="eastAsia" w:ascii="仿宋" w:hAnsi="仿宋" w:eastAsia="仿宋" w:cs="Times New Roman"/>
          <w:sz w:val="32"/>
          <w:szCs w:val="32"/>
          <w:lang w:eastAsia="zh-CN"/>
        </w:rPr>
        <w:t>其他</w:t>
      </w:r>
      <w:r>
        <w:rPr>
          <w:rStyle w:val="13"/>
          <w:rFonts w:ascii="仿宋" w:hAnsi="仿宋" w:eastAsia="仿宋" w:cs="Times New Roman"/>
          <w:sz w:val="32"/>
          <w:szCs w:val="32"/>
        </w:rPr>
        <w:t>支</w:t>
      </w:r>
      <w:r>
        <w:rPr>
          <w:rStyle w:val="13"/>
          <w:rFonts w:ascii="仿宋" w:hAnsi="仿宋" w:eastAsia="仿宋"/>
          <w:sz w:val="32"/>
          <w:szCs w:val="32"/>
        </w:rPr>
        <w:t>出</w:t>
      </w:r>
      <w:r>
        <w:rPr>
          <w:rStyle w:val="13"/>
          <w:rFonts w:hint="eastAsia" w:ascii="仿宋" w:hAnsi="仿宋" w:eastAsia="仿宋"/>
          <w:sz w:val="32"/>
          <w:szCs w:val="32"/>
          <w:lang w:val="en-US" w:eastAsia="zh-CN"/>
        </w:rPr>
        <w:t>561.67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2266</w:t>
      </w:r>
      <w:r>
        <w:rPr>
          <w:rStyle w:val="13"/>
          <w:rFonts w:ascii="仿宋" w:hAnsi="仿宋" w:eastAsia="仿宋"/>
          <w:sz w:val="32"/>
          <w:szCs w:val="32"/>
        </w:rPr>
        <w:t>万元。</w:t>
      </w:r>
    </w:p>
    <w:p w14:paraId="2CBBC4C0">
      <w:pPr>
        <w:ind w:firstLine="640" w:firstLineChars="200"/>
        <w:rPr>
          <w:rFonts w:hint="default" w:eastAsiaTheme="minorEastAsia"/>
          <w:color w:val="FF0000"/>
          <w:lang w:val="en-US" w:eastAsia="zh-CN"/>
        </w:rPr>
      </w:pPr>
      <w:r>
        <w:rPr>
          <w:rStyle w:val="13"/>
          <w:rFonts w:hint="eastAsia" w:ascii="仿宋" w:hAnsi="仿宋" w:eastAsia="仿宋"/>
          <w:color w:val="auto"/>
          <w:sz w:val="32"/>
          <w:szCs w:val="32"/>
        </w:rPr>
        <w:t>按支出经济分类</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${page540426799.ds197859873_REP_BGT_T_HC1100002019DXQ01DW_JJMX}</w:instrText>
      </w:r>
      <w:r>
        <w:rPr>
          <w:rStyle w:val="13"/>
          <w:rFonts w:ascii="仿宋" w:hAnsi="仿宋" w:eastAsia="仿宋"/>
          <w:sz w:val="32"/>
          <w:szCs w:val="32"/>
        </w:rPr>
        <w:fldChar w:fldCharType="separate"/>
      </w:r>
      <w:r>
        <w:rPr>
          <w:rStyle w:val="13"/>
          <w:rFonts w:ascii="仿宋" w:hAnsi="仿宋" w:eastAsia="仿宋"/>
          <w:sz w:val="32"/>
          <w:szCs w:val="32"/>
        </w:rPr>
        <w:t>工资福利支出</w:t>
      </w:r>
      <w:r>
        <w:rPr>
          <w:rStyle w:val="13"/>
          <w:rFonts w:hint="eastAsia" w:ascii="仿宋" w:hAnsi="仿宋" w:eastAsia="仿宋"/>
          <w:sz w:val="32"/>
          <w:szCs w:val="32"/>
          <w:lang w:val="en-US" w:eastAsia="zh-CN"/>
        </w:rPr>
        <w:t>458.14</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36.14</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207.14</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253.85</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3336.68</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2842.26</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355.18</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2091.02</w:t>
      </w:r>
      <w:r>
        <w:rPr>
          <w:rStyle w:val="13"/>
          <w:rFonts w:ascii="仿宋" w:hAnsi="仿宋" w:eastAsia="仿宋"/>
          <w:sz w:val="32"/>
          <w:szCs w:val="32"/>
        </w:rPr>
        <w:t>万元。</w:t>
      </w:r>
      <w:r>
        <w:fldChar w:fldCharType="end"/>
      </w:r>
    </w:p>
    <w:p w14:paraId="0C5B2137">
      <w:pPr>
        <w:ind w:firstLine="321" w:firstLineChars="100"/>
        <w:rPr>
          <w:rStyle w:val="13"/>
          <w:rFonts w:hint="eastAsia" w:ascii="Adobe 仿宋 Std R" w:hAnsi="Adobe 仿宋 Std R" w:eastAsia="Adobe 仿宋 Std R"/>
          <w:b/>
          <w:sz w:val="32"/>
          <w:szCs w:val="32"/>
          <w:lang w:eastAsia="zh-CN"/>
        </w:rPr>
      </w:pPr>
      <w:r>
        <w:rPr>
          <w:rStyle w:val="13"/>
          <w:rFonts w:hint="eastAsia" w:ascii="Adobe 仿宋 Std R" w:hAnsi="Adobe 仿宋 Std R" w:eastAsia="Adobe 仿宋 Std R"/>
          <w:b/>
          <w:sz w:val="32"/>
          <w:szCs w:val="32"/>
        </w:rPr>
        <w:t xml:space="preserve"> (三)财政拨款支出情况</w:t>
      </w:r>
    </w:p>
    <w:p w14:paraId="236DC01D">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庐山市民政局</w:t>
      </w:r>
      <w:r>
        <w:rPr>
          <w:color w:val="auto"/>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Style w:val="13"/>
          <w:rFonts w:hint="eastAsia" w:ascii="仿宋" w:hAnsi="仿宋" w:eastAsia="仿宋"/>
          <w:sz w:val="32"/>
          <w:szCs w:val="32"/>
          <w:lang w:val="en-US" w:eastAsia="zh-CN"/>
        </w:rPr>
        <w:t>4357.14</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5180.99</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减少原因为本年上级补助收入未包含在预算中。</w:t>
      </w:r>
    </w:p>
    <w:p w14:paraId="4452D030">
      <w:pPr>
        <w:ind w:firstLine="640" w:firstLineChars="200"/>
        <w:rPr>
          <w:rStyle w:val="13"/>
          <w:rFonts w:ascii="仿宋" w:hAnsi="仿宋" w:eastAsia="仿宋"/>
          <w:b/>
          <w:sz w:val="20"/>
          <w:szCs w:val="32"/>
        </w:rPr>
      </w:pPr>
      <w:r>
        <w:rPr>
          <w:rStyle w:val="13"/>
          <w:rFonts w:hint="eastAsia" w:ascii="仿宋" w:hAnsi="仿宋" w:eastAsia="仿宋"/>
          <w:sz w:val="32"/>
          <w:szCs w:val="32"/>
        </w:rPr>
        <w:t>按</w:t>
      </w:r>
      <w:r>
        <w:rPr>
          <w:rStyle w:val="13"/>
          <w:rFonts w:hint="eastAsia" w:ascii="仿宋" w:hAnsi="仿宋" w:eastAsia="仿宋"/>
          <w:color w:val="auto"/>
          <w:sz w:val="32"/>
          <w:szCs w:val="32"/>
        </w:rPr>
        <w:t>支出功能科目划</w:t>
      </w:r>
      <w:r>
        <w:rPr>
          <w:rStyle w:val="13"/>
          <w:rFonts w:hint="eastAsia" w:ascii="仿宋" w:hAnsi="仿宋" w:eastAsia="仿宋"/>
          <w:sz w:val="32"/>
          <w:szCs w:val="32"/>
        </w:rPr>
        <w:t>分：</w:t>
      </w:r>
      <w:r>
        <w:rPr>
          <w:rStyle w:val="13"/>
          <w:rFonts w:ascii="仿宋" w:hAnsi="仿宋" w:eastAsia="仿宋" w:cs="Times New Roman"/>
          <w:sz w:val="32"/>
          <w:szCs w:val="32"/>
        </w:rPr>
        <w:fldChar w:fldCharType="begin"/>
      </w:r>
      <w:r>
        <w:rPr>
          <w:rStyle w:val="13"/>
          <w:rFonts w:ascii="仿宋" w:hAnsi="仿宋" w:eastAsia="仿宋" w:cs="Times New Roman"/>
          <w:sz w:val="32"/>
          <w:szCs w:val="32"/>
        </w:rPr>
        <w:instrText xml:space="preserve">MERGEFIELD ${page540426799.ds197859873_REP_BGT_T_HC1100002019DXQ01DW_GNZJMX}</w:instrText>
      </w:r>
      <w:r>
        <w:rPr>
          <w:rStyle w:val="13"/>
          <w:rFonts w:ascii="仿宋" w:hAnsi="仿宋" w:eastAsia="仿宋" w:cs="Times New Roman"/>
          <w:sz w:val="32"/>
          <w:szCs w:val="32"/>
        </w:rPr>
        <w:fldChar w:fldCharType="separate"/>
      </w:r>
      <w:r>
        <w:rPr>
          <w:rStyle w:val="13"/>
          <w:rFonts w:ascii="仿宋" w:hAnsi="仿宋" w:eastAsia="仿宋" w:cs="Times New Roman"/>
          <w:sz w:val="32"/>
          <w:szCs w:val="32"/>
        </w:rPr>
        <w:t>一般公共服务支出</w:t>
      </w:r>
      <w:r>
        <w:rPr>
          <w:rStyle w:val="13"/>
          <w:rFonts w:hint="eastAsia" w:ascii="仿宋" w:hAnsi="仿宋" w:eastAsia="仿宋" w:cs="Times New Roman"/>
          <w:sz w:val="32"/>
          <w:szCs w:val="32"/>
          <w:lang w:val="en-US" w:eastAsia="zh-CN"/>
        </w:rPr>
        <w:t>6.5</w:t>
      </w:r>
      <w:r>
        <w:rPr>
          <w:rStyle w:val="13"/>
          <w:rFonts w:ascii="仿宋" w:hAnsi="仿宋" w:eastAsia="仿宋" w:cs="Times New Roman"/>
          <w:sz w:val="32"/>
          <w:szCs w:val="32"/>
        </w:rPr>
        <w:t>万元,</w:t>
      </w:r>
      <w:r>
        <w:rPr>
          <w:rStyle w:val="13"/>
          <w:rFonts w:hint="eastAsia" w:ascii="仿宋" w:hAnsi="仿宋" w:eastAsia="仿宋" w:cs="Times New Roman"/>
          <w:sz w:val="32"/>
          <w:szCs w:val="32"/>
          <w:lang w:eastAsia="zh-CN"/>
        </w:rPr>
        <w:t>与</w:t>
      </w:r>
      <w:r>
        <w:rPr>
          <w:rStyle w:val="13"/>
          <w:rFonts w:ascii="仿宋" w:hAnsi="仿宋" w:eastAsia="仿宋" w:cs="Times New Roman"/>
          <w:sz w:val="32"/>
          <w:szCs w:val="32"/>
        </w:rPr>
        <w:t>上年预算安排</w:t>
      </w:r>
      <w:r>
        <w:rPr>
          <w:rStyle w:val="13"/>
          <w:rFonts w:hint="eastAsia" w:ascii="仿宋" w:hAnsi="仿宋" w:eastAsia="仿宋" w:cs="Times New Roman"/>
          <w:sz w:val="32"/>
          <w:szCs w:val="32"/>
          <w:lang w:eastAsia="zh-CN"/>
        </w:rPr>
        <w:t>无变化</w:t>
      </w:r>
      <w:r>
        <w:rPr>
          <w:rStyle w:val="13"/>
          <w:rFonts w:ascii="仿宋" w:hAnsi="仿宋" w:eastAsia="仿宋" w:cs="Times New Roman"/>
          <w:sz w:val="32"/>
          <w:szCs w:val="32"/>
        </w:rPr>
        <w:t>;社会保障和就业支出</w:t>
      </w:r>
      <w:r>
        <w:rPr>
          <w:rStyle w:val="13"/>
          <w:rFonts w:hint="eastAsia" w:ascii="仿宋" w:hAnsi="仿宋" w:eastAsia="仿宋" w:cs="Times New Roman"/>
          <w:sz w:val="32"/>
          <w:szCs w:val="32"/>
          <w:lang w:val="en-US" w:eastAsia="zh-CN"/>
        </w:rPr>
        <w:t>3736.71</w:t>
      </w:r>
      <w:r>
        <w:rPr>
          <w:rStyle w:val="13"/>
          <w:rFonts w:ascii="仿宋" w:hAnsi="仿宋" w:eastAsia="仿宋" w:cs="Times New Roman"/>
          <w:sz w:val="32"/>
          <w:szCs w:val="32"/>
        </w:rPr>
        <w:t>万元,较上年预算安排减少</w:t>
      </w:r>
      <w:r>
        <w:rPr>
          <w:rStyle w:val="13"/>
          <w:rFonts w:hint="eastAsia" w:ascii="仿宋" w:hAnsi="仿宋" w:eastAsia="仿宋" w:cs="Times New Roman"/>
          <w:sz w:val="32"/>
          <w:szCs w:val="32"/>
          <w:lang w:val="en-US" w:eastAsia="zh-CN"/>
        </w:rPr>
        <w:t>2928.13</w:t>
      </w:r>
      <w:r>
        <w:rPr>
          <w:rStyle w:val="13"/>
          <w:rFonts w:ascii="仿宋" w:hAnsi="仿宋" w:eastAsia="仿宋" w:cs="Times New Roman"/>
          <w:sz w:val="32"/>
          <w:szCs w:val="32"/>
        </w:rPr>
        <w:t>万元;卫生健康支出</w:t>
      </w:r>
      <w:r>
        <w:rPr>
          <w:rStyle w:val="13"/>
          <w:rFonts w:hint="eastAsia" w:ascii="仿宋" w:hAnsi="仿宋" w:eastAsia="仿宋" w:cs="Times New Roman"/>
          <w:sz w:val="32"/>
          <w:szCs w:val="32"/>
          <w:lang w:val="en-US" w:eastAsia="zh-CN"/>
        </w:rPr>
        <w:t>23.42</w:t>
      </w:r>
      <w:r>
        <w:rPr>
          <w:rStyle w:val="13"/>
          <w:rFonts w:ascii="仿宋" w:hAnsi="仿宋" w:eastAsia="仿宋" w:cs="Times New Roman"/>
          <w:sz w:val="32"/>
          <w:szCs w:val="32"/>
        </w:rPr>
        <w:t>万元,较上年预算安排增加</w:t>
      </w:r>
      <w:r>
        <w:rPr>
          <w:rStyle w:val="13"/>
          <w:rFonts w:hint="eastAsia" w:ascii="仿宋" w:hAnsi="仿宋" w:eastAsia="仿宋" w:cs="Times New Roman"/>
          <w:sz w:val="32"/>
          <w:szCs w:val="32"/>
          <w:lang w:val="en-US" w:eastAsia="zh-CN"/>
        </w:rPr>
        <w:t>5.96</w:t>
      </w:r>
      <w:r>
        <w:rPr>
          <w:rStyle w:val="13"/>
          <w:rFonts w:ascii="仿宋" w:hAnsi="仿宋" w:eastAsia="仿宋" w:cs="Times New Roman"/>
          <w:sz w:val="32"/>
          <w:szCs w:val="32"/>
        </w:rPr>
        <w:t>万元;住房保障支出</w:t>
      </w:r>
      <w:r>
        <w:rPr>
          <w:rStyle w:val="13"/>
          <w:rFonts w:hint="eastAsia" w:ascii="仿宋" w:hAnsi="仿宋" w:eastAsia="仿宋" w:cs="Times New Roman"/>
          <w:sz w:val="32"/>
          <w:szCs w:val="32"/>
          <w:lang w:val="en-US" w:eastAsia="zh-CN"/>
        </w:rPr>
        <w:t>28.84</w:t>
      </w:r>
      <w:r>
        <w:rPr>
          <w:rStyle w:val="13"/>
          <w:rFonts w:ascii="仿宋" w:hAnsi="仿宋" w:eastAsia="仿宋" w:cs="Times New Roman"/>
          <w:sz w:val="32"/>
          <w:szCs w:val="32"/>
        </w:rPr>
        <w:t>万元,较上年预算安排增加</w:t>
      </w:r>
      <w:r>
        <w:rPr>
          <w:rStyle w:val="13"/>
          <w:rFonts w:hint="eastAsia" w:ascii="仿宋" w:hAnsi="仿宋" w:eastAsia="仿宋" w:cs="Times New Roman"/>
          <w:sz w:val="32"/>
          <w:szCs w:val="32"/>
          <w:lang w:val="en-US" w:eastAsia="zh-CN"/>
        </w:rPr>
        <w:t>7.18</w:t>
      </w:r>
      <w:r>
        <w:rPr>
          <w:rStyle w:val="13"/>
          <w:rFonts w:ascii="仿宋" w:hAnsi="仿宋" w:eastAsia="仿宋" w:cs="Times New Roman"/>
          <w:sz w:val="32"/>
          <w:szCs w:val="32"/>
        </w:rPr>
        <w:t>万元</w:t>
      </w:r>
      <w:r>
        <w:rPr>
          <w:rStyle w:val="13"/>
          <w:rFonts w:hint="eastAsia" w:ascii="仿宋" w:hAnsi="仿宋" w:eastAsia="仿宋" w:cs="Times New Roman"/>
          <w:sz w:val="32"/>
          <w:szCs w:val="32"/>
          <w:lang w:eastAsia="zh-CN"/>
        </w:rPr>
        <w:t>；</w:t>
      </w:r>
      <w:r>
        <w:rPr>
          <w:rStyle w:val="13"/>
          <w:rFonts w:ascii="仿宋" w:hAnsi="仿宋" w:eastAsia="仿宋" w:cs="Times New Roman"/>
          <w:sz w:val="32"/>
          <w:szCs w:val="32"/>
        </w:rPr>
        <w:fldChar w:fldCharType="end"/>
      </w:r>
      <w:r>
        <w:rPr>
          <w:rStyle w:val="13"/>
          <w:rFonts w:hint="eastAsia" w:ascii="仿宋" w:hAnsi="仿宋" w:eastAsia="仿宋" w:cs="Times New Roman"/>
          <w:sz w:val="32"/>
          <w:szCs w:val="32"/>
          <w:lang w:eastAsia="zh-CN"/>
        </w:rPr>
        <w:t>其他</w:t>
      </w:r>
      <w:r>
        <w:rPr>
          <w:rStyle w:val="13"/>
          <w:rFonts w:ascii="仿宋" w:hAnsi="仿宋" w:eastAsia="仿宋" w:cs="Times New Roman"/>
          <w:sz w:val="32"/>
          <w:szCs w:val="32"/>
        </w:rPr>
        <w:t>支</w:t>
      </w:r>
      <w:r>
        <w:rPr>
          <w:rStyle w:val="13"/>
          <w:rFonts w:ascii="仿宋" w:hAnsi="仿宋" w:eastAsia="仿宋"/>
          <w:sz w:val="32"/>
          <w:szCs w:val="32"/>
        </w:rPr>
        <w:t>出</w:t>
      </w:r>
      <w:r>
        <w:rPr>
          <w:rStyle w:val="13"/>
          <w:rFonts w:hint="eastAsia" w:ascii="仿宋" w:hAnsi="仿宋" w:eastAsia="仿宋"/>
          <w:sz w:val="32"/>
          <w:szCs w:val="32"/>
          <w:lang w:val="en-US" w:eastAsia="zh-CN"/>
        </w:rPr>
        <w:t>561.67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2266</w:t>
      </w:r>
      <w:r>
        <w:rPr>
          <w:rStyle w:val="13"/>
          <w:rFonts w:ascii="仿宋" w:hAnsi="仿宋" w:eastAsia="仿宋"/>
          <w:sz w:val="32"/>
          <w:szCs w:val="32"/>
        </w:rPr>
        <w:t>万元。</w:t>
      </w:r>
    </w:p>
    <w:p w14:paraId="1EDDDCDD">
      <w:pPr>
        <w:ind w:firstLine="640" w:firstLineChars="200"/>
      </w:pPr>
      <w:r>
        <w:rPr>
          <w:rStyle w:val="13"/>
          <w:rFonts w:hint="eastAsia" w:ascii="仿宋" w:hAnsi="仿宋" w:eastAsia="仿宋"/>
          <w:sz w:val="32"/>
          <w:szCs w:val="32"/>
        </w:rPr>
        <w:t>按</w:t>
      </w:r>
      <w:r>
        <w:rPr>
          <w:rStyle w:val="13"/>
          <w:rFonts w:hint="eastAsia" w:ascii="仿宋" w:hAnsi="仿宋" w:eastAsia="仿宋"/>
          <w:color w:val="auto"/>
          <w:sz w:val="32"/>
          <w:szCs w:val="32"/>
        </w:rPr>
        <w:t>支出项目类别划分</w:t>
      </w:r>
      <w:r>
        <w:rPr>
          <w:rStyle w:val="13"/>
          <w:rFonts w:hint="eastAsia" w:ascii="仿宋" w:hAnsi="仿宋" w:eastAsia="仿宋"/>
          <w:sz w:val="32"/>
          <w:szCs w:val="32"/>
        </w:rPr>
        <w:t>：</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460.81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98.19</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346.84</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35</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78.97</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3896.33</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5279.18</w:t>
      </w:r>
      <w:r>
        <w:rPr>
          <w:rStyle w:val="13"/>
          <w:rFonts w:ascii="仿宋" w:hAnsi="仿宋" w:eastAsia="仿宋"/>
          <w:sz w:val="32"/>
          <w:szCs w:val="32"/>
        </w:rPr>
        <w:t>万元;其中：</w:t>
      </w:r>
      <w:r>
        <w:rPr>
          <w:rStyle w:val="13"/>
          <w:rFonts w:hint="eastAsia" w:ascii="仿宋" w:hAnsi="仿宋" w:eastAsia="仿宋"/>
          <w:sz w:val="32"/>
          <w:szCs w:val="32"/>
          <w:lang w:eastAsia="zh-CN"/>
        </w:rPr>
        <w:t>工资福利支出</w:t>
      </w:r>
      <w:r>
        <w:rPr>
          <w:rStyle w:val="13"/>
          <w:rFonts w:hint="eastAsia" w:ascii="仿宋" w:hAnsi="仿宋" w:eastAsia="仿宋"/>
          <w:sz w:val="32"/>
          <w:szCs w:val="32"/>
          <w:lang w:val="en-US" w:eastAsia="zh-CN"/>
        </w:rPr>
        <w:t>111.3万元，</w:t>
      </w:r>
      <w:r>
        <w:rPr>
          <w:rStyle w:val="13"/>
          <w:rFonts w:ascii="仿宋" w:hAnsi="仿宋" w:eastAsia="仿宋"/>
          <w:sz w:val="32"/>
          <w:szCs w:val="32"/>
        </w:rPr>
        <w:t>商品和服务支出</w:t>
      </w:r>
      <w:r>
        <w:rPr>
          <w:rStyle w:val="13"/>
          <w:rFonts w:hint="eastAsia" w:ascii="仿宋" w:hAnsi="仿宋" w:eastAsia="仿宋"/>
          <w:sz w:val="32"/>
          <w:szCs w:val="32"/>
          <w:lang w:val="en-US" w:eastAsia="zh-CN"/>
        </w:rPr>
        <w:t>172.14</w:t>
      </w:r>
      <w:r>
        <w:rPr>
          <w:rStyle w:val="13"/>
          <w:rFonts w:ascii="仿宋" w:hAnsi="仿宋" w:eastAsia="仿宋"/>
          <w:sz w:val="32"/>
          <w:szCs w:val="32"/>
        </w:rPr>
        <w:t>万元,</w:t>
      </w:r>
      <w:r>
        <w:rPr>
          <w:rStyle w:val="13"/>
          <w:rFonts w:hint="eastAsia" w:ascii="仿宋" w:hAnsi="仿宋" w:eastAsia="仿宋"/>
          <w:sz w:val="32"/>
          <w:szCs w:val="32"/>
          <w:lang w:eastAsia="zh-CN"/>
        </w:rPr>
        <w:t>对个人和家庭的补助</w:t>
      </w:r>
      <w:r>
        <w:rPr>
          <w:rStyle w:val="13"/>
          <w:rFonts w:hint="eastAsia" w:ascii="仿宋" w:hAnsi="仿宋" w:eastAsia="仿宋"/>
          <w:sz w:val="32"/>
          <w:szCs w:val="32"/>
          <w:lang w:val="en-US" w:eastAsia="zh-CN"/>
        </w:rPr>
        <w:t>3257.71万元，</w:t>
      </w:r>
      <w:r>
        <w:rPr>
          <w:rStyle w:val="13"/>
          <w:rFonts w:ascii="仿宋" w:hAnsi="仿宋" w:eastAsia="仿宋"/>
          <w:sz w:val="32"/>
          <w:szCs w:val="32"/>
        </w:rPr>
        <w:t>资本性支出</w:t>
      </w:r>
      <w:r>
        <w:rPr>
          <w:rStyle w:val="13"/>
          <w:rFonts w:hint="eastAsia" w:ascii="仿宋" w:hAnsi="仿宋" w:eastAsia="仿宋"/>
          <w:sz w:val="32"/>
          <w:szCs w:val="32"/>
          <w:lang w:val="en-US" w:eastAsia="zh-CN"/>
        </w:rPr>
        <w:t>355.18</w:t>
      </w:r>
      <w:r>
        <w:rPr>
          <w:rStyle w:val="13"/>
          <w:rFonts w:ascii="仿宋" w:hAnsi="仿宋" w:eastAsia="仿宋"/>
          <w:sz w:val="32"/>
          <w:szCs w:val="32"/>
        </w:rPr>
        <w:t>万元。</w:t>
      </w:r>
      <w:r>
        <w:fldChar w:fldCharType="end"/>
      </w:r>
    </w:p>
    <w:p w14:paraId="1C47BA99">
      <w:pPr>
        <w:ind w:firstLine="643" w:firstLineChars="2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(四)政府性基金情况</w:t>
      </w:r>
    </w:p>
    <w:p w14:paraId="4F48295E">
      <w:pPr>
        <w:ind w:firstLine="640" w:firstLineChars="200"/>
        <w:rPr>
          <w:rFonts w:ascii="Adobe 仿宋 Std R" w:hAnsi="Adobe 仿宋 Std R" w:eastAsia="Adobe 仿宋 Std R"/>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庐山市民政局</w:t>
      </w:r>
      <w:r>
        <w:rPr>
          <w:color w:val="auto"/>
        </w:rPr>
        <w:fldChar w:fldCharType="end"/>
      </w:r>
      <w:r>
        <w:rPr>
          <w:rFonts w:ascii="Adobe 仿宋 Std R" w:hAnsi="Adobe 仿宋 Std R" w:eastAsia="Adobe 仿宋 Std R"/>
          <w:color w:val="auto"/>
          <w:sz w:val="32"/>
          <w:szCs w:val="32"/>
        </w:rPr>
        <w:t>政</w:t>
      </w:r>
      <w:r>
        <w:rPr>
          <w:rFonts w:ascii="Adobe 仿宋 Std R" w:hAnsi="Adobe 仿宋 Std R" w:eastAsia="Adobe 仿宋 Std R"/>
          <w:sz w:val="32"/>
          <w:szCs w:val="32"/>
        </w:rPr>
        <w:t>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561.67万元。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31BDDD8F">
      <w:pPr>
        <w:ind w:firstLine="640" w:firstLineChars="200"/>
        <w:rPr>
          <w:rStyle w:val="13"/>
          <w:rFonts w:hint="eastAsia" w:ascii="仿宋" w:hAnsi="仿宋" w:eastAsia="仿宋"/>
          <w:sz w:val="32"/>
          <w:szCs w:val="32"/>
          <w:lang w:val="en-US" w:eastAsia="zh-CN"/>
        </w:rPr>
      </w:pPr>
      <w:r>
        <w:rPr>
          <w:rStyle w:val="13"/>
          <w:rFonts w:hint="eastAsia" w:ascii="仿宋" w:hAnsi="仿宋" w:eastAsia="仿宋"/>
          <w:sz w:val="32"/>
          <w:szCs w:val="32"/>
        </w:rPr>
        <w:t>按</w:t>
      </w:r>
      <w:r>
        <w:rPr>
          <w:rFonts w:hint="eastAsia" w:ascii="Adobe 仿宋 Std R" w:hAnsi="Adobe 仿宋 Std R" w:eastAsia="Adobe 仿宋 Std R"/>
          <w:sz w:val="32"/>
          <w:szCs w:val="32"/>
        </w:rPr>
        <w:t>支出项目类别</w:t>
      </w:r>
      <w:r>
        <w:rPr>
          <w:rStyle w:val="13"/>
          <w:rFonts w:hint="eastAsia" w:ascii="仿宋" w:hAnsi="仿宋" w:eastAsia="仿宋"/>
          <w:sz w:val="32"/>
          <w:szCs w:val="32"/>
        </w:rPr>
        <w:t>划分：</w:t>
      </w:r>
      <w:r>
        <w:rPr>
          <w:rStyle w:val="13"/>
          <w:rFonts w:hint="eastAsia" w:ascii="仿宋" w:hAnsi="仿宋" w:eastAsia="仿宋"/>
          <w:sz w:val="32"/>
          <w:szCs w:val="32"/>
          <w:lang w:eastAsia="zh-CN"/>
        </w:rPr>
        <w:t>项目支出</w:t>
      </w:r>
      <w:r>
        <w:rPr>
          <w:rStyle w:val="13"/>
          <w:rFonts w:hint="eastAsia" w:ascii="仿宋" w:hAnsi="仿宋" w:eastAsia="仿宋"/>
          <w:sz w:val="32"/>
          <w:szCs w:val="32"/>
          <w:lang w:val="en-US" w:eastAsia="zh-CN"/>
        </w:rPr>
        <w:t>561.67万元，较上年预算安排减少2266万元，其中商品和服务支出65.49万元，对个人和家庭的补助143万元，资本性支出353.18万元。</w:t>
      </w:r>
    </w:p>
    <w:p w14:paraId="2D3155CC">
      <w:pPr>
        <w:ind w:firstLine="643" w:firstLineChars="2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lang w:val="en-US" w:eastAsia="zh-CN"/>
        </w:rPr>
        <w:t>(</w:t>
      </w:r>
      <w:r>
        <w:rPr>
          <w:rStyle w:val="13"/>
          <w:rFonts w:hint="eastAsia" w:ascii="Adobe 仿宋 Std R" w:hAnsi="Adobe 仿宋 Std R" w:eastAsia="Adobe 仿宋 Std R"/>
          <w:b/>
          <w:sz w:val="32"/>
          <w:szCs w:val="32"/>
        </w:rPr>
        <w:t>五）国有资本经营情况</w:t>
      </w:r>
    </w:p>
    <w:p w14:paraId="66065D7B">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没有使用国有资本经营预算拨款安排的支出</w:t>
      </w:r>
    </w:p>
    <w:p w14:paraId="3612285A">
      <w:pPr>
        <w:widowControl/>
        <w:spacing w:line="580" w:lineRule="exact"/>
        <w:ind w:firstLine="643" w:firstLineChars="200"/>
        <w:jc w:val="left"/>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(六)机关运行经费等重要事项的说明</w:t>
      </w:r>
    </w:p>
    <w:p w14:paraId="4907C526">
      <w:pPr>
        <w:widowControl/>
        <w:ind w:firstLine="640" w:firstLineChars="200"/>
        <w:rPr>
          <w:rFonts w:hint="eastAsia" w:ascii="Adobe 仿宋 Std R" w:hAnsi="Adobe 仿宋 Std R" w:eastAsia="Adobe 仿宋 Std R"/>
          <w:sz w:val="32"/>
          <w:szCs w:val="32"/>
          <w:lang w:val="en-US" w:eastAsia="zh-CN"/>
        </w:rPr>
      </w:pPr>
      <w:r>
        <w:rPr>
          <w:rStyle w:val="13"/>
          <w:rFonts w:hint="eastAsia" w:ascii="Adobe 仿宋 Std R" w:hAnsi="Adobe 仿宋 Std R" w:eastAsia="Adobe 仿宋 Std R"/>
          <w:sz w:val="32"/>
          <w:szCs w:val="32"/>
        </w:rPr>
        <w:t>202</w:t>
      </w:r>
      <w:r>
        <w:rPr>
          <w:rStyle w:val="13"/>
          <w:rFonts w:hint="eastAsia" w:ascii="Adobe 仿宋 Std R" w:hAnsi="Adobe 仿宋 Std R" w:eastAsia="Adobe 仿宋 Std R"/>
          <w:sz w:val="32"/>
          <w:szCs w:val="32"/>
          <w:lang w:val="en-US" w:eastAsia="zh-CN"/>
        </w:rPr>
        <w:t>5</w:t>
      </w:r>
      <w:r>
        <w:rPr>
          <w:rStyle w:val="13"/>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35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15.5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44.29</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增长原因为人员增加，预算经费增加。</w:t>
      </w:r>
    </w:p>
    <w:p w14:paraId="14AF65B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4.43万元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3万元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3.5万元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2.34万元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p>
    <w:p w14:paraId="3272E10A">
      <w:pPr>
        <w:ind w:firstLine="643" w:firstLineChars="2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(七)政府采购情况</w:t>
      </w:r>
    </w:p>
    <w:p w14:paraId="3D871926">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61.80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39.8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22</w:t>
      </w:r>
      <w:r>
        <w:rPr>
          <w:rFonts w:hint="eastAsia" w:ascii="Adobe 仿宋 Std R" w:hAnsi="Adobe 仿宋 Std R" w:eastAsia="Adobe 仿宋 Std R"/>
          <w:sz w:val="32"/>
          <w:szCs w:val="32"/>
        </w:rPr>
        <w:t>万元。</w:t>
      </w:r>
    </w:p>
    <w:p w14:paraId="75CF8F09">
      <w:pPr>
        <w:ind w:firstLine="643" w:firstLineChars="2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(八)国有资产占有使用情况</w:t>
      </w:r>
    </w:p>
    <w:p w14:paraId="359E25F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6AD146A">
      <w:pPr>
        <w:ind w:firstLine="642"/>
        <w:rPr>
          <w:rFonts w:hint="default" w:ascii="仿宋_GB2312" w:eastAsia="Adobe 仿宋 Std R"/>
          <w:sz w:val="32"/>
          <w:szCs w:val="30"/>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p>
    <w:p w14:paraId="43C1B33D">
      <w:pPr>
        <w:ind w:firstLine="643" w:firstLineChars="200"/>
        <w:rPr>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（九）</w:t>
      </w:r>
      <w:r>
        <w:rPr>
          <w:rStyle w:val="13"/>
          <w:rFonts w:hint="eastAsia" w:ascii="Adobe 仿宋 Std R" w:hAnsi="Adobe 仿宋 Std R" w:eastAsia="Adobe 仿宋 Std R"/>
          <w:b/>
          <w:sz w:val="32"/>
          <w:szCs w:val="32"/>
          <w:lang w:eastAsia="zh-CN"/>
        </w:rPr>
        <w:t>民政局</w:t>
      </w:r>
      <w:r>
        <w:rPr>
          <w:rStyle w:val="13"/>
          <w:rFonts w:hint="eastAsia" w:ascii="Adobe 仿宋 Std R" w:hAnsi="Adobe 仿宋 Std R" w:eastAsia="Adobe 仿宋 Std R"/>
          <w:b/>
          <w:sz w:val="32"/>
          <w:szCs w:val="32"/>
        </w:rPr>
        <w:t>项目情况说明</w:t>
      </w:r>
      <w:bookmarkStart w:id="0" w:name="_GoBack"/>
      <w:bookmarkEnd w:id="0"/>
    </w:p>
    <w:p w14:paraId="136618D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最低生活保障项目</w:t>
      </w:r>
    </w:p>
    <w:p w14:paraId="69AF8081">
      <w:pPr>
        <w:ind w:firstLine="642"/>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城乡困难群众最低生活保障，应保尽保，应退尽退，阳光透明，维护社会公正和稳定，按月及时足额发放城乡低保金</w:t>
      </w:r>
    </w:p>
    <w:p w14:paraId="6E4757D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《江西省民政厅关于印发江西省最低生活保障操作规程的通知》（赣民发[2020]7号）</w:t>
      </w:r>
    </w:p>
    <w:p w14:paraId="0DC4248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60877E19">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定期核查享受对象，按月足额发放城乡最低生活保障金</w:t>
      </w:r>
    </w:p>
    <w:p w14:paraId="672CCAA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29DCAE7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本级配套资金1147万元</w:t>
      </w:r>
    </w:p>
    <w:p w14:paraId="60AAAD92">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特困人员救助供养</w:t>
      </w:r>
      <w:r>
        <w:rPr>
          <w:rFonts w:hint="eastAsia" w:ascii="仿宋_GB2312" w:hAnsi="仿宋_GB2312" w:eastAsia="仿宋_GB2312" w:cs="仿宋_GB2312"/>
          <w:color w:val="auto"/>
          <w:sz w:val="32"/>
          <w:szCs w:val="32"/>
        </w:rPr>
        <w:t>项目</w:t>
      </w:r>
    </w:p>
    <w:p w14:paraId="57C380E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对辖区内符合条件的对象纳入特困人员救助供养，应救尽救，应养尽养</w:t>
      </w:r>
    </w:p>
    <w:p w14:paraId="4E002C3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《江西省民政厅关于印发江西省特困人员认定实施细则的通知》（赣民发[2021]7号）</w:t>
      </w:r>
    </w:p>
    <w:p w14:paraId="76ED8AE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3AAF699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定期核查享受对象，按月足额发放特困人员生活补贴</w:t>
      </w:r>
    </w:p>
    <w:p w14:paraId="489C2AF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7552D48D">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本级财政配套167.82万元</w:t>
      </w:r>
    </w:p>
    <w:p w14:paraId="760D5186">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特困儿童群体基本生活保障</w:t>
      </w:r>
      <w:r>
        <w:rPr>
          <w:rFonts w:hint="eastAsia" w:ascii="仿宋_GB2312" w:hAnsi="仿宋_GB2312" w:eastAsia="仿宋_GB2312" w:cs="仿宋_GB2312"/>
          <w:color w:val="auto"/>
          <w:sz w:val="32"/>
          <w:szCs w:val="32"/>
        </w:rPr>
        <w:t>项目</w:t>
      </w:r>
    </w:p>
    <w:p w14:paraId="14C665A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保障孤儿和事实无人抚养儿童基本生活，提高困难儿童生活水平</w:t>
      </w:r>
    </w:p>
    <w:p w14:paraId="00BE734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 江西省财政厅关于发放孤儿基本生活费的通知》（赣民发[2011]12号）、《关于进一步加强事实无人抚养儿童保障工作的通知》（赣民发[2019]4号）</w:t>
      </w:r>
    </w:p>
    <w:p w14:paraId="1002DF3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36CEC28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为全市孤儿和事实无人抚养儿童提供基本生活保障，孤儿生活费发放标准为每人每月1450元，事实无人抚养儿童基本生活补贴发放标准为每人每月1450元，实行补差发放</w:t>
      </w:r>
    </w:p>
    <w:p w14:paraId="19523EB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1BE700F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本级财政配套177.6万元</w:t>
      </w:r>
    </w:p>
    <w:p w14:paraId="761449C8">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临时救助</w:t>
      </w:r>
      <w:r>
        <w:rPr>
          <w:rFonts w:hint="eastAsia" w:ascii="仿宋_GB2312" w:hAnsi="仿宋_GB2312" w:eastAsia="仿宋_GB2312" w:cs="仿宋_GB2312"/>
          <w:color w:val="auto"/>
          <w:sz w:val="32"/>
          <w:szCs w:val="32"/>
        </w:rPr>
        <w:t>项目</w:t>
      </w:r>
    </w:p>
    <w:p w14:paraId="7A155AB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以解决城乡群众突发性、紧迫性、临时性基本生活困难，帮助受助对象尽早摆脱临时困难，确保有困难的群众都能求助有门，按规定得到及时救助，努力做到应救尽救，既尽力而为，又量力而行</w:t>
      </w:r>
    </w:p>
    <w:p w14:paraId="37CD6D6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《江西省民政厅关于印发&lt;江西省临时救助操作规程&gt;的通知》（赣民字[2016]141号）</w:t>
      </w:r>
    </w:p>
    <w:p w14:paraId="1EA0763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62BD988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积极受理困难群众临时救助申请资料核查，确认审批审核后，及时拨付临时救助救助资金</w:t>
      </w:r>
    </w:p>
    <w:p w14:paraId="120A66C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6C7D74CB">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本级配套资金23万元</w:t>
      </w:r>
    </w:p>
    <w:p w14:paraId="48B9D87E">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5.困难残疾人生活补贴项目</w:t>
      </w:r>
      <w:r>
        <w:rPr>
          <w:rFonts w:hint="eastAsia" w:ascii="仿宋_GB2312" w:hAnsi="仿宋_GB2312" w:eastAsia="仿宋_GB2312" w:cs="仿宋_GB2312"/>
          <w:color w:val="auto"/>
          <w:sz w:val="32"/>
          <w:szCs w:val="32"/>
        </w:rPr>
        <w:t xml:space="preserve"> </w:t>
      </w:r>
    </w:p>
    <w:p w14:paraId="33C162AE">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落实困难残疾人生活补贴制度，逐步提高残疾人生活水平</w:t>
      </w:r>
    </w:p>
    <w:p w14:paraId="5BAB07B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根据《江西人民政府关于印发江西省困难残疾人生活补贴和重度残疾人护理补贴制度实施办法的通知》（赣府发[2015]63号）等文件</w:t>
      </w:r>
    </w:p>
    <w:p w14:paraId="6D7EFA9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41FB599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1、按月发放残疾人两项补贴资金，每月10日前依托社保卡发放系统完成资金发放；</w:t>
      </w:r>
    </w:p>
    <w:p w14:paraId="6648586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2、做好动态核对管理工作，每月月底前通过比对残疾人证变更、死亡、特困、低保等数据，统筹做好两项补贴对象新增与退出管理，确保资金精准发放和政策有效衔接；</w:t>
      </w:r>
    </w:p>
    <w:p w14:paraId="483AEA7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3、做好今年残疾人两项补贴调标提补工作，确保残疾人两项补贴资金及时足额发放</w:t>
      </w:r>
    </w:p>
    <w:p w14:paraId="6796902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5035535A">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本级配套资金127万元</w:t>
      </w:r>
    </w:p>
    <w:p w14:paraId="5C60A3F6">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6.重度残疾人护理补贴项目</w:t>
      </w:r>
      <w:r>
        <w:rPr>
          <w:rFonts w:hint="eastAsia" w:ascii="仿宋_GB2312" w:hAnsi="仿宋_GB2312" w:eastAsia="仿宋_GB2312" w:cs="仿宋_GB2312"/>
          <w:color w:val="auto"/>
          <w:sz w:val="32"/>
          <w:szCs w:val="32"/>
        </w:rPr>
        <w:t xml:space="preserve"> </w:t>
      </w:r>
    </w:p>
    <w:p w14:paraId="332726A9">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落实重度残疾人护理补贴制度，逐步提高残疾人生活水平</w:t>
      </w:r>
    </w:p>
    <w:p w14:paraId="4EFFA3C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根据《江西人民政府关于印发江西省困难残疾人生活补贴和重度残疾人护理补贴制度实施办法的通知》（赣府发[2015]63号）等文件</w:t>
      </w:r>
    </w:p>
    <w:p w14:paraId="5F8B734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7A93763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1、按月发放残疾人两项补贴资金，每月10日前依托社保卡发放系统完成资金发放；</w:t>
      </w:r>
    </w:p>
    <w:p w14:paraId="3B2EFAE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2、做好动态核对管理工作，每月月底前通过比对残疾人证变更、死亡、特困、低保等数据，统筹做好两项补贴对象新增与退出管理，确保资金精准发放和政策有效衔接；</w:t>
      </w:r>
    </w:p>
    <w:p w14:paraId="1C141C8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3、做好今年残疾人两项补贴调标提补工作，确保残疾人两项补贴资金及时足额发放</w:t>
      </w:r>
    </w:p>
    <w:p w14:paraId="54F2590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66535E4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本级配套资金107万元</w:t>
      </w:r>
    </w:p>
    <w:p w14:paraId="16CD6976">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老年人福利补贴</w:t>
      </w:r>
      <w:r>
        <w:rPr>
          <w:rFonts w:hint="eastAsia" w:ascii="仿宋_GB2312" w:hAnsi="仿宋_GB2312" w:eastAsia="仿宋_GB2312" w:cs="仿宋_GB2312"/>
          <w:color w:val="auto"/>
          <w:sz w:val="32"/>
          <w:szCs w:val="32"/>
        </w:rPr>
        <w:t>项目</w:t>
      </w:r>
    </w:p>
    <w:p w14:paraId="365CEC1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本辖区内且年满80周岁以上的老年人发放高龄津贴；经济困难的高龄、失能等老年人发放养老服务补贴和护理补贴；70周岁及以上老年人意外伤害保险；重阳节走访百岁老人</w:t>
      </w:r>
    </w:p>
    <w:p w14:paraId="102CF34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《九江市民政局 九江市财政局 九江市老龄工作委员会办公室关于印发&lt;九江市80周岁以上老人高龄津贴实施办法&gt;的通知》（九民字[2015]58号）、《 九江市老龄工作委员会办公室 九江市民政局 九江市财政局&lt;九江市开展老年人意外伤害险工作实施方案&gt;》（九老龄办[2017]7号）、《九江市民政局 九江市财政局 九江市老龄工作委员会办公室关于转发&lt;江西省经济困难的高龄失能老年人补贴实施办法&gt;的通知》（九民字[2018]183号）</w:t>
      </w:r>
    </w:p>
    <w:p w14:paraId="0A99535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4EE1553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定期核查享受对象，按月足额发放高龄津贴、经济困难老年人两项补贴；70周岁及以上老年人意外伤害保险；重阳节走访百岁老人</w:t>
      </w:r>
    </w:p>
    <w:p w14:paraId="0E3AE8F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0F3EF459">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本级配套资金917.5万元</w:t>
      </w:r>
    </w:p>
    <w:p w14:paraId="124CF4F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8.民办养老机构建设和运营补助项目</w:t>
      </w:r>
    </w:p>
    <w:p w14:paraId="09A0D43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为引导和扶持社会力量参与养老服务，增加有效供给，促进全市养老服务业持续健康发展，给予民办养老机构建设和运营资金补贴</w:t>
      </w:r>
    </w:p>
    <w:p w14:paraId="07B7B12A">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根据九江市民政局九江市财政局关于印发《九江市民办养老机构建设和运营资金补助实施办法》的通知 九民发（2023）号文件安排</w:t>
      </w:r>
    </w:p>
    <w:p w14:paraId="0635014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0A1D880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确保资金及时足额拨付到位</w:t>
      </w:r>
    </w:p>
    <w:p w14:paraId="4B92B11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462E85C9">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本级财政预算安排57.67万元</w:t>
      </w:r>
    </w:p>
    <w:p w14:paraId="0A67B94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9.颐养之家建设和运行补贴项目</w:t>
      </w:r>
    </w:p>
    <w:p w14:paraId="0330986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在全市推进颐养之家建设，为当地老人提供日间生活照料、娱乐休闲等服务，丰富老人物质生活和精神文化生活，为老人创造相互关照、相互帮助、消除孤独、快乐生活的环境，真正实现老人开心、子女安心、组织放心</w:t>
      </w:r>
    </w:p>
    <w:p w14:paraId="09CCA9B7">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根据关于印发《关于全面推进颐养之家建设工作方案》的通知 庐府办字（2023）36号文件安排</w:t>
      </w:r>
    </w:p>
    <w:p w14:paraId="220F7B7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0426C98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确保资金及时足额拨付到位</w:t>
      </w:r>
    </w:p>
    <w:p w14:paraId="5A522D1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4470EE4F">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本级财政预算安排240万元</w:t>
      </w:r>
    </w:p>
    <w:p w14:paraId="594E929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特困人员护理补贴</w:t>
      </w:r>
      <w:r>
        <w:rPr>
          <w:rFonts w:hint="eastAsia" w:ascii="仿宋_GB2312" w:hAnsi="仿宋_GB2312" w:eastAsia="仿宋_GB2312" w:cs="仿宋_GB2312"/>
          <w:color w:val="auto"/>
          <w:sz w:val="32"/>
          <w:szCs w:val="32"/>
        </w:rPr>
        <w:t>项目</w:t>
      </w:r>
    </w:p>
    <w:p w14:paraId="3D5A4E2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对辖区内符合条件的对象纳入特困人员救助供养，应救尽救，应养尽养</w:t>
      </w:r>
    </w:p>
    <w:p w14:paraId="56BAE7A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《江西省民政厅关于印发江西省分散供养特困人员照料服务指引的通知》（赣民发[2020]1号）</w:t>
      </w:r>
    </w:p>
    <w:p w14:paraId="7B19BEF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5206D6C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定期核查享受对象，按月足额发放特困人员护理补贴。</w:t>
      </w:r>
    </w:p>
    <w:p w14:paraId="28DC8C41">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72E71550">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本级财政配套149.7万元</w:t>
      </w:r>
    </w:p>
    <w:p w14:paraId="3676540F">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lang w:eastAsia="zh-CN"/>
        </w:rPr>
        <w:t>残疾孤儿（事实无人抚养儿童）居家照护费</w:t>
      </w:r>
      <w:r>
        <w:rPr>
          <w:rFonts w:hint="eastAsia" w:ascii="仿宋_GB2312" w:hAnsi="仿宋_GB2312" w:eastAsia="仿宋_GB2312" w:cs="仿宋_GB2312"/>
          <w:color w:val="auto"/>
          <w:sz w:val="32"/>
          <w:szCs w:val="32"/>
        </w:rPr>
        <w:t>项目</w:t>
      </w:r>
    </w:p>
    <w:p w14:paraId="15B43CD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保障残疾孤儿（残疾事实无人抚养儿童）基本生活，提高孤残儿童生活水平</w:t>
      </w:r>
    </w:p>
    <w:p w14:paraId="6A973A61">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《江西省财政厅关于建立残疾孤儿（残疾事实无人抚养儿童）照料护理补贴制度的通知》（赣民字[2021]23号）</w:t>
      </w:r>
    </w:p>
    <w:p w14:paraId="0D92CF3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25DA9B5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为全市残疾孤儿（残疾事实无人抚养儿童）提供基本生活保障，残疾孤儿（残疾事实无人抚养儿童）居家照护费每人每月1500元</w:t>
      </w:r>
    </w:p>
    <w:p w14:paraId="1E468A8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003C973D">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本级财政配套资金46.8万元</w:t>
      </w:r>
    </w:p>
    <w:p w14:paraId="6A3BFADD">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12.建档立卡贫困重度失能残疾人居家照护费项目</w:t>
      </w:r>
      <w:r>
        <w:rPr>
          <w:rFonts w:hint="eastAsia" w:ascii="仿宋_GB2312" w:hAnsi="仿宋_GB2312" w:eastAsia="仿宋_GB2312" w:cs="仿宋_GB2312"/>
          <w:color w:val="auto"/>
          <w:sz w:val="32"/>
          <w:szCs w:val="32"/>
        </w:rPr>
        <w:t xml:space="preserve"> </w:t>
      </w:r>
    </w:p>
    <w:p w14:paraId="52D12EBA">
      <w:pPr>
        <w:numPr>
          <w:ilvl w:val="0"/>
          <w:numId w:val="0"/>
        </w:numPr>
        <w:ind w:firstLine="640" w:firstLineChars="200"/>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加快推进残疾人小康进程,逐步构建供给多元、政策衔接、运行规范、与经济社会发展水平相适应的照护托养制度,不断满足建档立卡贫困重度残疾人多层次多元化照护和托养服务需求</w:t>
      </w:r>
    </w:p>
    <w:p w14:paraId="7214A78C">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000000" w:themeColor="text1"/>
          <w:sz w:val="32"/>
          <w:szCs w:val="32"/>
        </w:rPr>
        <w:t>立项依据</w:t>
      </w:r>
      <w:r>
        <w:rPr>
          <w:rFonts w:hint="eastAsia" w:ascii="仿宋_GB2312" w:hAnsi="仿宋_GB2312" w:eastAsia="仿宋_GB2312" w:cs="仿宋_GB2312"/>
          <w:color w:val="000000" w:themeColor="text1"/>
          <w:sz w:val="32"/>
          <w:szCs w:val="32"/>
          <w:lang w:val="en-US" w:eastAsia="zh-CN"/>
        </w:rPr>
        <w:t xml:space="preserve"> </w:t>
      </w:r>
      <w:r>
        <w:rPr>
          <w:rFonts w:hint="eastAsia" w:ascii="仿宋_GB2312" w:hAnsi="仿宋_GB2312" w:eastAsia="仿宋_GB2312" w:cs="仿宋_GB2312"/>
          <w:color w:val="auto"/>
          <w:sz w:val="32"/>
          <w:szCs w:val="32"/>
          <w:lang w:val="en-US" w:eastAsia="zh-CN"/>
        </w:rPr>
        <w:t xml:space="preserve">关于印发九江市建档立卡贫困重度失能残疾人照护和托养工作实施办法的通知 </w:t>
      </w:r>
      <w:r>
        <w:rPr>
          <w:rFonts w:hint="eastAsia" w:ascii="Adobe 仿宋 Std R" w:hAnsi="Adobe 仿宋 Std R" w:eastAsia="Adobe 仿宋 Std R"/>
          <w:sz w:val="32"/>
          <w:szCs w:val="32"/>
          <w:lang w:val="en-US" w:eastAsia="zh-CN"/>
        </w:rPr>
        <w:t>(</w:t>
      </w:r>
      <w:r>
        <w:rPr>
          <w:rFonts w:hint="eastAsia" w:ascii="仿宋_GB2312" w:hAnsi="仿宋_GB2312" w:eastAsia="仿宋_GB2312" w:cs="仿宋_GB2312"/>
          <w:color w:val="auto"/>
          <w:sz w:val="32"/>
          <w:szCs w:val="32"/>
          <w:lang w:val="en-US" w:eastAsia="zh-CN"/>
        </w:rPr>
        <w:t xml:space="preserve">九府办发（2019）23号）、庐山市人民政府办公室关于印发庐山市建档立卡贫困重度失能残疾人照护和托养工作实施方案的通知 </w:t>
      </w:r>
      <w:r>
        <w:rPr>
          <w:rFonts w:hint="eastAsia" w:ascii="Adobe 仿宋 Std R" w:hAnsi="Adobe 仿宋 Std R" w:eastAsia="Adobe 仿宋 Std R"/>
          <w:sz w:val="32"/>
          <w:szCs w:val="32"/>
          <w:lang w:val="en-US" w:eastAsia="zh-CN"/>
        </w:rPr>
        <w:t>(</w:t>
      </w:r>
      <w:r>
        <w:rPr>
          <w:rFonts w:hint="eastAsia" w:ascii="仿宋_GB2312" w:hAnsi="仿宋_GB2312" w:eastAsia="仿宋_GB2312" w:cs="仿宋_GB2312"/>
          <w:color w:val="auto"/>
          <w:sz w:val="32"/>
          <w:szCs w:val="32"/>
          <w:lang w:val="en-US" w:eastAsia="zh-CN"/>
        </w:rPr>
        <w:t>庐府办发[2020]39号）</w:t>
      </w:r>
    </w:p>
    <w:p w14:paraId="4712B3A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508453A1">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采取居家照护和日间照料的贫困重度失能残疾人，按每人每月不低于600元的标准给予补助，确保资金按时足额发放到位</w:t>
      </w:r>
    </w:p>
    <w:p w14:paraId="394CEC5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4AABC52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本级配套资金57.6万元</w:t>
      </w:r>
    </w:p>
    <w:p w14:paraId="47DD7443">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lang w:eastAsia="zh-CN"/>
        </w:rPr>
        <w:t>绿色惠民文明殡葬</w:t>
      </w:r>
      <w:r>
        <w:rPr>
          <w:rFonts w:hint="eastAsia" w:ascii="仿宋_GB2312" w:hAnsi="仿宋_GB2312" w:eastAsia="仿宋_GB2312" w:cs="仿宋_GB2312"/>
          <w:color w:val="auto"/>
          <w:sz w:val="32"/>
          <w:szCs w:val="32"/>
        </w:rPr>
        <w:t>项目</w:t>
      </w:r>
    </w:p>
    <w:p w14:paraId="4FAC0D0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落实殡葬五项基本免费服务、节地生态安葬奖补等惠民绿色文明殡葬政策</w:t>
      </w:r>
    </w:p>
    <w:p w14:paraId="38B473B6">
      <w:pPr>
        <w:ind w:firstLine="64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根据《江西省人民政府办公厅关于加快推进殡葬改革促进殡葬事业发展的实施意见》（赣府厅发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23号）、《九江市人民政府办公厅关于全面深化殡葬改革促进殡葬事业发展的实施意见》（九府厅发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38号）、《庐山市人民政府办公室关于全面深化殡葬改革促进殡葬事业发展的实施意见》（庐府办发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105号）、《庐山市推行节地生态安葬奖补实施办法》（庐府办发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107号）、《庐山市殡葬改革奖补激励办法》（庐府办发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101号）</w:t>
      </w:r>
    </w:p>
    <w:p w14:paraId="2596A1D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064BEB8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庐山市人文陵园按季度提供火化人员名单，依据名单确定殡葬五项基本免费服务补贴资金数额，及时报批节地生态安葬奖补补贴资金</w:t>
      </w:r>
    </w:p>
    <w:p w14:paraId="5D3AD32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0687D38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本级配套资金180万元</w:t>
      </w:r>
    </w:p>
    <w:p w14:paraId="4F64B2C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14.适老化改造项目</w:t>
      </w:r>
    </w:p>
    <w:p w14:paraId="73FA73FC">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年满六十周岁及以上特殊困难老年人居家生活环境及设施进行适老化改造，缓解老年人因生理机能退化导致的生活不适应，提升老年人生活质量和居家生活品质</w:t>
      </w:r>
    </w:p>
    <w:p w14:paraId="0107D35D">
      <w:pPr>
        <w:keepNext w:val="0"/>
        <w:keepLines w:val="0"/>
        <w:widowControl/>
        <w:suppressLineNumbers w:val="0"/>
        <w:ind w:firstLine="640" w:firstLineChars="200"/>
        <w:jc w:val="left"/>
        <w:rPr>
          <w:rFonts w:hint="default"/>
          <w:lang w:val="en-US"/>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《关于印发九江市特殊困难老年人家庭居家</w:t>
      </w:r>
      <w:r>
        <w:rPr>
          <w:rFonts w:hint="default" w:ascii="Adobe 仿宋 Std R" w:hAnsi="Adobe 仿宋 Std R" w:eastAsia="Adobe 仿宋 Std R"/>
          <w:sz w:val="32"/>
          <w:szCs w:val="32"/>
          <w:lang w:val="en-US" w:eastAsia="zh-CN"/>
        </w:rPr>
        <w:t>适老化改造实施办法的通知》</w:t>
      </w:r>
      <w:r>
        <w:rPr>
          <w:rFonts w:hint="eastAsia" w:ascii="Adobe 仿宋 Std R" w:hAnsi="Adobe 仿宋 Std R" w:eastAsia="Adobe 仿宋 Std R"/>
          <w:sz w:val="32"/>
          <w:szCs w:val="32"/>
          <w:lang w:val="en-US" w:eastAsia="zh-CN"/>
        </w:rPr>
        <w:t xml:space="preserve"> (</w:t>
      </w:r>
      <w:r>
        <w:rPr>
          <w:rFonts w:ascii="仿宋_GB2312" w:hAnsi="仿宋_GB2312" w:eastAsia="仿宋_GB2312" w:cs="仿宋_GB2312"/>
          <w:color w:val="000000"/>
          <w:kern w:val="0"/>
          <w:sz w:val="31"/>
          <w:szCs w:val="31"/>
          <w:lang w:val="en-US" w:eastAsia="zh-CN" w:bidi="ar"/>
        </w:rPr>
        <w:t>九民字〔2021〕86 号</w:t>
      </w:r>
      <w:r>
        <w:rPr>
          <w:rFonts w:hint="eastAsia" w:ascii="仿宋_GB2312" w:hAnsi="仿宋_GB2312" w:eastAsia="仿宋_GB2312" w:cs="仿宋_GB2312"/>
          <w:color w:val="000000"/>
          <w:kern w:val="0"/>
          <w:sz w:val="31"/>
          <w:szCs w:val="31"/>
          <w:lang w:val="en-US" w:eastAsia="zh-CN" w:bidi="ar"/>
        </w:rPr>
        <w:t>)</w:t>
      </w:r>
    </w:p>
    <w:p w14:paraId="1B22F04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782F96D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申请居家适老化改造的特殊困难老年人为具有庐山市户籍，户籍地址与现有固定住房地址一致，且近期没有纳入动迁规划:并符合以下任一条件:</w:t>
      </w:r>
    </w:p>
    <w:p w14:paraId="695BF47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(一)60周岁以上分散供养特困老年人家庭。</w:t>
      </w:r>
    </w:p>
    <w:p w14:paraId="1D2D8C4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(二)70 周岁以上享受最低生活保障的老年人家庭，</w:t>
      </w:r>
    </w:p>
    <w:p w14:paraId="259F67A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(三)计划生育特殊家庭的老年人家庭。</w:t>
      </w:r>
    </w:p>
    <w:p w14:paraId="7C37140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(四)低保对象中未享受残疾人护理补贴的失能老年人家庭。</w:t>
      </w:r>
    </w:p>
    <w:p w14:paraId="08F97FB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(五)经认定有改造需求的其他特殊困难老年人家庭。</w:t>
      </w:r>
    </w:p>
    <w:p w14:paraId="7DF736D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已享受低收入残疾人家庭无障碍改造的家庭不得重复申请</w:t>
      </w:r>
    </w:p>
    <w:p w14:paraId="3BED72F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57413009">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本级财政预算安排12万元</w:t>
      </w:r>
    </w:p>
    <w:p w14:paraId="7BF8B30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15.南康镇嵌入式养老院建设项目</w:t>
      </w:r>
    </w:p>
    <w:p w14:paraId="604570C7">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庐山市城关镇嵌入式养老院改造项目，总建筑面积910平方米，完成室内外装修、设备购置、软件装饰等各项相关附属设施及设备建设，不断完善庐山市养老事业发展，让老年人晚年生活获得幸福感和满足感</w:t>
      </w:r>
    </w:p>
    <w:p w14:paraId="1582FBD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《关于同意庐山市城关镇嵌入式养老院改造项目立项的批复》（庐发改审批字[2021]220号）</w:t>
      </w:r>
    </w:p>
    <w:p w14:paraId="0C1B215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16F38C4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庐山市城关镇嵌入式养老院改造项目，总建筑面积910平方米，完成室内外装修、设备购置、软件装饰等各项相关附属设施及设备建设</w:t>
      </w:r>
    </w:p>
    <w:p w14:paraId="04A8BF0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73324764">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本级财政预算安排105万元</w:t>
      </w:r>
    </w:p>
    <w:p w14:paraId="2A0BB9D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16.事实无人抚养儿童助学项目</w:t>
      </w:r>
    </w:p>
    <w:p w14:paraId="45DC860F">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建立事实无人抚养儿童助学保障制度是巩固拓展党史学习教育成果的具体举措，做好政策宣传告知和调查摸底工作，及时将符合条件的事实无人抚养儿童纳入助学工程，让他们充分感受到党和政府的关爱</w:t>
      </w:r>
    </w:p>
    <w:p w14:paraId="5832169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《江西省民政厅关于建立事实无人抚养儿童助学保障制度的通知》 （赣民字[2022]2号）</w:t>
      </w:r>
    </w:p>
    <w:p w14:paraId="7298B24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6286E2B6">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资助对象应同时满足以下条件:</w:t>
      </w:r>
    </w:p>
    <w:p w14:paraId="0B4B6CCC">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(一)入学前户籍所在地在江西省内。</w:t>
      </w:r>
    </w:p>
    <w:p w14:paraId="2432A820">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二)18周岁前已纳入事实无人抚养儿童基本生活保障范围，且年满18周岁后就读普通全日制本科学校、普通全日制专科学校、高等职业学校等高等院校及中等职业学校的中专、大专、本科学生和硕士研究生。每人每学年发放助学金1万元，确保按月足额发放助学金</w:t>
      </w:r>
    </w:p>
    <w:p w14:paraId="1677ED7F">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color w:val="auto"/>
          <w:sz w:val="32"/>
          <w:szCs w:val="32"/>
          <w:lang w:val="en-US" w:eastAsia="zh-CN"/>
        </w:rPr>
        <w:t>连续性长期项目</w:t>
      </w:r>
    </w:p>
    <w:p w14:paraId="1F2885BC">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本级财政预算安排22万元</w:t>
      </w:r>
    </w:p>
    <w:p w14:paraId="799CECD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17.本级福彩支持社会福利事业项目</w:t>
      </w:r>
    </w:p>
    <w:p w14:paraId="6294B25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遵循福利彩票“扶老、助残、救孤、济困”的发行宗旨，资助服务老年人、残疾人、儿童等特殊群体的社会福利项目，以及符合宗旨的其他社会公益项目</w:t>
      </w:r>
    </w:p>
    <w:p w14:paraId="0995AEC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财政部 民政部关于印发《中央集中彩票公益金支持社会福利事业资金管理办法》的通知 （财社[2024]55号）</w:t>
      </w:r>
    </w:p>
    <w:p w14:paraId="6F1AE59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2B75B8C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遵循福利彩票“扶老、助残、救孤、济困”的发行宗旨，资助服务老年人、残疾人、儿童等特殊群体的社会福利项目，以及符合宗旨的其他社会公益项目</w:t>
      </w:r>
    </w:p>
    <w:p w14:paraId="3284408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4A66DC1C">
      <w:pPr>
        <w:ind w:firstLine="642"/>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Adobe 仿宋 Std R" w:hAnsi="Adobe 仿宋 Std R" w:eastAsia="Adobe 仿宋 Std R"/>
          <w:sz w:val="32"/>
          <w:szCs w:val="32"/>
          <w:lang w:val="en-US" w:eastAsia="zh-CN"/>
        </w:rPr>
        <w:t>50万元</w:t>
      </w:r>
    </w:p>
    <w:p w14:paraId="6E14903A">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lang w:eastAsia="zh-CN"/>
        </w:rPr>
        <w:t>婚姻登记中心保障经费向</w:t>
      </w:r>
    </w:p>
    <w:p w14:paraId="4C42D40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保障婚姻登记中心工作人员工资福利以及日常工作正常有序开展</w:t>
      </w:r>
    </w:p>
    <w:p w14:paraId="0150E3C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《江西省财政厅 江西省发展和改革委员会 江西省民政厅关于实行婚姻登记免费制度的通知》（ 赣财综[2012]88号）、《江西省民政厅办公室关于做好停征婚姻和收养登记费有关工作的通知 》（赣民办字[2017]64号）</w:t>
      </w:r>
    </w:p>
    <w:p w14:paraId="01F3DD0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3DB523B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保障婚姻登记中心工作人员工资福利以及日常工作正常有序开展</w:t>
      </w:r>
    </w:p>
    <w:p w14:paraId="1959A82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3FC66E6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仿宋_GB2312" w:hAnsi="仿宋_GB2312" w:eastAsia="仿宋_GB2312" w:cs="仿宋_GB2312"/>
          <w:color w:val="auto"/>
          <w:sz w:val="32"/>
          <w:szCs w:val="32"/>
          <w:lang w:val="en-US" w:eastAsia="zh-CN"/>
        </w:rPr>
        <w:t>89万元</w:t>
      </w:r>
    </w:p>
    <w:p w14:paraId="5E7CAC8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19.民政局运转保障经费项目</w:t>
      </w:r>
    </w:p>
    <w:p w14:paraId="4DC847C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贯彻执行党和国家关于民政工作的法律法规和方针政策；拟定全市民政事业发展规划和政策，制度全市民政事业中长期发展规划和年度计划，并组织实施和监督检查，确保我市民政工作顺利有序的开展</w:t>
      </w:r>
    </w:p>
    <w:p w14:paraId="2E55364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庐山市民政局资金申请文件</w:t>
      </w:r>
    </w:p>
    <w:p w14:paraId="0643089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56D9280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保障单位日常工作顺利开展以及职工福利等</w:t>
      </w:r>
    </w:p>
    <w:p w14:paraId="23BD80B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连续性长期项目</w:t>
      </w:r>
    </w:p>
    <w:p w14:paraId="371C2638">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本级财政预算安排81.64万元</w:t>
      </w:r>
    </w:p>
    <w:p w14:paraId="18C0DDAD">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20.“乡村著名”行动试点工作经费项目</w:t>
      </w:r>
    </w:p>
    <w:p w14:paraId="46A9B83C">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实施“乡村著名行动”进一步提升乡村地名建设水平，更好地发挥乡村地名在全面推进乡村振兴中的积极作用</w:t>
      </w:r>
    </w:p>
    <w:p w14:paraId="11D54A8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color w:val="auto"/>
          <w:sz w:val="32"/>
          <w:szCs w:val="32"/>
          <w:lang w:val="en-US" w:eastAsia="zh-CN"/>
        </w:rPr>
        <w:t>庐山市民政局资金申请文件</w:t>
      </w:r>
    </w:p>
    <w:p w14:paraId="1AC52EF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6E7D956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实施“乡村著名行动”进一步提升乡村地名建设水平，更好地发挥乡村地名在全面推进乡村振兴中的积极作用</w:t>
      </w:r>
    </w:p>
    <w:p w14:paraId="560B71D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16E14728">
      <w:pPr>
        <w:widowControl/>
        <w:spacing w:line="580" w:lineRule="exact"/>
        <w:ind w:firstLine="636"/>
        <w:jc w:val="left"/>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本级财政预算安排10万元</w:t>
      </w:r>
    </w:p>
    <w:p w14:paraId="1ABE36C9">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21.慈善会经费项目</w:t>
      </w:r>
    </w:p>
    <w:p w14:paraId="1E20AE9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推动我市社会公益事业发展，助力大美庐山建设，保障慈善会工作顺利开展</w:t>
      </w:r>
    </w:p>
    <w:p w14:paraId="28491B8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根据庐山市慈善会申请资金文件报告</w:t>
      </w:r>
    </w:p>
    <w:p w14:paraId="184B7A7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7E613F4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推动我市社会公益事业发展，助力大美庐山建设，保障慈善会工作顺利开展</w:t>
      </w:r>
    </w:p>
    <w:p w14:paraId="702F7A6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4F338FFA">
      <w:pPr>
        <w:widowControl/>
        <w:spacing w:line="580" w:lineRule="exact"/>
        <w:ind w:firstLine="636"/>
        <w:jc w:val="left"/>
        <w:rPr>
          <w:rFonts w:ascii="Adobe 仿宋 Std R" w:hAnsi="Adobe 仿宋 Std R" w:eastAsia="Adobe 仿宋 Std R"/>
          <w:sz w:val="32"/>
          <w:szCs w:val="32"/>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仿宋_GB2312" w:hAnsi="仿宋_GB2312" w:eastAsia="仿宋_GB2312" w:cs="仿宋_GB2312"/>
          <w:color w:val="auto"/>
          <w:sz w:val="32"/>
          <w:szCs w:val="32"/>
          <w:lang w:val="en-US" w:eastAsia="zh-CN"/>
        </w:rPr>
        <w:t>20万元</w:t>
      </w:r>
    </w:p>
    <w:p w14:paraId="5126E9BF">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lang w:eastAsia="zh-CN"/>
        </w:rPr>
        <w:t>“两新</w:t>
      </w:r>
      <w:r>
        <w:rPr>
          <w:rFonts w:hint="eastAsia" w:ascii="仿宋_GB2312" w:hAnsi="仿宋_GB2312" w:eastAsia="仿宋_GB2312" w:cs="仿宋_GB2312"/>
          <w:color w:val="auto"/>
          <w:sz w:val="32"/>
          <w:szCs w:val="32"/>
          <w:lang w:val="en-US" w:eastAsia="zh-CN"/>
        </w:rPr>
        <w:t>”组织专职党建工作指导员经费</w:t>
      </w:r>
    </w:p>
    <w:p w14:paraId="05208E1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全面落实党中央和省委关于加强“两新”组织党的建设工作的部署要求，以提高“两新”组织基层党建“三化”建设水平</w:t>
      </w:r>
    </w:p>
    <w:p w14:paraId="43D427B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《关于下达2022年“两新”组织专职党建工作指导员经费资金的通知》 （庐财行指[2022]8号）</w:t>
      </w:r>
    </w:p>
    <w:p w14:paraId="6B068C3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5C9BBCF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按月发放</w:t>
      </w:r>
      <w:r>
        <w:rPr>
          <w:rFonts w:hint="eastAsia" w:ascii="仿宋_GB2312" w:hAnsi="仿宋_GB2312" w:eastAsia="仿宋_GB2312" w:cs="仿宋_GB2312"/>
          <w:color w:val="auto"/>
          <w:sz w:val="32"/>
          <w:szCs w:val="32"/>
          <w:lang w:eastAsia="zh-CN"/>
        </w:rPr>
        <w:t>“两新</w:t>
      </w:r>
      <w:r>
        <w:rPr>
          <w:rFonts w:hint="eastAsia" w:ascii="仿宋_GB2312" w:hAnsi="仿宋_GB2312" w:eastAsia="仿宋_GB2312" w:cs="仿宋_GB2312"/>
          <w:color w:val="auto"/>
          <w:sz w:val="32"/>
          <w:szCs w:val="32"/>
          <w:lang w:val="en-US" w:eastAsia="zh-CN"/>
        </w:rPr>
        <w:t>”组织专职党建工作人员工资及福利等</w:t>
      </w:r>
    </w:p>
    <w:p w14:paraId="7F942A6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一年</w:t>
      </w:r>
    </w:p>
    <w:p w14:paraId="199BD60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仿宋_GB2312" w:hAnsi="仿宋_GB2312" w:eastAsia="仿宋_GB2312" w:cs="仿宋_GB2312"/>
          <w:color w:val="auto"/>
          <w:sz w:val="32"/>
          <w:szCs w:val="32"/>
          <w:lang w:val="en-US" w:eastAsia="zh-CN"/>
        </w:rPr>
        <w:t>6.5万元</w:t>
      </w:r>
    </w:p>
    <w:p w14:paraId="4137B5E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23.社会组织培育发展创新基地、社会组织党群服务中心、社会工作服务中心三合一场所建设项目</w:t>
      </w:r>
    </w:p>
    <w:p w14:paraId="537046F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全面推进社会工作人才队伍建设，建立覆盖城乡的社会工作服务体系，为基层民政服务提供人才支撑，加强和创新基层社会治理，建设社会组织培育发展创新基地、社会组织党群服务中心、社会工作服务中心三合一场所</w:t>
      </w:r>
    </w:p>
    <w:p w14:paraId="112BE5D5">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《关于推进乡镇(街道)社会工作人才队伍建设 增强基层民政服务能力的实施意见》（赣民字[2021]35号）</w:t>
      </w:r>
    </w:p>
    <w:p w14:paraId="7CB3E5E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5AA914A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社会组织培育发展创新基地、社会组织党群服务中心、社会工作服务中心三合一场所建设</w:t>
      </w:r>
    </w:p>
    <w:p w14:paraId="5D5720D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61F03A1D">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本级财政预算安排50万元</w:t>
      </w:r>
    </w:p>
    <w:p w14:paraId="5DBDAF6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24.养老机构床位综合责任险</w:t>
      </w:r>
    </w:p>
    <w:p w14:paraId="26DB7C6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根据《九江市民政局办公室关于做好2023年养老机构综合责任保险工作的通知》(九民办字[2023]14号0，积极发挥责任保险的经济补偿和风险预防功能，推动养老机构综合责任保险工作，进一步提高养老机构抵御风险能力</w:t>
      </w:r>
    </w:p>
    <w:p w14:paraId="5F95449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根据《九江市民政局办公室关于做好2023年养老机构综合责任保险工作的通知》(九民办字[2023]14号)文件要求</w:t>
      </w:r>
    </w:p>
    <w:p w14:paraId="1161933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790E612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及时做好养老机构综合责任保险工作</w:t>
      </w:r>
    </w:p>
    <w:p w14:paraId="4C6AD31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2F3D279E">
      <w:pPr>
        <w:widowControl/>
        <w:spacing w:line="580" w:lineRule="exact"/>
        <w:ind w:firstLine="636"/>
        <w:jc w:val="left"/>
        <w:rPr>
          <w:rFonts w:ascii="Adobe 仿宋 Std R" w:hAnsi="Adobe 仿宋 Std R" w:eastAsia="Adobe 仿宋 Std R"/>
          <w:sz w:val="32"/>
          <w:szCs w:val="32"/>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本级财政预算安排3.5万元</w:t>
      </w:r>
    </w:p>
    <w:p w14:paraId="347C3B98">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25.庐山市养老服务专项规划编制</w:t>
      </w:r>
    </w:p>
    <w:p w14:paraId="4F78CE7E">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根据《九江市人民政府办公室印发关于加快推进养老服务高质量发展的实施方案的通知》（九府办发[2022]2号）文件安排，2025年完成养老服务设施布局专项规划编制工作</w:t>
      </w:r>
    </w:p>
    <w:p w14:paraId="77B3C41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《九江市人民政府办公室印发关于加快推进养老服务高质量发展的实施方案的通知》（九府办发[2022]2号）</w:t>
      </w:r>
    </w:p>
    <w:p w14:paraId="27DD38C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44ACA7A7">
      <w:pPr>
        <w:ind w:firstLine="642"/>
        <w:rPr>
          <w:rFonts w:hint="eastAsia" w:ascii="Adobe 仿宋 Std R" w:hAnsi="Adobe 仿宋 Std R" w:eastAsia="Adobe 仿宋 Std R"/>
          <w:color w:val="000000" w:themeColor="text1"/>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color w:val="000000" w:themeColor="text1"/>
          <w:sz w:val="32"/>
          <w:szCs w:val="32"/>
          <w:lang w:val="en-US" w:eastAsia="zh-CN"/>
        </w:rPr>
        <w:t>根据《九江市人民政府办公室印发关于加快推进养老服务高质量发展的实施方案的通知》（ 九府办发[2022]2号）文件安排，2025年完成养老服务设施布局专项规划编制工作</w:t>
      </w:r>
    </w:p>
    <w:p w14:paraId="556DA1A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7C87B326">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本级财政预算安排25万元</w:t>
      </w:r>
    </w:p>
    <w:p w14:paraId="431679DD">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26.购买服务项目</w:t>
      </w:r>
    </w:p>
    <w:p w14:paraId="09572B8E">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大力推行政府购买社会救助服务是改革完善社会救助制度的重要举措，是推动发展服务型救助的具体要求，是增强基层社会救助经办服务能力的有效途径。</w:t>
      </w:r>
    </w:p>
    <w:p w14:paraId="61D87D0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《九江市民政局 九江市财政局关于进一步规范政府购买社会救助服务工作的通知》 （九民字[2024]5号）</w:t>
      </w:r>
    </w:p>
    <w:p w14:paraId="01A0D6B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1ED59DC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政府购买服务内容:按照《政府购买服务指导性目录》和《政府购买社会救助服务清单》执行，主要包括:对象排查、家计调查、业务培训、绩效评价、自理能力评估、照料护理、探视巡访、康复训练、送医陪护、社会融入、能力提升、心理疏导、资源链接、政策研究、档案管理以及其他与社会救助有关的服务内容。</w:t>
      </w:r>
    </w:p>
    <w:p w14:paraId="12256CB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2E3C4C81">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本级财政预算安排23万元</w:t>
      </w:r>
    </w:p>
    <w:p w14:paraId="3CE9D0CB">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854B1D1">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庐山市民政局</w:t>
      </w:r>
      <w:r>
        <w:rPr>
          <w:color w:val="auto"/>
        </w:rPr>
        <w:fldChar w:fldCharType="end"/>
      </w:r>
      <w:r>
        <w:rPr>
          <w:rFonts w:ascii="仿宋" w:hAnsi="仿宋" w:eastAsia="仿宋"/>
          <w:bCs/>
          <w:color w:val="auto"/>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1.54</w:t>
      </w:r>
      <w:r>
        <w:rPr>
          <w:rFonts w:hint="eastAsia" w:ascii="仿宋" w:hAnsi="仿宋" w:eastAsia="仿宋"/>
          <w:bCs/>
          <w:sz w:val="32"/>
          <w:szCs w:val="32"/>
        </w:rPr>
        <w:t>万元，其中：</w:t>
      </w:r>
    </w:p>
    <w:p w14:paraId="1D95D446">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250BCE87">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1.54</w:t>
      </w:r>
      <w:r>
        <w:rPr>
          <w:rFonts w:ascii="仿宋" w:hAnsi="仿宋" w:eastAsia="仿宋"/>
          <w:bCs/>
          <w:sz w:val="32"/>
          <w:szCs w:val="32"/>
        </w:rPr>
        <w:t>万元,比上年减</w:t>
      </w:r>
      <w:r>
        <w:rPr>
          <w:rFonts w:hint="eastAsia" w:ascii="仿宋" w:hAnsi="仿宋" w:eastAsia="仿宋"/>
          <w:bCs/>
          <w:sz w:val="32"/>
          <w:szCs w:val="32"/>
          <w:lang w:eastAsia="zh-CN"/>
        </w:rPr>
        <w:t>少</w:t>
      </w:r>
      <w:r>
        <w:rPr>
          <w:rFonts w:hint="eastAsia" w:ascii="仿宋" w:hAnsi="仿宋" w:eastAsia="仿宋"/>
          <w:bCs/>
          <w:sz w:val="32"/>
          <w:szCs w:val="32"/>
          <w:lang w:val="en-US" w:eastAsia="zh-CN"/>
        </w:rPr>
        <w:t>1.96</w:t>
      </w:r>
      <w:r>
        <w:rPr>
          <w:rFonts w:ascii="仿宋" w:hAnsi="仿宋" w:eastAsia="仿宋"/>
          <w:bCs/>
          <w:sz w:val="32"/>
          <w:szCs w:val="32"/>
        </w:rPr>
        <w:t>万元，主要原因是：</w:t>
      </w:r>
      <w:r>
        <w:rPr>
          <w:rFonts w:hint="eastAsia" w:ascii="仿宋_GB2312" w:hAnsi="仿宋_GB2312" w:eastAsia="仿宋_GB2312" w:cs="仿宋_GB2312"/>
          <w:bCs/>
          <w:color w:val="auto"/>
          <w:sz w:val="32"/>
          <w:szCs w:val="32"/>
          <w:lang w:val="en-US" w:eastAsia="zh-CN"/>
        </w:rPr>
        <w:t>严格执行中央八项规定，减少公务接待费用支出</w:t>
      </w:r>
      <w:r>
        <w:rPr>
          <w:rFonts w:ascii="仿宋" w:hAnsi="仿宋" w:eastAsia="仿宋"/>
          <w:bCs/>
          <w:sz w:val="32"/>
          <w:szCs w:val="32"/>
        </w:rPr>
        <w:t>。</w:t>
      </w:r>
    </w:p>
    <w:p w14:paraId="2047186B">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26A4FB39">
      <w:pPr>
        <w:ind w:firstLine="640" w:firstLineChars="200"/>
        <w:jc w:val="left"/>
        <w:rPr>
          <w:rStyle w:val="13"/>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0B8013F0">
      <w:pPr>
        <w:widowControl/>
        <w:shd w:val="clear" w:color="auto" w:fill="FFFFFF"/>
        <w:spacing w:line="640" w:lineRule="atLeast"/>
        <w:jc w:val="both"/>
        <w:rPr>
          <w:rFonts w:ascii="仿宋_GB2312" w:eastAsia="仿宋_GB2312"/>
          <w:b/>
          <w:sz w:val="32"/>
          <w:szCs w:val="30"/>
        </w:rPr>
      </w:pPr>
    </w:p>
    <w:p w14:paraId="1BCF08A9">
      <w:pPr>
        <w:widowControl/>
        <w:numPr>
          <w:ilvl w:val="0"/>
          <w:numId w:val="2"/>
        </w:numPr>
        <w:shd w:val="clear" w:color="auto" w:fill="FFFFFF"/>
        <w:spacing w:line="640" w:lineRule="atLeast"/>
        <w:ind w:firstLine="640"/>
        <w:jc w:val="center"/>
        <w:rPr>
          <w:rFonts w:hint="eastAsia" w:ascii="仿宋_GB2312" w:eastAsia="仿宋_GB2312"/>
          <w:b/>
          <w:sz w:val="32"/>
          <w:szCs w:val="30"/>
        </w:rPr>
      </w:pPr>
      <w:r>
        <w:rPr>
          <w:rFonts w:hint="eastAsia" w:ascii="仿宋_GB2312" w:eastAsia="仿宋_GB2312"/>
          <w:b/>
          <w:sz w:val="32"/>
          <w:szCs w:val="30"/>
        </w:rPr>
        <w:t xml:space="preserve">  名词解释</w:t>
      </w:r>
    </w:p>
    <w:p w14:paraId="539FCB34">
      <w:pPr>
        <w:widowControl/>
        <w:numPr>
          <w:ilvl w:val="0"/>
          <w:numId w:val="0"/>
        </w:numPr>
        <w:shd w:val="clear" w:color="auto" w:fill="FFFFFF"/>
        <w:spacing w:line="640" w:lineRule="atLeast"/>
        <w:jc w:val="both"/>
        <w:rPr>
          <w:rFonts w:hint="eastAsia" w:ascii="仿宋_GB2312" w:eastAsia="仿宋_GB2312"/>
          <w:b/>
          <w:sz w:val="32"/>
          <w:szCs w:val="30"/>
        </w:rPr>
      </w:pPr>
    </w:p>
    <w:p w14:paraId="7FBFB1EA">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DA38EA0">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E0ED989">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24CF61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386C5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5BE91DB">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9110E1B">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7F35889F">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042C1F3F">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2F7AFD37">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F66C70A">
      <w:pPr>
        <w:ind w:firstLine="640" w:firstLineChars="200"/>
        <w:rPr>
          <w:rFonts w:ascii="Adobe 仿宋 Std R" w:hAnsi="Adobe 仿宋 Std R" w:eastAsia="Adobe 仿宋 Std R"/>
          <w:sz w:val="32"/>
          <w:szCs w:val="32"/>
        </w:rPr>
      </w:pPr>
    </w:p>
    <w:p w14:paraId="0D34AD8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5BB597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A1D919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2EE793B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70DBC42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06B1579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07EBBCA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0FD5B30F">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5BC616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EAB68AD">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CCB815A">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5C62C">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BEDC5"/>
    <w:multiLevelType w:val="singleLevel"/>
    <w:tmpl w:val="897BEDC5"/>
    <w:lvl w:ilvl="0" w:tentative="0">
      <w:start w:val="4"/>
      <w:numFmt w:val="chineseCounting"/>
      <w:suff w:val="space"/>
      <w:lvlText w:val="第%1部分"/>
      <w:lvlJc w:val="left"/>
      <w:rPr>
        <w:rFonts w:hint="eastAsia"/>
      </w:rPr>
    </w:lvl>
  </w:abstractNum>
  <w:abstractNum w:abstractNumId="1">
    <w:nsid w:val="9EF1ED09"/>
    <w:multiLevelType w:val="singleLevel"/>
    <w:tmpl w:val="9EF1ED09"/>
    <w:lvl w:ilvl="0" w:tentative="0">
      <w:start w:val="3"/>
      <w:numFmt w:val="chineseCounting"/>
      <w:suff w:val="space"/>
      <w:lvlText w:val="第%1部分"/>
      <w:lvlJc w:val="left"/>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5F2E55"/>
    <w:rsid w:val="01A75A49"/>
    <w:rsid w:val="02263797"/>
    <w:rsid w:val="03CE0873"/>
    <w:rsid w:val="06470245"/>
    <w:rsid w:val="067A6028"/>
    <w:rsid w:val="068F47B3"/>
    <w:rsid w:val="06E31D05"/>
    <w:rsid w:val="07647022"/>
    <w:rsid w:val="07727AEC"/>
    <w:rsid w:val="08EC3843"/>
    <w:rsid w:val="0A0925FF"/>
    <w:rsid w:val="0BCE4606"/>
    <w:rsid w:val="0C97247A"/>
    <w:rsid w:val="0D1A7920"/>
    <w:rsid w:val="0D2269B3"/>
    <w:rsid w:val="0DB3098E"/>
    <w:rsid w:val="0ED06B25"/>
    <w:rsid w:val="0F712B50"/>
    <w:rsid w:val="12220323"/>
    <w:rsid w:val="124755D5"/>
    <w:rsid w:val="139E7E81"/>
    <w:rsid w:val="13FB007C"/>
    <w:rsid w:val="16B036C0"/>
    <w:rsid w:val="17D226D6"/>
    <w:rsid w:val="1A644AB4"/>
    <w:rsid w:val="1A705E7F"/>
    <w:rsid w:val="1ABF2D84"/>
    <w:rsid w:val="1C523234"/>
    <w:rsid w:val="1E172FD7"/>
    <w:rsid w:val="1E491A3B"/>
    <w:rsid w:val="1F1E6A4B"/>
    <w:rsid w:val="1F1F7406"/>
    <w:rsid w:val="206D0602"/>
    <w:rsid w:val="22430342"/>
    <w:rsid w:val="22D66EA9"/>
    <w:rsid w:val="22F32E79"/>
    <w:rsid w:val="23977FB1"/>
    <w:rsid w:val="245C3447"/>
    <w:rsid w:val="25B931E9"/>
    <w:rsid w:val="28263441"/>
    <w:rsid w:val="2828673B"/>
    <w:rsid w:val="290B705B"/>
    <w:rsid w:val="29981D60"/>
    <w:rsid w:val="2B2339AC"/>
    <w:rsid w:val="2C57797E"/>
    <w:rsid w:val="2D967EC2"/>
    <w:rsid w:val="304075B1"/>
    <w:rsid w:val="311C29BA"/>
    <w:rsid w:val="318814ED"/>
    <w:rsid w:val="31931AC3"/>
    <w:rsid w:val="331C3BA9"/>
    <w:rsid w:val="3328400E"/>
    <w:rsid w:val="34C719E7"/>
    <w:rsid w:val="351512FA"/>
    <w:rsid w:val="36F948C1"/>
    <w:rsid w:val="374647FA"/>
    <w:rsid w:val="38F23C11"/>
    <w:rsid w:val="39A3581F"/>
    <w:rsid w:val="39CE49D8"/>
    <w:rsid w:val="3A841EE9"/>
    <w:rsid w:val="3A9F1A72"/>
    <w:rsid w:val="3ACF1B11"/>
    <w:rsid w:val="3B7D1841"/>
    <w:rsid w:val="3BA35A87"/>
    <w:rsid w:val="3BA6547C"/>
    <w:rsid w:val="3DD2151D"/>
    <w:rsid w:val="3F383632"/>
    <w:rsid w:val="3FA910A9"/>
    <w:rsid w:val="3FF84E58"/>
    <w:rsid w:val="4052753A"/>
    <w:rsid w:val="40A754E3"/>
    <w:rsid w:val="41737C65"/>
    <w:rsid w:val="420A5691"/>
    <w:rsid w:val="42CD280C"/>
    <w:rsid w:val="42D647D8"/>
    <w:rsid w:val="42DC038C"/>
    <w:rsid w:val="43BF53DB"/>
    <w:rsid w:val="45D833CA"/>
    <w:rsid w:val="464E5AFF"/>
    <w:rsid w:val="48DF0FFD"/>
    <w:rsid w:val="4BEA2242"/>
    <w:rsid w:val="4DB628F2"/>
    <w:rsid w:val="4E0D4F31"/>
    <w:rsid w:val="4E682E87"/>
    <w:rsid w:val="4EFF051F"/>
    <w:rsid w:val="4F3B38C4"/>
    <w:rsid w:val="528E6F80"/>
    <w:rsid w:val="532F49A6"/>
    <w:rsid w:val="53516268"/>
    <w:rsid w:val="543F377B"/>
    <w:rsid w:val="55924F68"/>
    <w:rsid w:val="55EE43AE"/>
    <w:rsid w:val="56C47F55"/>
    <w:rsid w:val="573A53AA"/>
    <w:rsid w:val="5AB93E8B"/>
    <w:rsid w:val="5EA31F07"/>
    <w:rsid w:val="5EDA0640"/>
    <w:rsid w:val="5F193B70"/>
    <w:rsid w:val="61D17BB5"/>
    <w:rsid w:val="61E31A71"/>
    <w:rsid w:val="61F41846"/>
    <w:rsid w:val="62283DE4"/>
    <w:rsid w:val="62E05C2A"/>
    <w:rsid w:val="62F8368B"/>
    <w:rsid w:val="63E33020"/>
    <w:rsid w:val="649966D5"/>
    <w:rsid w:val="654E25D6"/>
    <w:rsid w:val="656229B9"/>
    <w:rsid w:val="658856FB"/>
    <w:rsid w:val="67B10C38"/>
    <w:rsid w:val="67DC7D34"/>
    <w:rsid w:val="68E97589"/>
    <w:rsid w:val="6BE248E5"/>
    <w:rsid w:val="6C617282"/>
    <w:rsid w:val="6CCB135B"/>
    <w:rsid w:val="6EAF555B"/>
    <w:rsid w:val="6EDB6140"/>
    <w:rsid w:val="6F2C7111"/>
    <w:rsid w:val="714A36AC"/>
    <w:rsid w:val="717E2417"/>
    <w:rsid w:val="71A3547D"/>
    <w:rsid w:val="71AF11DD"/>
    <w:rsid w:val="72746F20"/>
    <w:rsid w:val="73543105"/>
    <w:rsid w:val="73A85115"/>
    <w:rsid w:val="759E1500"/>
    <w:rsid w:val="77971725"/>
    <w:rsid w:val="7C1C38B8"/>
    <w:rsid w:val="7D1C2D3E"/>
    <w:rsid w:val="7D38776F"/>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styleId="9">
    <w:name w:val="Hyperlink"/>
    <w:basedOn w:val="7"/>
    <w:qFormat/>
    <w:uiPriority w:val="0"/>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row_tree_level_3"/>
    <w:basedOn w:val="7"/>
    <w:qFormat/>
    <w:uiPriority w:val="0"/>
  </w:style>
  <w:style w:type="character" w:customStyle="1" w:styleId="13">
    <w:name w:val="row_tree_level_4"/>
    <w:basedOn w:val="7"/>
    <w:qFormat/>
    <w:uiPriority w:val="0"/>
  </w:style>
  <w:style w:type="paragraph" w:customStyle="1" w:styleId="14">
    <w:name w:val="p0"/>
    <w:basedOn w:val="1"/>
    <w:qFormat/>
    <w:uiPriority w:val="0"/>
    <w:pPr>
      <w:widowControl/>
    </w:pPr>
    <w:rPr>
      <w:rFonts w:ascii="Times New Roman" w:hAnsi="Times New Roman" w:eastAsia="宋体" w:cs="Times New Roman"/>
      <w:kern w:val="0"/>
      <w:szCs w:val="21"/>
    </w:rPr>
  </w:style>
  <w:style w:type="character" w:customStyle="1" w:styleId="15">
    <w:name w:val="15"/>
    <w:basedOn w:val="7"/>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11255</Words>
  <Characters>12042</Characters>
  <Lines>53</Lines>
  <Paragraphs>15</Paragraphs>
  <TotalTime>2</TotalTime>
  <ScaleCrop>false</ScaleCrop>
  <LinksUpToDate>false</LinksUpToDate>
  <CharactersWithSpaces>12270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再见如初</cp:lastModifiedBy>
  <dcterms:modified xsi:type="dcterms:W3CDTF">2025-01-08T06:18:58Z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eyJoZGlkIjoiN2QxNmM4ZmI1ZGU5MzUxODk1NjNiZmI1YTc1MzU5MGMiLCJ1c2VySWQiOiIzNjE3ODEzNjEifQ==</vt:lpwstr>
  </property>
</Properties>
</file>