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7369D">
      <w:pPr>
        <w:widowControl/>
        <w:spacing w:line="520" w:lineRule="atLeast"/>
        <w:jc w:val="center"/>
        <w:rPr>
          <w:rFonts w:hint="eastAsia" w:ascii="黑体" w:hAnsi="黑体" w:eastAsia="黑体" w:cs="Times New Roman"/>
          <w:b/>
          <w:bCs/>
          <w:color w:val="auto"/>
          <w:kern w:val="0"/>
          <w:sz w:val="44"/>
          <w:szCs w:val="44"/>
          <w:lang w:eastAsia="zh-CN"/>
        </w:rPr>
      </w:pPr>
      <w:r>
        <w:rPr>
          <w:rFonts w:hint="eastAsia" w:ascii="黑体" w:hAnsi="黑体" w:eastAsia="黑体" w:cs="Times New Roman"/>
          <w:b/>
          <w:bCs/>
          <w:color w:val="auto"/>
          <w:kern w:val="0"/>
          <w:sz w:val="44"/>
          <w:szCs w:val="44"/>
          <w:lang w:eastAsia="zh-CN"/>
        </w:rPr>
        <w:fldChar w:fldCharType="begin"/>
      </w:r>
      <w:r>
        <w:rPr>
          <w:rFonts w:hint="eastAsia" w:ascii="黑体" w:hAnsi="黑体" w:eastAsia="黑体" w:cs="Times New Roman"/>
          <w:b/>
          <w:bCs/>
          <w:color w:val="auto"/>
          <w:kern w:val="0"/>
          <w:sz w:val="44"/>
          <w:szCs w:val="44"/>
          <w:lang w:eastAsia="zh-CN"/>
        </w:rPr>
        <w:instrText xml:space="preserve">MERGEFIELD ${page400644146.ds509943833_REP_JXJC_AGENCY_WZR_NAME}</w:instrText>
      </w:r>
      <w:r>
        <w:rPr>
          <w:rFonts w:hint="eastAsia" w:ascii="黑体" w:hAnsi="黑体" w:eastAsia="黑体" w:cs="Times New Roman"/>
          <w:b/>
          <w:bCs/>
          <w:color w:val="auto"/>
          <w:kern w:val="0"/>
          <w:sz w:val="44"/>
          <w:szCs w:val="44"/>
          <w:lang w:eastAsia="zh-CN"/>
        </w:rPr>
        <w:fldChar w:fldCharType="separate"/>
      </w:r>
      <w:r>
        <w:rPr>
          <w:rFonts w:hint="eastAsia" w:ascii="黑体" w:hAnsi="黑体" w:eastAsia="黑体" w:cs="Times New Roman"/>
          <w:b/>
          <w:bCs/>
          <w:color w:val="auto"/>
          <w:kern w:val="0"/>
          <w:sz w:val="44"/>
          <w:szCs w:val="44"/>
          <w:lang w:eastAsia="zh-CN"/>
        </w:rPr>
        <w:t>中国共产党庐山市委员会政法委员会</w:t>
      </w:r>
      <w:r>
        <w:rPr>
          <w:rFonts w:hint="eastAsia" w:ascii="黑体" w:hAnsi="黑体" w:eastAsia="黑体" w:cs="Times New Roman"/>
          <w:b/>
          <w:bCs/>
          <w:color w:val="auto"/>
          <w:kern w:val="0"/>
          <w:sz w:val="44"/>
          <w:szCs w:val="44"/>
          <w:lang w:eastAsia="zh-CN"/>
        </w:rPr>
        <w:fldChar w:fldCharType="end"/>
      </w:r>
      <w:r>
        <w:rPr>
          <w:rFonts w:hint="eastAsia" w:ascii="黑体" w:hAnsi="黑体" w:eastAsia="黑体" w:cs="Times New Roman"/>
          <w:b/>
          <w:bCs/>
          <w:color w:val="auto"/>
          <w:kern w:val="0"/>
          <w:sz w:val="44"/>
          <w:szCs w:val="44"/>
          <w:lang w:eastAsia="zh-CN"/>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lang w:eastAsia="zh-CN"/>
        </w:rPr>
        <w:t>年部门预算</w:t>
      </w:r>
    </w:p>
    <w:p w14:paraId="67B37ABE">
      <w:pPr>
        <w:pStyle w:val="12"/>
        <w:spacing w:line="600" w:lineRule="atLeast"/>
        <w:jc w:val="center"/>
        <w:rPr>
          <w:rFonts w:hint="eastAsia" w:ascii="黑体" w:hAnsi="黑体" w:eastAsia="黑体"/>
          <w:color w:val="000000"/>
          <w:sz w:val="32"/>
          <w:szCs w:val="32"/>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314304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000000"/>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中国共产党庐山市委员会政法委员会</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026E2773">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5A281BE4">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201AC45C">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中国共产党庐山市委员会政法委员会</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084A6A36">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中国共产党庐山市委员会政法委员会</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both"/>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中国共产党庐山市委员会政法委员会</w:t>
      </w:r>
      <w:r>
        <w:rPr>
          <w:color w:val="auto"/>
        </w:rPr>
        <w:fldChar w:fldCharType="end"/>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411927F">
      <w:pPr>
        <w:widowControl/>
        <w:numPr>
          <w:ilvl w:val="0"/>
          <w:numId w:val="0"/>
        </w:numPr>
        <w:spacing w:line="580" w:lineRule="exact"/>
        <w:jc w:val="left"/>
        <w:rPr>
          <w:rFonts w:hint="eastAsia" w:asciiTheme="minorEastAsia" w:hAnsiTheme="minorEastAsia"/>
          <w:b/>
          <w:sz w:val="36"/>
          <w:szCs w:val="36"/>
        </w:rPr>
      </w:pPr>
      <w:r>
        <w:rPr>
          <w:rFonts w:hint="eastAsia" w:asciiTheme="minorEastAsia" w:hAnsiTheme="minorEastAsia"/>
          <w:b/>
          <w:sz w:val="36"/>
          <w:szCs w:val="36"/>
        </w:rPr>
        <w:t>一、部门主要职责</w:t>
      </w:r>
    </w:p>
    <w:p w14:paraId="6CC955E3">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1、坚决执行党的政策方针：贯彻习近平新时代中国特色社会主义思想，坚持党对政法工作的绝对领导，坚决执行党的路线方针政策和党中央重大决策部署，推动完善和落实政治轮训和政治督察制度。</w:t>
      </w:r>
    </w:p>
    <w:p w14:paraId="4FC87A58">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2、组织研究政法行动：贯彻党中央以及上级党组织决定，研究协调政法单位之间、政法单位和有关部门、地方之间有关重大事项，统一政法单位思想和行动。</w:t>
      </w:r>
    </w:p>
    <w:p w14:paraId="17A146F0">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3、加强政法改革工作：加强对政法领域重大实践和理论问题调查研究，提出重大决策部署和改革措施的意见和建议，协助党委决策和统筹推进政法改革等各项工作。</w:t>
      </w:r>
    </w:p>
    <w:p w14:paraId="5AEA532C">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4、了解社会形势并协调机构：了解掌握和分析研判社会稳定形势、政法工作情况动态，创新完善多部门参与的平安建设工作协调机制。</w:t>
      </w:r>
    </w:p>
    <w:p w14:paraId="04A6A2B7">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5、处理突发事件并做好反暴恐工作：协调推动预防、化解影响稳定的社会矛盾和风险，协调应对和妥善处置重大突发事件，协调指导政法单位和相关部门做好反邪教、反暴恐工作。</w:t>
      </w:r>
    </w:p>
    <w:p w14:paraId="54079B49">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6、加强政法督查和维护治安：加强对政法工作的督查，统筹协调社会治安综合治理、维护社会稳定、反邪教、反暴恐等有关国家法律法规和政策的实施工作。</w:t>
      </w:r>
    </w:p>
    <w:p w14:paraId="11EB40F8">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7、执行国家法律法规并完善配合机制：支持和监督政法单位依法行使职权，检查政法单位执行党的路线方针政策、党中央重大决策部署和国家法律法规的情况，指导和协调政法单位密切配合，完善与纪检监察机关工作衔接和协作配合机制，推进严格执法、公正司法。</w:t>
      </w:r>
    </w:p>
    <w:p w14:paraId="4BCFFA24">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8、指导队伍建设：指导和推动政法单位党的建设和政法队伍建设，协助党委及其</w:t>
      </w:r>
      <w:r>
        <w:rPr>
          <w:rFonts w:hint="eastAsia" w:ascii="仿宋" w:hAnsi="仿宋" w:eastAsia="仿宋" w:cs="仿宋"/>
          <w:color w:val="222222"/>
          <w:kern w:val="0"/>
          <w:sz w:val="32"/>
          <w:szCs w:val="32"/>
          <w:lang w:eastAsia="zh-CN"/>
        </w:rPr>
        <w:t>政法政法委</w:t>
      </w:r>
      <w:r>
        <w:rPr>
          <w:rFonts w:hint="eastAsia" w:ascii="仿宋" w:hAnsi="仿宋" w:eastAsia="仿宋" w:cs="仿宋"/>
          <w:color w:val="222222"/>
          <w:kern w:val="0"/>
          <w:sz w:val="32"/>
          <w:szCs w:val="32"/>
        </w:rPr>
        <w:t>门加强政法单位领导班子和干部队伍建设。</w:t>
      </w:r>
    </w:p>
    <w:p w14:paraId="1E6747FD">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9、协助做好审查工作：协助党委和纪检监察机关做好监督检查、审查调查工作，派员列席同级政法单位党组（党委）民主生活会。</w:t>
      </w:r>
    </w:p>
    <w:p w14:paraId="60AC06A1">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10、落实办事机构工作：落实中央和地方各级国家安全领导机构、全面依法治国领导机构的决策部署，支持配合其办事机构工作。</w:t>
      </w:r>
    </w:p>
    <w:p w14:paraId="52519E08">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600" w:lineRule="exact"/>
        <w:ind w:firstLine="640" w:firstLineChars="200"/>
        <w:jc w:val="left"/>
        <w:textAlignment w:val="auto"/>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11、指导战略研究和司法工作：指导政法单位加强国家政治安全战略研究、法治中国建设重大问题研究，提出建议和工作意见，指导和协调政法单位维护政治安全工作和执法司法相关工作。</w:t>
      </w:r>
    </w:p>
    <w:p w14:paraId="663002B9">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600" w:lineRule="exact"/>
        <w:ind w:firstLine="640" w:firstLineChars="200"/>
        <w:jc w:val="left"/>
        <w:textAlignment w:val="auto"/>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12、掌握政府舆论：掌握分析政法舆情动态，指导和协调政法单位和有关部门做好依法办理、宣传报道和舆论引导等相关工作。</w:t>
      </w:r>
    </w:p>
    <w:p w14:paraId="3F59F295">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13、完成其他工作：完成党委和上级党委</w:t>
      </w:r>
      <w:r>
        <w:rPr>
          <w:rFonts w:hint="eastAsia" w:ascii="仿宋" w:hAnsi="仿宋" w:eastAsia="仿宋" w:cs="仿宋"/>
          <w:color w:val="222222"/>
          <w:kern w:val="0"/>
          <w:sz w:val="32"/>
          <w:szCs w:val="32"/>
          <w:lang w:eastAsia="zh-CN"/>
        </w:rPr>
        <w:t>政法政法委</w:t>
      </w:r>
      <w:r>
        <w:rPr>
          <w:rFonts w:hint="eastAsia" w:ascii="仿宋" w:hAnsi="仿宋" w:eastAsia="仿宋" w:cs="仿宋"/>
          <w:color w:val="222222"/>
          <w:kern w:val="0"/>
          <w:sz w:val="32"/>
          <w:szCs w:val="32"/>
        </w:rPr>
        <w:t>员会交办的其他任务。</w:t>
      </w:r>
    </w:p>
    <w:p w14:paraId="530E3921">
      <w:pPr>
        <w:rPr>
          <w:b/>
          <w:sz w:val="36"/>
          <w:szCs w:val="36"/>
        </w:rPr>
      </w:pPr>
      <w:r>
        <w:rPr>
          <w:rFonts w:hint="eastAsia"/>
          <w:b/>
          <w:sz w:val="36"/>
          <w:szCs w:val="36"/>
        </w:rPr>
        <w:t>二、机构设置及人员情况</w:t>
      </w:r>
    </w:p>
    <w:p w14:paraId="6022C832">
      <w:pPr>
        <w:ind w:firstLine="640" w:firstLineChars="200"/>
        <w:rPr>
          <w:rFonts w:hint="eastAsia" w:ascii="仿宋_GB2312" w:eastAsia="仿宋_GB2312"/>
          <w:b w:val="0"/>
          <w:bCs/>
          <w:color w:val="000000"/>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b w:val="0"/>
          <w:bCs/>
          <w:color w:val="000000"/>
          <w:sz w:val="32"/>
          <w:szCs w:val="32"/>
          <w:lang w:eastAsia="zh-CN"/>
        </w:rPr>
        <w:t>中国共产党庐山市委员会政法委员会</w:t>
      </w:r>
      <w:r>
        <w:rPr>
          <w:rFonts w:hint="eastAsia" w:ascii="仿宋" w:hAnsi="仿宋" w:eastAsia="仿宋"/>
          <w:color w:val="000000" w:themeColor="text1"/>
          <w:sz w:val="32"/>
          <w:szCs w:val="32"/>
          <w14:textFill>
            <w14:solidFill>
              <w14:schemeClr w14:val="tx1"/>
            </w14:solidFill>
          </w14:textFill>
        </w:rPr>
        <w:t>共有预算单位</w:t>
      </w:r>
      <w:r>
        <w:rPr>
          <w:rFonts w:hint="eastAsia" w:ascii="仿宋" w:hAnsi="仿宋" w:eastAsia="仿宋"/>
          <w:color w:val="000000" w:themeColor="text1"/>
          <w:sz w:val="32"/>
          <w:szCs w:val="32"/>
          <w:lang w:val="en-US" w:eastAsia="zh-CN"/>
          <w14:textFill>
            <w14:solidFill>
              <w14:schemeClr w14:val="tx1"/>
            </w14:solidFill>
          </w14:textFill>
        </w:rPr>
        <w:t>1个为</w:t>
      </w:r>
      <w:r>
        <w:rPr>
          <w:rFonts w:hint="eastAsia" w:ascii="仿宋_GB2312" w:eastAsia="仿宋_GB2312"/>
          <w:b w:val="0"/>
          <w:bCs/>
          <w:color w:val="000000"/>
          <w:sz w:val="32"/>
          <w:szCs w:val="32"/>
          <w:lang w:eastAsia="zh-CN"/>
        </w:rPr>
        <w:t>中国共产党庐山市委员会政法委员会本级。</w:t>
      </w:r>
    </w:p>
    <w:p w14:paraId="29B64FCF">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24</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8</w:t>
      </w:r>
      <w:r>
        <w:rPr>
          <w:rFonts w:ascii="仿宋" w:hAnsi="仿宋" w:eastAsia="仿宋"/>
          <w:sz w:val="32"/>
          <w:szCs w:val="32"/>
        </w:rPr>
        <w:t>人,全部补助事业编制人数</w:t>
      </w:r>
      <w:r>
        <w:rPr>
          <w:rFonts w:hint="eastAsia" w:ascii="仿宋" w:hAnsi="仿宋" w:eastAsia="仿宋"/>
          <w:sz w:val="32"/>
          <w:szCs w:val="32"/>
          <w:lang w:val="en-US" w:eastAsia="zh-CN"/>
        </w:rPr>
        <w:t>16</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24</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9</w:t>
      </w:r>
      <w:r>
        <w:rPr>
          <w:rFonts w:ascii="仿宋" w:hAnsi="仿宋" w:eastAsia="仿宋"/>
          <w:sz w:val="32"/>
          <w:szCs w:val="32"/>
        </w:rPr>
        <w:t>人,全部补助事业在职人数</w:t>
      </w:r>
      <w:r>
        <w:rPr>
          <w:rFonts w:hint="eastAsia" w:ascii="仿宋" w:hAnsi="仿宋" w:eastAsia="仿宋"/>
          <w:sz w:val="32"/>
          <w:szCs w:val="32"/>
          <w:lang w:val="en-US" w:eastAsia="zh-CN"/>
        </w:rPr>
        <w:t>11</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12</w:t>
      </w:r>
      <w:bookmarkStart w:id="0" w:name="_GoBack"/>
      <w:bookmarkEnd w:id="0"/>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32310541">
      <w:pPr>
        <w:ind w:firstLine="640" w:firstLineChars="200"/>
        <w:rPr>
          <w:rFonts w:hint="eastAsia" w:ascii="仿宋" w:hAnsi="仿宋" w:eastAsia="仿宋"/>
          <w:sz w:val="32"/>
          <w:szCs w:val="32"/>
        </w:rPr>
      </w:pP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48CBF9AD">
      <w:pPr>
        <w:keepNext w:val="0"/>
        <w:keepLines w:val="0"/>
        <w:pageBreakBefore w:val="0"/>
        <w:widowControl/>
        <w:kinsoku/>
        <w:wordWrap/>
        <w:overflowPunct/>
        <w:topLinePunct w:val="0"/>
        <w:autoSpaceDN/>
        <w:bidi w:val="0"/>
        <w:adjustRightInd/>
        <w:snapToGrid/>
        <w:spacing w:beforeAutospacing="0" w:afterAutospacing="0" w:line="600" w:lineRule="exact"/>
        <w:jc w:val="center"/>
        <w:rPr>
          <w:rFonts w:hint="eastAsia" w:ascii="仿宋" w:hAnsi="仿宋" w:eastAsia="仿宋" w:cs="仿宋"/>
          <w:b/>
          <w:sz w:val="32"/>
          <w:szCs w:val="32"/>
        </w:rPr>
      </w:pPr>
      <w:r>
        <w:rPr>
          <w:rFonts w:hint="eastAsia" w:ascii="仿宋" w:hAnsi="仿宋" w:eastAsia="仿宋" w:cs="仿宋"/>
          <w:b/>
          <w:sz w:val="32"/>
          <w:szCs w:val="32"/>
        </w:rPr>
        <w:t xml:space="preserve">第二部分  </w:t>
      </w:r>
      <w:r>
        <w:rPr>
          <w:rFonts w:hint="eastAsia" w:ascii="仿宋" w:hAnsi="仿宋" w:eastAsia="仿宋" w:cs="仿宋"/>
          <w:b/>
          <w:color w:val="auto"/>
          <w:sz w:val="32"/>
          <w:szCs w:val="32"/>
        </w:rPr>
        <w:fldChar w:fldCharType="begin"/>
      </w:r>
      <w:r>
        <w:rPr>
          <w:rFonts w:hint="eastAsia" w:ascii="仿宋" w:hAnsi="仿宋" w:eastAsia="仿宋" w:cs="仿宋"/>
          <w:b/>
          <w:color w:val="auto"/>
          <w:sz w:val="32"/>
          <w:szCs w:val="32"/>
        </w:rPr>
        <w:instrText xml:space="preserve">MERGEFIELD ${page400644146.ds509943833_REP_JXJC_AGENCY_WZR_NAME}</w:instrText>
      </w:r>
      <w:r>
        <w:rPr>
          <w:rFonts w:hint="eastAsia" w:ascii="仿宋" w:hAnsi="仿宋" w:eastAsia="仿宋" w:cs="仿宋"/>
          <w:b/>
          <w:color w:val="auto"/>
          <w:sz w:val="32"/>
          <w:szCs w:val="32"/>
        </w:rPr>
        <w:fldChar w:fldCharType="separate"/>
      </w:r>
      <w:r>
        <w:rPr>
          <w:rFonts w:hint="eastAsia" w:ascii="仿宋" w:hAnsi="仿宋" w:eastAsia="仿宋" w:cs="仿宋"/>
          <w:b/>
          <w:color w:val="auto"/>
          <w:sz w:val="32"/>
          <w:szCs w:val="32"/>
          <w:lang w:eastAsia="zh-CN"/>
        </w:rPr>
        <w:t>中国共产党庐山市委员会政法委员会</w:t>
      </w:r>
      <w:r>
        <w:rPr>
          <w:rFonts w:hint="eastAsia" w:ascii="仿宋" w:hAnsi="仿宋" w:eastAsia="仿宋" w:cs="仿宋"/>
          <w:color w:val="auto"/>
          <w:sz w:val="32"/>
          <w:szCs w:val="32"/>
        </w:rPr>
        <w:fldChar w:fldCharType="end"/>
      </w:r>
      <w:r>
        <w:rPr>
          <w:rFonts w:hint="eastAsia" w:ascii="仿宋" w:hAnsi="仿宋" w:eastAsia="仿宋" w:cs="仿宋"/>
          <w:b/>
          <w:color w:val="auto"/>
          <w:sz w:val="32"/>
          <w:szCs w:val="32"/>
        </w:rPr>
        <w:t>2</w:t>
      </w:r>
      <w:r>
        <w:rPr>
          <w:rFonts w:hint="eastAsia" w:ascii="仿宋" w:hAnsi="仿宋" w:eastAsia="仿宋" w:cs="仿宋"/>
          <w:b/>
          <w:sz w:val="32"/>
          <w:szCs w:val="32"/>
        </w:rPr>
        <w:t>02</w:t>
      </w:r>
      <w:r>
        <w:rPr>
          <w:rFonts w:hint="eastAsia" w:ascii="仿宋" w:hAnsi="仿宋" w:eastAsia="仿宋" w:cs="仿宋"/>
          <w:b/>
          <w:sz w:val="32"/>
          <w:szCs w:val="32"/>
          <w:lang w:val="en-US" w:eastAsia="zh-CN"/>
        </w:rPr>
        <w:t>5</w:t>
      </w:r>
      <w:r>
        <w:rPr>
          <w:rFonts w:hint="eastAsia" w:ascii="仿宋" w:hAnsi="仿宋" w:eastAsia="仿宋" w:cs="仿宋"/>
          <w:b/>
          <w:sz w:val="32"/>
          <w:szCs w:val="32"/>
        </w:rPr>
        <w:t>年部门预算表</w:t>
      </w:r>
    </w:p>
    <w:p w14:paraId="22594B3D">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（详见附表）</w:t>
      </w:r>
    </w:p>
    <w:p w14:paraId="605D45CF">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Style w:val="11"/>
          <w:rFonts w:hint="eastAsia" w:ascii="仿宋" w:hAnsi="仿宋" w:eastAsia="仿宋" w:cs="仿宋"/>
          <w:bCs/>
          <w:sz w:val="32"/>
          <w:szCs w:val="32"/>
        </w:rPr>
      </w:pPr>
    </w:p>
    <w:p w14:paraId="08651BBA">
      <w:pPr>
        <w:keepNext w:val="0"/>
        <w:keepLines w:val="0"/>
        <w:pageBreakBefore w:val="0"/>
        <w:widowControl/>
        <w:kinsoku/>
        <w:wordWrap/>
        <w:overflowPunct/>
        <w:topLinePunct w:val="0"/>
        <w:autoSpaceDN/>
        <w:bidi w:val="0"/>
        <w:adjustRightInd/>
        <w:snapToGrid/>
        <w:spacing w:beforeAutospacing="0" w:afterAutospacing="0" w:line="600" w:lineRule="exact"/>
        <w:ind w:firstLine="643" w:firstLineChars="200"/>
        <w:jc w:val="center"/>
        <w:rPr>
          <w:rFonts w:hint="eastAsia" w:ascii="仿宋" w:hAnsi="仿宋" w:eastAsia="仿宋" w:cs="仿宋"/>
          <w:b/>
          <w:color w:val="auto"/>
          <w:sz w:val="32"/>
          <w:szCs w:val="32"/>
        </w:rPr>
      </w:pPr>
      <w:r>
        <w:rPr>
          <w:rFonts w:hint="eastAsia" w:ascii="仿宋" w:hAnsi="仿宋" w:eastAsia="仿宋" w:cs="仿宋"/>
          <w:b/>
          <w:kern w:val="0"/>
          <w:sz w:val="32"/>
          <w:szCs w:val="32"/>
        </w:rPr>
        <w:t xml:space="preserve">第三部分 </w:t>
      </w:r>
      <w:r>
        <w:rPr>
          <w:rFonts w:hint="eastAsia" w:ascii="仿宋" w:hAnsi="仿宋" w:eastAsia="仿宋" w:cs="仿宋"/>
          <w:b/>
          <w:sz w:val="32"/>
          <w:szCs w:val="32"/>
        </w:rPr>
        <w:t xml:space="preserve"> </w:t>
      </w:r>
      <w:r>
        <w:rPr>
          <w:rFonts w:hint="eastAsia" w:ascii="仿宋" w:hAnsi="仿宋" w:eastAsia="仿宋" w:cs="仿宋"/>
          <w:b/>
          <w:color w:val="auto"/>
          <w:sz w:val="32"/>
          <w:szCs w:val="32"/>
        </w:rPr>
        <w:fldChar w:fldCharType="begin"/>
      </w:r>
      <w:r>
        <w:rPr>
          <w:rFonts w:hint="eastAsia" w:ascii="仿宋" w:hAnsi="仿宋" w:eastAsia="仿宋" w:cs="仿宋"/>
          <w:b/>
          <w:color w:val="auto"/>
          <w:sz w:val="32"/>
          <w:szCs w:val="32"/>
        </w:rPr>
        <w:instrText xml:space="preserve">MERGEFIELD ${page400644146.ds509943833_REP_JXJC_AGENCY_WZR_NAME}</w:instrText>
      </w:r>
      <w:r>
        <w:rPr>
          <w:rFonts w:hint="eastAsia" w:ascii="仿宋" w:hAnsi="仿宋" w:eastAsia="仿宋" w:cs="仿宋"/>
          <w:b/>
          <w:color w:val="auto"/>
          <w:sz w:val="32"/>
          <w:szCs w:val="32"/>
        </w:rPr>
        <w:fldChar w:fldCharType="separate"/>
      </w:r>
      <w:r>
        <w:rPr>
          <w:rFonts w:hint="eastAsia" w:ascii="仿宋" w:hAnsi="仿宋" w:eastAsia="仿宋" w:cs="仿宋"/>
          <w:b/>
          <w:color w:val="auto"/>
          <w:sz w:val="32"/>
          <w:szCs w:val="32"/>
          <w:lang w:eastAsia="zh-CN"/>
        </w:rPr>
        <w:t>中国共产党庐山市委员会政法委员会</w:t>
      </w:r>
      <w:r>
        <w:rPr>
          <w:rFonts w:hint="eastAsia" w:ascii="仿宋" w:hAnsi="仿宋" w:eastAsia="仿宋" w:cs="仿宋"/>
          <w:color w:val="auto"/>
          <w:sz w:val="32"/>
          <w:szCs w:val="32"/>
        </w:rPr>
        <w:fldChar w:fldCharType="end"/>
      </w:r>
      <w:r>
        <w:rPr>
          <w:rFonts w:hint="eastAsia" w:ascii="仿宋" w:hAnsi="仿宋" w:eastAsia="仿宋" w:cs="仿宋"/>
          <w:b/>
          <w:color w:val="auto"/>
          <w:sz w:val="32"/>
          <w:szCs w:val="32"/>
        </w:rPr>
        <w:t>202</w:t>
      </w:r>
      <w:r>
        <w:rPr>
          <w:rFonts w:hint="eastAsia" w:ascii="仿宋" w:hAnsi="仿宋" w:eastAsia="仿宋" w:cs="仿宋"/>
          <w:b/>
          <w:color w:val="auto"/>
          <w:sz w:val="32"/>
          <w:szCs w:val="32"/>
          <w:lang w:val="en-US" w:eastAsia="zh-CN"/>
        </w:rPr>
        <w:t>5</w:t>
      </w:r>
      <w:r>
        <w:rPr>
          <w:rFonts w:hint="eastAsia" w:ascii="仿宋" w:hAnsi="仿宋" w:eastAsia="仿宋" w:cs="仿宋"/>
          <w:b/>
          <w:color w:val="auto"/>
          <w:sz w:val="32"/>
          <w:szCs w:val="32"/>
        </w:rPr>
        <w:t>年部门预算情况说明</w:t>
      </w:r>
    </w:p>
    <w:p w14:paraId="0C1E150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eastAsia="zh-CN"/>
        </w:rPr>
        <w:t>部门</w:t>
      </w:r>
      <w:r>
        <w:rPr>
          <w:rFonts w:hint="eastAsia" w:ascii="楷体_GB2312" w:eastAsia="楷体_GB2312"/>
          <w:b/>
          <w:sz w:val="32"/>
          <w:szCs w:val="30"/>
        </w:rPr>
        <w:t>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color w:val="000000"/>
          <w:sz w:val="32"/>
          <w:szCs w:val="32"/>
          <w:lang w:eastAsia="zh-CN"/>
        </w:rPr>
        <w:t>中国共产党庐山市委员会政法委员会</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748.84</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44.93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718.84</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lang w:val="en-US" w:eastAsia="zh-CN"/>
        </w:rPr>
        <w:t>54.93</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减少变化原因为兼职职网格员补助及肇事肇祸及三级以上精神病人有奖监护资金提前下达至各相关乡镇。</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413382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_GB2312" w:eastAsia="仿宋_GB2312"/>
          <w:b w:val="0"/>
          <w:bCs w:val="0"/>
          <w:color w:val="000000"/>
          <w:sz w:val="32"/>
          <w:szCs w:val="32"/>
          <w:lang w:eastAsia="zh-CN"/>
        </w:rPr>
        <w:t>中国共产党庐山市委员会政法委员会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748.84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44.93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减少变化原因为兼职职网格员补助及肇事肇祸及三级以上精神病人有奖监护资金提前下达至各相关乡镇。</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Fonts w:hint="eastAsia" w:ascii="仿宋" w:hAnsi="仿宋" w:eastAsia="仿宋" w:cs="Times New Roman"/>
          <w:kern w:val="0"/>
          <w:sz w:val="32"/>
          <w:szCs w:val="32"/>
          <w:lang w:val="en-US" w:eastAsia="zh-CN"/>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430.3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40.95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353.88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42.78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318.55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85.87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83.55</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Fonts w:hint="eastAsia" w:ascii="仿宋" w:hAnsi="仿宋" w:eastAsia="仿宋" w:cs="Times New Roman"/>
          <w:kern w:val="0"/>
          <w:sz w:val="32"/>
          <w:szCs w:val="32"/>
          <w:lang w:val="en-US" w:eastAsia="zh-CN"/>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647.83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59.63</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51.8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7.35</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20.79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3.46</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28.42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3.89</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562.07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14.24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126.33</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24.5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26.81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23.87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64.96</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t>中国共产党庐山市委员会政法委员会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718.84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54.93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减少变化原因为兼职职网格员补助及肇事肇祸及三级以上精神病人有奖监护资金提前下达至各相关乡镇。</w:t>
      </w:r>
    </w:p>
    <w:p w14:paraId="53F56414">
      <w:pPr>
        <w:widowControl/>
        <w:ind w:firstLine="640" w:firstLineChars="200"/>
        <w:rPr>
          <w:rFonts w:hint="eastAsia" w:ascii="仿宋" w:hAnsi="仿宋" w:eastAsia="仿宋" w:cs="Times New Roman"/>
          <w:kern w:val="0"/>
          <w:sz w:val="32"/>
          <w:szCs w:val="32"/>
          <w:lang w:val="en-US" w:eastAsia="zh-CN"/>
        </w:rPr>
      </w:pPr>
      <w:r>
        <w:rPr>
          <w:rStyle w:val="11"/>
          <w:rFonts w:hint="eastAsia" w:ascii="仿宋" w:hAnsi="仿宋" w:eastAsia="仿宋"/>
          <w:sz w:val="32"/>
          <w:szCs w:val="32"/>
        </w:rPr>
        <w:t>按</w:t>
      </w:r>
      <w:r>
        <w:rPr>
          <w:rFonts w:hint="eastAsia" w:ascii="仿宋" w:hAnsi="仿宋" w:eastAsia="仿宋" w:cs="Times New Roman"/>
          <w:kern w:val="0"/>
          <w:sz w:val="32"/>
          <w:szCs w:val="32"/>
          <w:lang w:val="en-US" w:eastAsia="zh-CN"/>
        </w:rPr>
        <w:t>支出功能科目划分：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${page400644146.ds247441498_REP_BGT_T_HC1100002019DXQ01_GNCBMX}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一般公共服务支出617.83万元,较上年预算安排减少89.63万元；社会保障和就业支出51.8万元,较上年预算安排增加7.35万元;卫生健康支出20.79万元,较上年预算安排增加3.46万元;住房保障支</w:t>
      </w:r>
      <w:r>
        <w:rPr>
          <w:rFonts w:hint="eastAsia" w:ascii="仿宋" w:hAnsi="仿宋" w:eastAsia="仿宋" w:cs="Times New Roman"/>
          <w:kern w:val="0"/>
          <w:sz w:val="32"/>
          <w:szCs w:val="32"/>
          <w:lang w:val="en-US" w:eastAsia="zh-CN"/>
        </w:rPr>
        <w:fldChar w:fldCharType="end"/>
      </w:r>
    </w:p>
    <w:p w14:paraId="64E81F8C">
      <w:pPr>
        <w:widowControl/>
        <w:ind w:firstLine="640" w:firstLineChars="200"/>
      </w:pPr>
      <w:r>
        <w:rPr>
          <w:rFonts w:hint="eastAsia" w:ascii="仿宋" w:hAnsi="仿宋" w:eastAsia="仿宋" w:cs="Times New Roman"/>
          <w:kern w:val="0"/>
          <w:sz w:val="32"/>
          <w:szCs w:val="32"/>
          <w:lang w:val="en-US" w:eastAsia="zh-CN"/>
        </w:rPr>
        <w:t>按支出项目类别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430.3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40.95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353.88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42.78_</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33.64_</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288.55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115.87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54.55</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4024A2A">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本部门没有使用政府性基金预算拨款安排的支出</w:t>
      </w:r>
      <w:r>
        <w:rPr>
          <w:rFonts w:hint="eastAsia" w:ascii="Adobe 仿宋 Std R" w:hAnsi="Adobe 仿宋 Std R" w:eastAsia="Adobe 仿宋 Std R"/>
          <w:sz w:val="32"/>
          <w:szCs w:val="32"/>
          <w:lang w:val="en-US" w:eastAsia="zh-CN"/>
        </w:rPr>
        <w:fldChar w:fldCharType="begin"/>
      </w:r>
      <w:r>
        <w:rPr>
          <w:rFonts w:hint="eastAsia" w:ascii="Adobe 仿宋 Std R" w:hAnsi="Adobe 仿宋 Std R" w:eastAsia="Adobe 仿宋 Std R"/>
          <w:sz w:val="32"/>
          <w:szCs w:val="32"/>
          <w:lang w:val="en-US" w:eastAsia="zh-CN"/>
        </w:rPr>
        <w:instrText xml:space="preserve">MERGEFIELD ${page540426799.ds357974894_REP_BGT_T_HC1100002019_DXQ02DW_JBZCQKJJ}</w:instrText>
      </w:r>
      <w:r>
        <w:rPr>
          <w:rFonts w:hint="eastAsia" w:ascii="Adobe 仿宋 Std R" w:hAnsi="Adobe 仿宋 Std R" w:eastAsia="Adobe 仿宋 Std R"/>
          <w:sz w:val="32"/>
          <w:szCs w:val="32"/>
          <w:lang w:val="en-US" w:eastAsia="zh-CN"/>
        </w:rPr>
        <w:fldChar w:fldCharType="end"/>
      </w:r>
      <w:r>
        <w:rPr>
          <w:rFonts w:hint="eastAsia" w:ascii="Adobe 仿宋 Std R" w:hAnsi="Adobe 仿宋 Std R" w:eastAsia="Adobe 仿宋 Std R"/>
          <w:sz w:val="32"/>
          <w:szCs w:val="32"/>
          <w:lang w:val="en-US" w:eastAsia="zh-CN"/>
        </w:rPr>
        <w:fldChar w:fldCharType="begin"/>
      </w:r>
      <w:r>
        <w:rPr>
          <w:rFonts w:hint="eastAsia" w:ascii="Adobe 仿宋 Std R" w:hAnsi="Adobe 仿宋 Std R" w:eastAsia="Adobe 仿宋 Std R"/>
          <w:sz w:val="32"/>
          <w:szCs w:val="32"/>
          <w:lang w:val="en-US" w:eastAsia="zh-CN"/>
        </w:rPr>
        <w:instrText xml:space="preserve">MERGEFIELD ${page540426799.ds357974894_REP_BGT_T_HC1100002019_DXQ02DW_XMZCQKJJ}</w:instrText>
      </w:r>
      <w:r>
        <w:rPr>
          <w:rFonts w:hint="eastAsia" w:ascii="Adobe 仿宋 Std R" w:hAnsi="Adobe 仿宋 Std R" w:eastAsia="Adobe 仿宋 Std R"/>
          <w:sz w:val="32"/>
          <w:szCs w:val="32"/>
          <w:lang w:val="en-US" w:eastAsia="zh-CN"/>
        </w:rPr>
        <w:fldChar w:fldCharType="end"/>
      </w:r>
      <w:r>
        <w:rPr>
          <w:rFonts w:hint="eastAsia" w:ascii="Adobe 仿宋 Std R" w:hAnsi="Adobe 仿宋 Std R" w:eastAsia="Adobe 仿宋 Std R"/>
          <w:sz w:val="32"/>
          <w:szCs w:val="32"/>
          <w:lang w:val="en-US" w:eastAsia="zh-CN"/>
        </w:rPr>
        <w:fldChar w:fldCharType="begin"/>
      </w:r>
      <w:r>
        <w:rPr>
          <w:rFonts w:hint="eastAsia" w:ascii="Adobe 仿宋 Std R" w:hAnsi="Adobe 仿宋 Std R" w:eastAsia="Adobe 仿宋 Std R"/>
          <w:sz w:val="32"/>
          <w:szCs w:val="32"/>
          <w:lang w:val="en-US" w:eastAsia="zh-CN"/>
        </w:rPr>
        <w:instrText xml:space="preserve">MERGEFIELD ${page400644146.ds215660413_REP_BGT_T_HC1100002019_DXQ02_JBZCQKJJ}</w:instrText>
      </w:r>
      <w:r>
        <w:rPr>
          <w:rFonts w:hint="eastAsia" w:ascii="Adobe 仿宋 Std R" w:hAnsi="Adobe 仿宋 Std R" w:eastAsia="Adobe 仿宋 Std R"/>
          <w:sz w:val="32"/>
          <w:szCs w:val="32"/>
          <w:lang w:val="en-US" w:eastAsia="zh-CN"/>
        </w:rPr>
        <w:fldChar w:fldCharType="end"/>
      </w:r>
      <w:r>
        <w:rPr>
          <w:rFonts w:hint="eastAsia" w:ascii="Adobe 仿宋 Std R" w:hAnsi="Adobe 仿宋 Std R" w:eastAsia="Adobe 仿宋 Std R"/>
          <w:sz w:val="32"/>
          <w:szCs w:val="32"/>
          <w:lang w:val="en-US" w:eastAsia="zh-CN"/>
        </w:rPr>
        <w:fldChar w:fldCharType="begin"/>
      </w:r>
      <w:r>
        <w:rPr>
          <w:rFonts w:hint="eastAsia" w:ascii="Adobe 仿宋 Std R" w:hAnsi="Adobe 仿宋 Std R" w:eastAsia="Adobe 仿宋 Std R"/>
          <w:sz w:val="32"/>
          <w:szCs w:val="32"/>
          <w:lang w:val="en-US" w:eastAsia="zh-CN"/>
        </w:rPr>
        <w:instrText xml:space="preserve">MERGEFIELD ${page400644146.ds215660413_REP_BGT_T_HC1100002019_DXQ02_XMZCQKJJ}</w:instrText>
      </w:r>
      <w:r>
        <w:rPr>
          <w:rFonts w:hint="eastAsia" w:ascii="Adobe 仿宋 Std R" w:hAnsi="Adobe 仿宋 Std R" w:eastAsia="Adobe 仿宋 Std R"/>
          <w:sz w:val="32"/>
          <w:szCs w:val="32"/>
          <w:lang w:val="en-US" w:eastAsia="zh-CN"/>
        </w:rPr>
        <w:fldChar w:fldCharType="end"/>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5FCB4431">
      <w:pPr>
        <w:widowControl/>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Style w:val="11"/>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机关运行费预</w:t>
      </w:r>
      <w:r>
        <w:rPr>
          <w:rFonts w:hint="eastAsia" w:ascii="Adobe 仿宋 Std R" w:hAnsi="Adobe 仿宋 Std R" w:eastAsia="Adobe 仿宋 Std R"/>
          <w:sz w:val="32"/>
          <w:szCs w:val="32"/>
          <w:lang w:val="en-US" w:eastAsia="zh-CN"/>
        </w:rPr>
        <w:t>33.89</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4.5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11.58%。</w:t>
      </w:r>
      <w:r>
        <w:rPr>
          <w:rFonts w:hint="eastAsia" w:ascii="仿宋" w:hAnsi="仿宋" w:eastAsia="仿宋" w:cs="Times New Roman"/>
          <w:kern w:val="0"/>
          <w:sz w:val="32"/>
          <w:szCs w:val="32"/>
          <w:lang w:val="en-US" w:eastAsia="zh-CN"/>
        </w:rPr>
        <w:t>增长变化原因为人员增加。</w:t>
      </w:r>
    </w:p>
    <w:p w14:paraId="5373B829">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2.71万元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0.88万元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3 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0.56万元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4.41 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0万元、培训费1.6万元、公务接待费2.72万元。其他商品服务支出0.11万元、工会费17.9万元。</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eastAsia="zh-CN"/>
        </w:rPr>
        <w:t>部门</w:t>
      </w:r>
      <w:r>
        <w:rPr>
          <w:rFonts w:ascii="Adobe 仿宋 Std R" w:hAnsi="Adobe 仿宋 Std R" w:eastAsia="Adobe 仿宋 Std R"/>
          <w:sz w:val="32"/>
          <w:szCs w:val="32"/>
        </w:rPr>
        <w:t>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6AFE264E">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 xml:space="preserve"> 1.反邪教经费项目</w:t>
      </w:r>
    </w:p>
    <w:p w14:paraId="222C459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color w:val="434343"/>
          <w:kern w:val="0"/>
          <w:sz w:val="32"/>
          <w:szCs w:val="32"/>
        </w:rPr>
        <w:t>1</w:t>
      </w:r>
      <w:r>
        <w:rPr>
          <w:rFonts w:hint="eastAsia" w:ascii="仿宋" w:hAnsi="仿宋" w:eastAsia="仿宋" w:cs="仿宋"/>
          <w:sz w:val="32"/>
          <w:szCs w:val="32"/>
        </w:rPr>
        <w:t>）项目概述</w:t>
      </w:r>
    </w:p>
    <w:p w14:paraId="35BC685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打击处理邪教案件专项经费、反邪教协会、防范控制、涉网斗争宣传、教育转化、举报奖励、秘密力量建设等。</w:t>
      </w:r>
    </w:p>
    <w:p w14:paraId="61389A4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65F2985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涉密</w:t>
      </w:r>
    </w:p>
    <w:p w14:paraId="7B9CD94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4CCF91A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7754F58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31C423F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设立了项目领导小组，打击邪教，净化社会环境。  </w:t>
      </w:r>
    </w:p>
    <w:p w14:paraId="41F10FA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09F58A1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740BFCC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665DAF2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0.31万元</w:t>
      </w:r>
    </w:p>
    <w:p w14:paraId="101F2148">
      <w:pPr>
        <w:keepNext w:val="0"/>
        <w:keepLines w:val="0"/>
        <w:pageBreakBefore w:val="0"/>
        <w:kinsoku/>
        <w:wordWrap/>
        <w:overflowPunct/>
        <w:topLinePunct w:val="0"/>
        <w:autoSpaceDE w:val="0"/>
        <w:autoSpaceDN/>
        <w:bidi w:val="0"/>
        <w:adjustRightInd/>
        <w:snapToGrid/>
        <w:spacing w:beforeAutospacing="0" w:afterAutospacing="0" w:line="600" w:lineRule="exact"/>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2.见义勇为奖金项目</w:t>
      </w:r>
    </w:p>
    <w:p w14:paraId="723A7CB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773156D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用于见义勇为表彰奖励，倡导见义勇为精神，培育和践行社会主义核心价值观。</w:t>
      </w:r>
    </w:p>
    <w:p w14:paraId="31120CE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3C12D79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涉密</w:t>
      </w:r>
    </w:p>
    <w:p w14:paraId="6D0F4A3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18AC9E9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651F7E0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62C269F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奖金发放要经有关部门认定为见义勇为行为  </w:t>
      </w:r>
    </w:p>
    <w:p w14:paraId="52F4692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74838C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6658ECC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0BC86A2C">
      <w:pPr>
        <w:ind w:firstLine="1280" w:firstLineChars="400"/>
        <w:rPr>
          <w:rStyle w:val="11"/>
          <w:rFonts w:hint="eastAsia" w:ascii="Adobe 仿宋 Std R" w:hAnsi="Adobe 仿宋 Std R" w:eastAsia="Adobe 仿宋 Std R" w:cs="Times New Roman"/>
          <w:b/>
          <w:sz w:val="32"/>
          <w:szCs w:val="32"/>
          <w:lang w:val="en-US" w:eastAsia="zh-CN"/>
        </w:rPr>
      </w:pPr>
      <w:r>
        <w:rPr>
          <w:rFonts w:hint="eastAsia" w:ascii="仿宋" w:hAnsi="仿宋" w:eastAsia="仿宋" w:cs="仿宋"/>
          <w:sz w:val="32"/>
          <w:szCs w:val="32"/>
        </w:rPr>
        <w:t>1.61万元</w:t>
      </w:r>
    </w:p>
    <w:p w14:paraId="65C49DA5">
      <w:pPr>
        <w:keepNext w:val="0"/>
        <w:keepLines w:val="0"/>
        <w:pageBreakBefore w:val="0"/>
        <w:kinsoku/>
        <w:wordWrap/>
        <w:overflowPunct/>
        <w:topLinePunct w:val="0"/>
        <w:autoSpaceDE w:val="0"/>
        <w:autoSpaceDN/>
        <w:bidi w:val="0"/>
        <w:adjustRightInd/>
        <w:snapToGrid/>
        <w:spacing w:beforeAutospacing="0" w:afterAutospacing="0" w:line="600" w:lineRule="exact"/>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3.扫黑除恶专项经费项目</w:t>
      </w:r>
    </w:p>
    <w:p w14:paraId="11BBFC1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4A0B726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跟进落实扫黑除恶常态化斗争工作，提升公众安全感，群众满意度。</w:t>
      </w:r>
    </w:p>
    <w:p w14:paraId="0FFCB8B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603BCD1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涉密</w:t>
      </w:r>
    </w:p>
    <w:p w14:paraId="5436C85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3708103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3DC1C25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7087A2D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成立了项目领导小组  </w:t>
      </w:r>
    </w:p>
    <w:p w14:paraId="2D76769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734DB87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1年</w:t>
      </w:r>
    </w:p>
    <w:p w14:paraId="697A495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7BE78B9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6.85万元</w:t>
      </w:r>
    </w:p>
    <w:p w14:paraId="417408D2">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4.市域社会治理试点工作经费项目</w:t>
      </w:r>
    </w:p>
    <w:p w14:paraId="59DE24D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0528FFA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维护国家安全</w:t>
      </w:r>
    </w:p>
    <w:p w14:paraId="7B6A746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5F29634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江西省九江市市域社会治理实施方案</w:t>
      </w:r>
    </w:p>
    <w:p w14:paraId="43250C5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47E9F7C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2A25114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7589A99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成立了项目领导小组，并对项目进行了可行性测算  </w:t>
      </w:r>
    </w:p>
    <w:p w14:paraId="3FFC76A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4CE89E8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15F7B36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1091F1C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2.7万元</w:t>
      </w:r>
    </w:p>
    <w:p w14:paraId="38EAA2FF">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5.司法救助资金项目</w:t>
      </w:r>
    </w:p>
    <w:p w14:paraId="3C33AD5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53C83FE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为传导司法温情，解决当事人经济困难，化解社会矛盾真正地帮助困难群众。</w:t>
      </w:r>
    </w:p>
    <w:p w14:paraId="463FD20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11E80AB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涉密</w:t>
      </w:r>
    </w:p>
    <w:p w14:paraId="6F49E70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016886B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56602FB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0B6591A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坚持公正救助。严格把握救助标准和条件，兼顾当事人实际情况和同类案件救助数额，做到公平、公正、合理救助，防止因救助不公引发新的矛盾。——坚持及时救助。对符合救助条件的当事人，办案机关应根据当事人申请或者依据职权及时提供救助，确保及早化解社会矛盾。——坚持属地救助。对符合救助条件的当事人，不论其户籍在本地或外地，原则上都由案件管辖地负责救助。  </w:t>
      </w:r>
    </w:p>
    <w:p w14:paraId="2CE5427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37B0D6B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12E69FB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10B02E67">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25.2万元</w:t>
      </w:r>
    </w:p>
    <w:p w14:paraId="400EF5B3">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6.维稳工作经费项目</w:t>
      </w:r>
    </w:p>
    <w:p w14:paraId="1DA79FC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color w:val="434343"/>
          <w:kern w:val="0"/>
          <w:sz w:val="32"/>
          <w:szCs w:val="32"/>
        </w:rPr>
        <w:t>1</w:t>
      </w:r>
      <w:r>
        <w:rPr>
          <w:rFonts w:hint="eastAsia" w:ascii="仿宋" w:hAnsi="仿宋" w:eastAsia="仿宋" w:cs="仿宋"/>
          <w:sz w:val="32"/>
          <w:szCs w:val="32"/>
        </w:rPr>
        <w:t>）项目概述</w:t>
      </w:r>
    </w:p>
    <w:p w14:paraId="3408304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落实各项综治工作措施，确保社会大局稳定。</w:t>
      </w:r>
    </w:p>
    <w:p w14:paraId="77DCCD9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02382C3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县办发[2003]45号《在全县建立维护稳定信息、督查员队伍的实施办法》的通知</w:t>
      </w:r>
    </w:p>
    <w:p w14:paraId="445D71F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68D6035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5C06EBA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3DF9790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设立了项目领导小组，并对项目进行了有效测算。  </w:t>
      </w:r>
    </w:p>
    <w:p w14:paraId="7D0F9A0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61BD01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1638770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038AE0A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4.48万元</w:t>
      </w:r>
    </w:p>
    <w:p w14:paraId="762B02A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744BB7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3587986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6F47B08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23.76</w:t>
      </w:r>
      <w:r>
        <w:rPr>
          <w:rFonts w:hint="eastAsia" w:ascii="仿宋" w:hAnsi="仿宋" w:eastAsia="仿宋" w:cs="仿宋"/>
          <w:sz w:val="32"/>
          <w:szCs w:val="32"/>
        </w:rPr>
        <w:t>万元</w:t>
      </w:r>
    </w:p>
    <w:p w14:paraId="49CF0D6A">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7.综治经费项目</w:t>
      </w:r>
    </w:p>
    <w:p w14:paraId="5AAE11A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348B5DC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落实各项综治工作措施，确保社会大局稳定。</w:t>
      </w:r>
    </w:p>
    <w:p w14:paraId="0D31308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5578B4F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赣财行[2012]93号，江西省财政厅，江西省社会管理综合治理</w:t>
      </w:r>
      <w:r>
        <w:rPr>
          <w:rFonts w:hint="eastAsia" w:ascii="仿宋" w:hAnsi="仿宋" w:eastAsia="仿宋" w:cs="仿宋"/>
          <w:sz w:val="32"/>
          <w:szCs w:val="32"/>
          <w:lang w:eastAsia="zh-CN"/>
        </w:rPr>
        <w:t>政法委</w:t>
      </w:r>
      <w:r>
        <w:rPr>
          <w:rFonts w:hint="eastAsia" w:ascii="仿宋" w:hAnsi="仿宋" w:eastAsia="仿宋" w:cs="仿宋"/>
          <w:sz w:val="32"/>
          <w:szCs w:val="32"/>
        </w:rPr>
        <w:t>办公室关于提高社会管理综合治理工作经费标准的通知。</w:t>
      </w:r>
    </w:p>
    <w:p w14:paraId="684EC89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6D4E823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2F4DEE0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1E8F455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成立了项目领导小组，并进行了项目的可行性测算。  </w:t>
      </w:r>
    </w:p>
    <w:p w14:paraId="7CA31F97">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5EFB74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2473D49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615338C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35万元</w:t>
      </w:r>
    </w:p>
    <w:p w14:paraId="1F202288">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8.综治中心运转经费项目</w:t>
      </w:r>
    </w:p>
    <w:p w14:paraId="58AE684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54FFB8B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落实各项综治工作措施，确保社会大局稳定。</w:t>
      </w:r>
    </w:p>
    <w:p w14:paraId="179FDDF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4EDD4E8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赣办字[2016]82号</w:t>
      </w:r>
    </w:p>
    <w:p w14:paraId="4347D9A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42554ED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375E638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4148E4B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设立了项目领导小组，并进行了可行性测算。  </w:t>
      </w:r>
    </w:p>
    <w:p w14:paraId="458E36A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2AA1651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3F94809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1032F68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4.44万元</w:t>
      </w:r>
    </w:p>
    <w:p w14:paraId="6C1B4406">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9.专职网格员经费</w:t>
      </w:r>
    </w:p>
    <w:p w14:paraId="4E3F9C7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090B8C37">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加强城市基层党建，完善基层综合治理工作的要求</w:t>
      </w:r>
    </w:p>
    <w:p w14:paraId="16A8A0C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1D311AA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市政府抄告单</w:t>
      </w:r>
    </w:p>
    <w:p w14:paraId="0CE9BBC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1A48C81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5969125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2266E42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设立了项目领导小组，并进行了可行性测算。  </w:t>
      </w:r>
    </w:p>
    <w:p w14:paraId="5DAE694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A8F0FF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1CB698F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7256552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207.19</w:t>
      </w:r>
      <w:r>
        <w:rPr>
          <w:rFonts w:hint="eastAsia" w:ascii="仿宋" w:hAnsi="仿宋" w:eastAsia="仿宋" w:cs="仿宋"/>
          <w:sz w:val="32"/>
          <w:szCs w:val="32"/>
        </w:rPr>
        <w:t>万元</w:t>
      </w:r>
    </w:p>
    <w:p w14:paraId="182F7ED2">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10.副处级干部通讯费项目情况说明</w:t>
      </w:r>
    </w:p>
    <w:p w14:paraId="2DC84B0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 xml:space="preserve"> 1</w:t>
      </w:r>
      <w:r>
        <w:rPr>
          <w:rFonts w:hint="eastAsia" w:ascii="仿宋" w:hAnsi="仿宋" w:eastAsia="仿宋" w:cs="仿宋"/>
          <w:sz w:val="32"/>
          <w:szCs w:val="32"/>
          <w:lang w:eastAsia="zh-CN"/>
        </w:rPr>
        <w:t>）项目概述：</w:t>
      </w:r>
      <w:r>
        <w:rPr>
          <w:rFonts w:hint="eastAsia" w:ascii="仿宋" w:hAnsi="仿宋" w:eastAsia="仿宋" w:cs="仿宋"/>
          <w:sz w:val="32"/>
          <w:szCs w:val="32"/>
          <w:lang w:val="en-US" w:eastAsia="zh-CN"/>
        </w:rPr>
        <w:t>规范处级干部通讯费</w:t>
      </w:r>
    </w:p>
    <w:p w14:paraId="28AC4C8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2）立项依据：</w:t>
      </w:r>
      <w:r>
        <w:rPr>
          <w:rFonts w:hint="eastAsia" w:ascii="仿宋" w:hAnsi="仿宋" w:eastAsia="仿宋" w:cs="仿宋"/>
          <w:sz w:val="32"/>
          <w:szCs w:val="32"/>
          <w:lang w:val="en-US" w:eastAsia="zh-CN"/>
        </w:rPr>
        <w:t>九人社字【2019】117号</w:t>
      </w:r>
      <w:r>
        <w:rPr>
          <w:rFonts w:hint="eastAsia" w:ascii="仿宋" w:hAnsi="仿宋" w:eastAsia="仿宋" w:cs="仿宋"/>
          <w:sz w:val="32"/>
          <w:szCs w:val="32"/>
          <w:lang w:eastAsia="zh-CN"/>
        </w:rPr>
        <w:t xml:space="preserve">  </w:t>
      </w:r>
    </w:p>
    <w:p w14:paraId="3F0878E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3）实施主体：</w:t>
      </w:r>
      <w:r>
        <w:rPr>
          <w:rFonts w:hint="eastAsia" w:ascii="仿宋" w:hAnsi="仿宋" w:eastAsia="仿宋" w:cs="仿宋"/>
          <w:sz w:val="32"/>
          <w:szCs w:val="32"/>
          <w:lang w:val="en-US" w:eastAsia="zh-CN"/>
        </w:rPr>
        <w:t>市委员会政法委员会</w:t>
      </w:r>
    </w:p>
    <w:p w14:paraId="5008B98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4）实施方案：</w:t>
      </w:r>
      <w:r>
        <w:rPr>
          <w:rFonts w:hint="eastAsia" w:ascii="仿宋" w:hAnsi="仿宋" w:eastAsia="仿宋" w:cs="仿宋"/>
          <w:sz w:val="32"/>
          <w:szCs w:val="32"/>
          <w:lang w:val="en-US" w:eastAsia="zh-CN"/>
        </w:rPr>
        <w:t>按时间进度保障通讯费用</w:t>
      </w:r>
    </w:p>
    <w:p w14:paraId="3A752D8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5）实施周期：</w:t>
      </w:r>
      <w:r>
        <w:rPr>
          <w:rFonts w:hint="eastAsia" w:ascii="仿宋" w:hAnsi="仿宋" w:eastAsia="仿宋" w:cs="仿宋"/>
          <w:sz w:val="32"/>
          <w:szCs w:val="32"/>
          <w:lang w:val="en-US" w:eastAsia="zh-CN"/>
        </w:rPr>
        <w:t>1年</w:t>
      </w:r>
    </w:p>
    <w:p w14:paraId="3AF30CB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6）年度预算安排：</w:t>
      </w:r>
      <w:r>
        <w:rPr>
          <w:rFonts w:hint="eastAsia" w:ascii="仿宋" w:hAnsi="仿宋" w:eastAsia="仿宋" w:cs="仿宋"/>
          <w:sz w:val="32"/>
          <w:szCs w:val="32"/>
          <w:lang w:val="en-US" w:eastAsia="zh-CN"/>
        </w:rPr>
        <w:t>0.768万元</w:t>
      </w:r>
    </w:p>
    <w:p w14:paraId="3C94FCB4">
      <w:pPr>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11.单位其他资金</w:t>
      </w:r>
    </w:p>
    <w:p w14:paraId="24D24FB7">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1）项目概述</w:t>
      </w:r>
    </w:p>
    <w:p w14:paraId="19C7C723">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lang w:eastAsia="zh-CN"/>
        </w:rPr>
        <w:t>上级单位拨款，以弥补单位经费不足</w:t>
      </w:r>
      <w:r>
        <w:rPr>
          <w:rFonts w:hint="eastAsia" w:ascii="仿宋" w:hAnsi="仿宋" w:eastAsia="仿宋" w:cs="仿宋"/>
          <w:bCs/>
          <w:sz w:val="32"/>
          <w:szCs w:val="32"/>
        </w:rPr>
        <w:t>。</w:t>
      </w:r>
    </w:p>
    <w:p w14:paraId="459C4CB9">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2）立项依据</w:t>
      </w:r>
    </w:p>
    <w:p w14:paraId="3C62B86E">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lang w:eastAsia="zh-CN"/>
        </w:rPr>
      </w:pPr>
      <w:r>
        <w:rPr>
          <w:rFonts w:hint="eastAsia" w:ascii="仿宋" w:hAnsi="仿宋" w:eastAsia="仿宋" w:cs="仿宋"/>
          <w:bCs/>
          <w:sz w:val="32"/>
          <w:szCs w:val="32"/>
          <w:lang w:eastAsia="zh-CN"/>
        </w:rPr>
        <w:t>上级拨款凭证</w:t>
      </w:r>
    </w:p>
    <w:p w14:paraId="1838C05B">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3）实施主体</w:t>
      </w:r>
    </w:p>
    <w:p w14:paraId="299E4B26">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lang w:eastAsia="zh-CN"/>
        </w:rPr>
      </w:pPr>
      <w:r>
        <w:rPr>
          <w:rFonts w:hint="eastAsia" w:ascii="仿宋" w:hAnsi="仿宋" w:eastAsia="仿宋" w:cs="仿宋"/>
          <w:bCs/>
          <w:sz w:val="32"/>
          <w:szCs w:val="32"/>
        </w:rPr>
        <w:t>庐山</w:t>
      </w:r>
      <w:r>
        <w:rPr>
          <w:rFonts w:hint="eastAsia" w:ascii="仿宋" w:hAnsi="仿宋" w:eastAsia="仿宋" w:cs="仿宋"/>
          <w:bCs/>
          <w:sz w:val="32"/>
          <w:szCs w:val="32"/>
          <w:lang w:eastAsia="zh-CN"/>
        </w:rPr>
        <w:t>市委员会政法委员会</w:t>
      </w:r>
    </w:p>
    <w:p w14:paraId="19D23FC0">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4）实施方案</w:t>
      </w:r>
    </w:p>
    <w:p w14:paraId="3CF45CCA">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 xml:space="preserve">设立了项目领导小组，并对项目进行了有效测算。  </w:t>
      </w:r>
    </w:p>
    <w:p w14:paraId="059550C7">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5）实施周期</w:t>
      </w:r>
    </w:p>
    <w:p w14:paraId="47192F7C">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 xml:space="preserve">1年 </w:t>
      </w:r>
    </w:p>
    <w:p w14:paraId="2D9ACF48">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6）年度预算安排</w:t>
      </w:r>
    </w:p>
    <w:p w14:paraId="780E3665">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lang w:val="en-US" w:eastAsia="zh-CN"/>
        </w:rPr>
        <w:t>30</w:t>
      </w:r>
      <w:r>
        <w:rPr>
          <w:rFonts w:hint="eastAsia" w:ascii="仿宋" w:hAnsi="仿宋" w:eastAsia="仿宋" w:cs="仿宋"/>
          <w:bCs/>
          <w:sz w:val="32"/>
          <w:szCs w:val="32"/>
        </w:rPr>
        <w:t>万元</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2AD899EB">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5年庐山市委员会政法委员会</w:t>
      </w:r>
      <w:r>
        <w:rPr>
          <w:rFonts w:hint="eastAsia" w:ascii="仿宋" w:hAnsi="仿宋" w:eastAsia="仿宋" w:cs="仿宋"/>
          <w:bCs/>
          <w:sz w:val="32"/>
          <w:szCs w:val="32"/>
        </w:rPr>
        <w:t>"三公"经费财政拨款安排</w:t>
      </w:r>
      <w:r>
        <w:rPr>
          <w:rFonts w:hint="eastAsia" w:ascii="仿宋" w:hAnsi="仿宋" w:eastAsia="仿宋" w:cs="仿宋"/>
          <w:bCs/>
          <w:sz w:val="32"/>
          <w:szCs w:val="32"/>
          <w:lang w:val="en-US" w:eastAsia="zh-CN"/>
        </w:rPr>
        <w:t>2.72</w:t>
      </w:r>
      <w:r>
        <w:rPr>
          <w:rFonts w:hint="eastAsia" w:ascii="仿宋" w:hAnsi="仿宋" w:eastAsia="仿宋" w:cs="仿宋"/>
          <w:bCs/>
          <w:sz w:val="32"/>
          <w:szCs w:val="32"/>
        </w:rPr>
        <w:t>万元，其中：</w:t>
      </w:r>
    </w:p>
    <w:p w14:paraId="5E51478B">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因公出国</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eastAsia="zh-CN"/>
        </w:rPr>
        <w:t>与上年保持一致</w:t>
      </w:r>
      <w:r>
        <w:rPr>
          <w:rFonts w:hint="eastAsia" w:ascii="仿宋" w:hAnsi="仿宋" w:eastAsia="仿宋" w:cs="仿宋"/>
          <w:bCs/>
          <w:sz w:val="32"/>
          <w:szCs w:val="32"/>
        </w:rPr>
        <w:t>。</w:t>
      </w:r>
    </w:p>
    <w:p w14:paraId="39120E1C">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公务接待</w:t>
      </w:r>
      <w:r>
        <w:rPr>
          <w:rFonts w:hint="eastAsia" w:ascii="仿宋" w:hAnsi="仿宋" w:eastAsia="仿宋" w:cs="仿宋"/>
          <w:bCs/>
          <w:sz w:val="32"/>
          <w:szCs w:val="32"/>
          <w:lang w:val="en-US" w:eastAsia="zh-CN"/>
        </w:rPr>
        <w:t>2.72</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eastAsia="zh-CN"/>
        </w:rPr>
        <w:t>与上年基本保持一致</w:t>
      </w:r>
      <w:r>
        <w:rPr>
          <w:rFonts w:hint="eastAsia" w:ascii="仿宋" w:hAnsi="仿宋" w:eastAsia="仿宋" w:cs="仿宋"/>
          <w:bCs/>
          <w:sz w:val="32"/>
          <w:szCs w:val="32"/>
        </w:rPr>
        <w:t>。</w:t>
      </w:r>
    </w:p>
    <w:p w14:paraId="41F44B37">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公务用车运行</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eastAsia="zh-CN"/>
        </w:rPr>
        <w:t>与上年保持一致</w:t>
      </w:r>
      <w:r>
        <w:rPr>
          <w:rFonts w:hint="eastAsia" w:ascii="仿宋" w:hAnsi="仿宋" w:eastAsia="仿宋" w:cs="仿宋"/>
          <w:bCs/>
          <w:sz w:val="32"/>
          <w:szCs w:val="32"/>
        </w:rPr>
        <w:t>。</w:t>
      </w:r>
    </w:p>
    <w:p w14:paraId="3E6CAAA8">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公务用车购置</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eastAsia="zh-CN"/>
        </w:rPr>
        <w:t>与上年保持一致</w:t>
      </w:r>
      <w:r>
        <w:rPr>
          <w:rFonts w:hint="eastAsia" w:ascii="仿宋" w:hAnsi="仿宋" w:eastAsia="仿宋" w:cs="仿宋"/>
          <w:bCs/>
          <w:sz w:val="32"/>
          <w:szCs w:val="32"/>
        </w:rPr>
        <w:t>。</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MERGEFIELD ${page400644146.ds215660413_REP_BGT_T_HC1100002019_DXQ02_ZCSGGZ}</w:instrText>
      </w:r>
      <w:r>
        <w:rPr>
          <w:rFonts w:hint="eastAsia" w:ascii="仿宋" w:hAnsi="仿宋" w:eastAsia="仿宋" w:cs="仿宋"/>
          <w:bCs/>
          <w:sz w:val="32"/>
          <w:szCs w:val="32"/>
        </w:rPr>
        <w:fldChar w:fldCharType="end"/>
      </w:r>
    </w:p>
    <w:p w14:paraId="095FDEF6">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D2BCD86">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58A1B02B">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F1EADEC">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AF27B8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ABD801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7C3DF954">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72ACE82">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7AE87A1B">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0B36FB0F">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3D1104DD">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C750214">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138240F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D82CAB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0223265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6253D0F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723622E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049BDB9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7CD140C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013D65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2A4F73CA">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1C79C3B">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68D81D13">
      <w:pPr>
        <w:widowControl/>
        <w:spacing w:line="600" w:lineRule="exact"/>
        <w:ind w:firstLine="640" w:firstLineChars="200"/>
        <w:jc w:val="left"/>
        <w:rPr>
          <w:rFonts w:ascii="仿宋_GB2312" w:eastAsia="仿宋_GB2312"/>
          <w:color w:val="FF0000"/>
          <w:sz w:val="32"/>
          <w:szCs w:val="30"/>
        </w:rPr>
      </w:pPr>
    </w:p>
    <w:p w14:paraId="4C93FC8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lang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0923D5"/>
    <w:rsid w:val="0C97247A"/>
    <w:rsid w:val="0DB3098E"/>
    <w:rsid w:val="11FF1959"/>
    <w:rsid w:val="138A29AA"/>
    <w:rsid w:val="15827B15"/>
    <w:rsid w:val="206D0602"/>
    <w:rsid w:val="212C5238"/>
    <w:rsid w:val="22430342"/>
    <w:rsid w:val="243D4ED1"/>
    <w:rsid w:val="25B931E9"/>
    <w:rsid w:val="2828673B"/>
    <w:rsid w:val="2B7A23D2"/>
    <w:rsid w:val="2C57797E"/>
    <w:rsid w:val="2FBD5AB0"/>
    <w:rsid w:val="32213853"/>
    <w:rsid w:val="3328400E"/>
    <w:rsid w:val="35D602C2"/>
    <w:rsid w:val="36031C0A"/>
    <w:rsid w:val="3A841EE9"/>
    <w:rsid w:val="3A9F1A72"/>
    <w:rsid w:val="3B7D1841"/>
    <w:rsid w:val="3D2909BB"/>
    <w:rsid w:val="3DF13D37"/>
    <w:rsid w:val="3F383632"/>
    <w:rsid w:val="4052753A"/>
    <w:rsid w:val="48A83B8E"/>
    <w:rsid w:val="502E68D6"/>
    <w:rsid w:val="5093250B"/>
    <w:rsid w:val="53516268"/>
    <w:rsid w:val="539B3A61"/>
    <w:rsid w:val="565526B4"/>
    <w:rsid w:val="56C47F55"/>
    <w:rsid w:val="579C7175"/>
    <w:rsid w:val="57CB2345"/>
    <w:rsid w:val="5E190A7F"/>
    <w:rsid w:val="5F0B2D4D"/>
    <w:rsid w:val="61E0552E"/>
    <w:rsid w:val="62D6302D"/>
    <w:rsid w:val="63306EE5"/>
    <w:rsid w:val="633916A0"/>
    <w:rsid w:val="63E33020"/>
    <w:rsid w:val="645D73B9"/>
    <w:rsid w:val="6464197D"/>
    <w:rsid w:val="64EB571C"/>
    <w:rsid w:val="656A2922"/>
    <w:rsid w:val="65810156"/>
    <w:rsid w:val="6653606A"/>
    <w:rsid w:val="6878279D"/>
    <w:rsid w:val="6BE248E5"/>
    <w:rsid w:val="6C0D77BE"/>
    <w:rsid w:val="6D891F6D"/>
    <w:rsid w:val="6DE378E4"/>
    <w:rsid w:val="6EDB6140"/>
    <w:rsid w:val="71996B2B"/>
    <w:rsid w:val="73A85115"/>
    <w:rsid w:val="73FB41AA"/>
    <w:rsid w:val="794E5888"/>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jc w:val="left"/>
      <w:textAlignment w:val="top"/>
    </w:pPr>
    <w:rPr>
      <w:kern w:val="0"/>
      <w:sz w:val="24"/>
      <w:szCs w:val="24"/>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5753</Words>
  <Characters>6128</Characters>
  <Lines>51</Lines>
  <Paragraphs>14</Paragraphs>
  <TotalTime>6</TotalTime>
  <ScaleCrop>false</ScaleCrop>
  <LinksUpToDate>false</LinksUpToDate>
  <CharactersWithSpaces>6224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中国共产党星子县委员会政法委员会本级</cp:lastModifiedBy>
  <cp:lastPrinted>2025-01-07T07:34:00Z</cp:lastPrinted>
  <dcterms:modified xsi:type="dcterms:W3CDTF">2025-01-08T09:50:13Z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AE1B01DC786240D59DCDB454BC25068C_13</vt:lpwstr>
  </property>
  <property fmtid="{D5CDD505-2E9C-101B-9397-08002B2CF9AE}" pid="4" name="KSOTemplateDocerSaveRecord">
    <vt:lpwstr>eyJoZGlkIjoiNGMxYjYzMWUyNTFiZjdlZWNhYTI3ZDZiYWE5Yzk4M2QifQ==</vt:lpwstr>
  </property>
</Properties>
</file>