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F9320">
      <w:pPr>
        <w:widowControl/>
        <w:spacing w:line="520" w:lineRule="atLeast"/>
        <w:rPr>
          <w:rFonts w:hint="eastAsia" w:ascii="黑体" w:hAnsi="黑体" w:eastAsia="黑体" w:cs="Times New Roman"/>
          <w:b/>
          <w:bCs/>
          <w:color w:val="000000"/>
          <w:kern w:val="0"/>
          <w:sz w:val="44"/>
          <w:szCs w:val="44"/>
        </w:rPr>
      </w:pPr>
      <w:r>
        <w:rPr>
          <w:rFonts w:ascii="黑体" w:hAnsi="黑体" w:eastAsia="黑体" w:cs="Times New Roman"/>
          <w:bCs/>
          <w:color w:val="000000"/>
          <w:kern w:val="0"/>
          <w:sz w:val="44"/>
          <w:szCs w:val="44"/>
        </w:rPr>
        <w:fldChar w:fldCharType="begin"/>
      </w:r>
      <w:r>
        <w:rPr>
          <w:rFonts w:ascii="黑体" w:hAnsi="黑体" w:eastAsia="黑体" w:cs="Times New Roman"/>
          <w:bCs/>
          <w:color w:val="000000"/>
          <w:kern w:val="0"/>
          <w:sz w:val="44"/>
          <w:szCs w:val="44"/>
        </w:rPr>
        <w:instrText xml:space="preserve">MERGEFIELD ${page400644146.ds509943833_REP_JXJC_AGENCY_WZR_NAME}</w:instrText>
      </w:r>
      <w:r>
        <w:rPr>
          <w:rFonts w:ascii="黑体" w:hAnsi="黑体" w:eastAsia="黑体" w:cs="Times New Roman"/>
          <w:bCs/>
          <w:color w:val="000000"/>
          <w:kern w:val="0"/>
          <w:sz w:val="44"/>
          <w:szCs w:val="44"/>
        </w:rPr>
        <w:fldChar w:fldCharType="separate"/>
      </w:r>
      <w:r>
        <w:rPr>
          <w:rFonts w:ascii="黑体" w:hAnsi="黑体" w:eastAsia="黑体" w:cs="Times New Roman"/>
          <w:bCs/>
          <w:color w:val="000000"/>
          <w:kern w:val="0"/>
          <w:sz w:val="44"/>
          <w:szCs w:val="44"/>
        </w:rPr>
        <w:t>庐山市市场监督管理局</w:t>
      </w:r>
      <w:r>
        <w:rPr>
          <w:rFonts w:ascii="黑体" w:hAnsi="黑体" w:eastAsia="黑体" w:cs="Times New Roman"/>
          <w:bCs/>
          <w:color w:val="000000"/>
          <w:kern w:val="0"/>
          <w:sz w:val="44"/>
          <w:szCs w:val="44"/>
        </w:rPr>
        <w:fldChar w:fldCharType="end"/>
      </w:r>
      <w:r>
        <w:rPr>
          <w:rFonts w:hint="eastAsia" w:ascii="黑体" w:hAnsi="黑体" w:eastAsia="黑体" w:cs="Times New Roman"/>
          <w:bCs/>
          <w:color w:val="000000"/>
          <w:kern w:val="0"/>
          <w:sz w:val="44"/>
          <w:szCs w:val="44"/>
        </w:rPr>
        <w:t>2025</w:t>
      </w:r>
      <w:r>
        <w:rPr>
          <w:rFonts w:hint="eastAsia" w:ascii="黑体" w:hAnsi="黑体" w:eastAsia="黑体" w:cs="Times New Roman"/>
          <w:b/>
          <w:bCs/>
          <w:color w:val="000000"/>
          <w:kern w:val="0"/>
          <w:sz w:val="44"/>
          <w:szCs w:val="44"/>
        </w:rPr>
        <w:t>年部门预算</w:t>
      </w:r>
    </w:p>
    <w:p w14:paraId="4A6C112F">
      <w:pPr>
        <w:pStyle w:val="11"/>
        <w:spacing w:line="600" w:lineRule="atLeast"/>
        <w:jc w:val="center"/>
        <w:rPr>
          <w:rFonts w:hint="eastAsia" w:ascii="黑体" w:hAnsi="黑体" w:eastAsia="黑体"/>
          <w:color w:val="000000"/>
          <w:sz w:val="32"/>
          <w:szCs w:val="32"/>
        </w:rPr>
      </w:pPr>
    </w:p>
    <w:p w14:paraId="2EDC1AC2">
      <w:pPr>
        <w:pStyle w:val="11"/>
        <w:spacing w:line="600" w:lineRule="atLeast"/>
        <w:jc w:val="center"/>
        <w:rPr>
          <w:rFonts w:hint="eastAsia" w:ascii="黑体" w:hAnsi="黑体" w:eastAsia="黑体"/>
          <w:color w:val="000000"/>
          <w:sz w:val="32"/>
          <w:szCs w:val="32"/>
        </w:rPr>
      </w:pPr>
      <w:r>
        <w:rPr>
          <w:rFonts w:hint="eastAsia" w:ascii="黑体" w:hAnsi="黑体" w:eastAsia="黑体"/>
          <w:color w:val="000000"/>
          <w:sz w:val="32"/>
          <w:szCs w:val="32"/>
        </w:rPr>
        <w:t>目    录</w:t>
      </w:r>
    </w:p>
    <w:p w14:paraId="4CFB406B">
      <w:pPr>
        <w:pStyle w:val="11"/>
        <w:rPr>
          <w:rFonts w:hint="eastAsia" w:ascii="宋体" w:hAnsi="宋体"/>
          <w:color w:val="000000"/>
        </w:rPr>
      </w:pPr>
    </w:p>
    <w:p w14:paraId="5DE32EB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sz w:val="32"/>
          <w:szCs w:val="32"/>
        </w:rPr>
        <w:t xml:space="preserve">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庐山市市场监督管理局</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6F835D18">
      <w:pPr>
        <w:pStyle w:val="11"/>
        <w:spacing w:line="600" w:lineRule="atLeast"/>
        <w:ind w:firstLine="1120" w:firstLineChars="35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1D975A48">
      <w:pPr>
        <w:pStyle w:val="11"/>
        <w:spacing w:line="600" w:lineRule="atLeast"/>
        <w:ind w:firstLine="1280" w:firstLineChars="40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26F39AC">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w:t>
      </w:r>
      <w:r>
        <w:rPr>
          <w:rFonts w:hint="eastAsia" w:ascii="仿宋_GB2312" w:eastAsia="仿宋_GB2312"/>
          <w:b/>
          <w:bCs/>
          <w:sz w:val="32"/>
          <w:szCs w:val="32"/>
        </w:rPr>
        <w:t xml:space="preserve">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庐山市市场监督管理局</w:t>
      </w:r>
      <w:r>
        <w:fldChar w:fldCharType="end"/>
      </w:r>
      <w:r>
        <w:rPr>
          <w:rFonts w:hint="eastAsia" w:ascii="仿宋_GB2312" w:eastAsia="仿宋_GB2312"/>
          <w:b/>
          <w:bCs/>
          <w:color w:val="000000"/>
          <w:sz w:val="32"/>
          <w:szCs w:val="32"/>
        </w:rPr>
        <w:t>2025年部门预算表</w:t>
      </w:r>
    </w:p>
    <w:p w14:paraId="10045A32">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1204FA6C">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6407B4EF">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16B51B67">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3CE90B72">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368E3C3">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9F69763">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041AB238">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F33CE90">
      <w:pPr>
        <w:pStyle w:val="11"/>
        <w:tabs>
          <w:tab w:val="left" w:pos="6546"/>
        </w:tabs>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18810FA">
      <w:pPr>
        <w:pStyle w:val="11"/>
        <w:tabs>
          <w:tab w:val="left" w:pos="6546"/>
        </w:tabs>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6C00162B">
      <w:pPr>
        <w:pStyle w:val="11"/>
        <w:tabs>
          <w:tab w:val="left" w:pos="6546"/>
        </w:tabs>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5A5F572C">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庐山市市场监督管理局</w:t>
      </w:r>
      <w:r>
        <w:fldChar w:fldCharType="end"/>
      </w:r>
      <w:r>
        <w:rPr>
          <w:rFonts w:hint="eastAsia" w:ascii="仿宋_GB2312" w:eastAsia="仿宋_GB2312"/>
          <w:b/>
          <w:bCs/>
          <w:sz w:val="32"/>
          <w:szCs w:val="32"/>
        </w:rPr>
        <w:t xml:space="preserve"> </w:t>
      </w:r>
      <w:r>
        <w:rPr>
          <w:rFonts w:hint="eastAsia" w:ascii="仿宋_GB2312" w:eastAsia="仿宋_GB2312"/>
          <w:b/>
          <w:bCs/>
          <w:color w:val="000000"/>
          <w:sz w:val="32"/>
          <w:szCs w:val="32"/>
        </w:rPr>
        <w:t>2025年部门预算情况说明</w:t>
      </w:r>
    </w:p>
    <w:p w14:paraId="16A00E06">
      <w:pPr>
        <w:pStyle w:val="11"/>
        <w:spacing w:line="600" w:lineRule="atLeast"/>
        <w:ind w:firstLine="128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年部门预算收支情况说明</w:t>
      </w:r>
    </w:p>
    <w:p w14:paraId="1546CA42">
      <w:pPr>
        <w:pStyle w:val="11"/>
        <w:spacing w:line="600" w:lineRule="atLeast"/>
        <w:ind w:firstLine="1120" w:firstLineChars="350"/>
        <w:jc w:val="left"/>
        <w:rPr>
          <w:rFonts w:hint="eastAsia"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5</w:t>
      </w:r>
      <w:r>
        <w:rPr>
          <w:rFonts w:ascii="Adobe 仿宋 Std R" w:hAnsi="Adobe 仿宋 Std R" w:eastAsia="Adobe 仿宋 Std R" w:cstheme="minorBidi"/>
          <w:kern w:val="2"/>
          <w:sz w:val="32"/>
          <w:szCs w:val="30"/>
        </w:rPr>
        <w:t>年“三公”经费预算情况说明</w:t>
      </w:r>
    </w:p>
    <w:p w14:paraId="57CA03CB">
      <w:pPr>
        <w:pStyle w:val="11"/>
        <w:tabs>
          <w:tab w:val="left" w:pos="6546"/>
        </w:tabs>
        <w:spacing w:line="600" w:lineRule="atLeast"/>
        <w:ind w:firstLine="1280"/>
        <w:jc w:val="left"/>
        <w:rPr>
          <w:rFonts w:hint="eastAsia" w:ascii="Adobe 仿宋 Std R" w:hAnsi="Adobe 仿宋 Std R" w:eastAsia="Adobe 仿宋 Std R" w:cstheme="minorBidi"/>
          <w:kern w:val="2"/>
          <w:sz w:val="32"/>
          <w:szCs w:val="30"/>
        </w:rPr>
      </w:pPr>
    </w:p>
    <w:p w14:paraId="7C0056F6">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41521DD">
      <w:pPr>
        <w:widowControl/>
        <w:spacing w:line="580" w:lineRule="exact"/>
        <w:jc w:val="center"/>
        <w:rPr>
          <w:rFonts w:ascii="仿宋_GB2312" w:eastAsia="仿宋_GB2312"/>
          <w:b/>
          <w:sz w:val="32"/>
          <w:szCs w:val="30"/>
        </w:rPr>
      </w:pPr>
    </w:p>
    <w:p w14:paraId="29C0F6ED">
      <w:pPr>
        <w:widowControl/>
        <w:spacing w:line="580" w:lineRule="exact"/>
        <w:jc w:val="center"/>
        <w:rPr>
          <w:rFonts w:ascii="仿宋_GB2312" w:eastAsia="仿宋_GB2312"/>
          <w:b/>
          <w:sz w:val="32"/>
          <w:szCs w:val="30"/>
        </w:rPr>
      </w:pPr>
    </w:p>
    <w:p w14:paraId="6ACD9B31">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庐山市市场监督管理局</w:t>
      </w:r>
      <w:r>
        <w:fldChar w:fldCharType="end"/>
      </w:r>
      <w:r>
        <w:rPr>
          <w:rFonts w:hint="eastAsia" w:ascii="仿宋_GB2312" w:eastAsia="仿宋_GB2312"/>
          <w:b/>
          <w:sz w:val="32"/>
          <w:szCs w:val="30"/>
        </w:rPr>
        <w:t>概况</w:t>
      </w:r>
    </w:p>
    <w:p w14:paraId="6CC7905F">
      <w:pPr>
        <w:widowControl/>
        <w:spacing w:line="580" w:lineRule="exact"/>
        <w:jc w:val="left"/>
        <w:rPr>
          <w:rFonts w:hint="eastAsia" w:asciiTheme="minorEastAsia" w:hAnsiTheme="minorEastAsia"/>
          <w:b/>
          <w:sz w:val="36"/>
          <w:szCs w:val="36"/>
        </w:rPr>
      </w:pPr>
    </w:p>
    <w:p w14:paraId="3EFA8A2B">
      <w:pPr>
        <w:widowControl/>
        <w:spacing w:line="580" w:lineRule="exact"/>
        <w:jc w:val="left"/>
        <w:rPr>
          <w:rFonts w:hint="eastAsia" w:asciiTheme="minorEastAsia" w:hAnsiTheme="minorEastAsia"/>
          <w:b/>
          <w:sz w:val="36"/>
          <w:szCs w:val="36"/>
        </w:rPr>
      </w:pPr>
      <w:r>
        <w:rPr>
          <w:rFonts w:hint="eastAsia" w:asciiTheme="minorEastAsia" w:hAnsiTheme="minorEastAsia"/>
          <w:b/>
          <w:sz w:val="36"/>
          <w:szCs w:val="36"/>
        </w:rPr>
        <w:t>一、部门主要职责</w:t>
      </w:r>
    </w:p>
    <w:p w14:paraId="141565BF">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庐山市市场监督管理局是主管全市市场监管工作的市政府（市委）组成部门（直属机构），主要职责是：</w:t>
      </w:r>
    </w:p>
    <w:p w14:paraId="13ED0F1B">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负责市场综合监督管理。贯彻执行国家、省、九江市市场监督管理的方针政策和法律法规,组织实施质量强市战略、食品安全战略和标准化战略，拟订并组织实施有关规划，规范和维护市场秩序，营造诚实守信、公平竞争的市场环境。</w:t>
      </w:r>
    </w:p>
    <w:p w14:paraId="08693390">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负责市场主体统一登记注册。负责并指导全市各类企业、农民专业合作社和从事经营活动的单位、个体工商户等市场主体的登记注册工作。建立市场主体信息公示和共享机制，依法公示和共享有关信息，加强信用监管，推动市场主体信用体系建设。</w:t>
      </w:r>
    </w:p>
    <w:p w14:paraId="46EBC9FE">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3、负责指导和监督市场监管综合执法工作。负责全市市场监管综合执法队伍整合和建设，监督市场监管行政执法行为，推动实行统一的市场监管。</w:t>
      </w:r>
    </w:p>
    <w:p w14:paraId="5EB0F554">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4、负责价格监督检查和反不正当竞争工作。组织实施商品价格、服务价格以及国家机关、事业性收费的监督检查工作。指导查处价格收费违法违规行为和不正当竞争行为。依法依授权开展反垄断相关工作,组织、指导公平竞争审查工作。</w:t>
      </w:r>
    </w:p>
    <w:p w14:paraId="45C09279">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5、负责监督管理市场秩序。依法监督管理市场交易、网络商品交易及有关服务的行为。指导查处价格收费违法违规、不正当竞争、违法直销、传销、侵犯商标专利知识产权和制售假冒伪劣行为。指导广告业发展，监督管理广告活动。指导查处无照生产经营和相关无证生产经营行为。指导开展消费维权工作。</w:t>
      </w:r>
    </w:p>
    <w:p w14:paraId="07C00892">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6、负责宏观质量管理。拟订并组织实施质量发展的制度措施。会同有关部门组织实施重大工程设备质量监理制度，组织重大质量事故调查，组织实施缺陷产品召回制度，监督管理产品防伪工作。</w:t>
      </w:r>
    </w:p>
    <w:p w14:paraId="6D158FFE">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7、负责产品质量安全监督管理。负责全市产品质量安全风险监控、监督抽查工作。组织实施质量分级制度、质量安全追溯制度。负责工业产品生产许可管理。</w:t>
      </w:r>
    </w:p>
    <w:p w14:paraId="6F4203FF">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8、负责特种设备安全监督管理。综合管理特种设备安全监察、监督工作，监督检查高耗能特种设备节能标准和锅炉环境保护标准的执行情况。</w:t>
      </w:r>
    </w:p>
    <w:p w14:paraId="52A0503C">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9、负责食品监督管理综合协调。拟订食品安全重大措施并组织实施。负责食品安全与职能相关的综合应急体系建设，组织指导重大食品安全事件应急处置和调查处理工作。落实食品安全重要信息直报制度。承担市食品安全委员会日常工作。</w:t>
      </w:r>
    </w:p>
    <w:p w14:paraId="6B32FEB6">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w:t>
      </w:r>
    </w:p>
    <w:p w14:paraId="1E62820F">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11、负责统一管理计量工作。推行法定计量单位和国家计量制度，管理计量器具及量值传递溯源和比对工作。规范、监督商品量和市场计量行为。</w:t>
      </w:r>
    </w:p>
    <w:p w14:paraId="44242954">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12、负责统一管理标准化工作。依法对标准的制定进行指导和监督，对标准的实施进行监督检查。依法协调指导并参与地方标准、团体标准制修订工作。组织实施企业产品与服务标准自我声明公开和监督制度。</w:t>
      </w:r>
    </w:p>
    <w:p w14:paraId="3A5257FA">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13、负责统一管理认证认可与检验检测工作。落实认证认可与检验检测监督管理制度、措施，指导协调认证认可与检验检测行业发展，依法监督管理认证认可与检验检测工作。</w:t>
      </w:r>
    </w:p>
    <w:p w14:paraId="0405F135">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14、负责知识产权工作。贯彻执行国家保护商标、专利、原产地地理标志等知识产权的法律法规与方针、政策。拟订和组织实施全市知识产权强市建设的发展规划、政策制度。负责保护知识产权，组织实施并监督严格保护知识产权的制度，推动建设知识产权保护体系。负责促进知识产权运用和管理。</w:t>
      </w:r>
    </w:p>
    <w:p w14:paraId="73033A7E">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15、负责药品（含中药、民族药，下同）、医疗器械和化妆品安全监督管理。贯彻执行国家药品、医疗器械、化妆品安全监督管理的法律、法规和规章，组织起草政策规划并监督实施。</w:t>
      </w:r>
    </w:p>
    <w:p w14:paraId="5DE7F579">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16、负责药品、医疗器械和化妆品标准管理。监督实施药品、医疗器械、化妆品标准和分类管理制度，配合有关部门实施国家基本药物制度。</w:t>
      </w:r>
    </w:p>
    <w:p w14:paraId="26C10CFC">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17、负责药品、医疗器械和化妆品质量管理。监督实施药品、医疗器械经营质量管理规范，监督实施化妆品经营、使用卫生标准和技术规范。</w:t>
      </w:r>
    </w:p>
    <w:p w14:paraId="571BD3D9">
      <w:pPr>
        <w:spacing w:line="480" w:lineRule="atLeast"/>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18、负责药品、医疗器械和化妆品上市后风险管理。组织开展药品不良反应、医疗器械不良事件和化妆品不良反应的监测、评价和处置工作。依法承担药品、医疗器械和化妆品安全应急管理工作。</w:t>
      </w:r>
    </w:p>
    <w:p w14:paraId="0BD3075E">
      <w:pPr>
        <w:rPr>
          <w:rFonts w:ascii="Adobe 仿宋 Std R" w:hAnsi="Adobe 仿宋 Std R" w:eastAsia="Adobe 仿宋 Std R"/>
          <w:sz w:val="32"/>
          <w:szCs w:val="30"/>
        </w:rPr>
      </w:pPr>
      <w:r>
        <w:rPr>
          <w:rFonts w:hint="eastAsia" w:ascii="Adobe 仿宋 Std R" w:hAnsi="Adobe 仿宋 Std R" w:eastAsia="Adobe 仿宋 Std R"/>
          <w:sz w:val="32"/>
          <w:szCs w:val="30"/>
        </w:rPr>
        <w:t>19、负责组织实施药品、医疗器械和化妆品监督检查。制定检查制度，指导查处药品、医疗器械和化妆品经营、使用环节违法行为，监督实施问题产品召回和处置制度，依职责组织指导查处其他环节的违法行为。</w:t>
      </w:r>
    </w:p>
    <w:p w14:paraId="2CA1F326">
      <w:pPr>
        <w:rPr>
          <w:b/>
          <w:sz w:val="36"/>
          <w:szCs w:val="36"/>
        </w:rPr>
      </w:pPr>
      <w:r>
        <w:rPr>
          <w:rFonts w:hint="eastAsia"/>
          <w:b/>
          <w:sz w:val="36"/>
          <w:szCs w:val="36"/>
        </w:rPr>
        <w:t>二、机构设置及人员情况</w:t>
      </w:r>
    </w:p>
    <w:p w14:paraId="7228A04E">
      <w:pPr>
        <w:spacing w:line="480" w:lineRule="atLeast"/>
        <w:ind w:firstLine="640" w:firstLineChars="20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rPr>
        <w:t>5年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rPr>
        <w:t>庐山市市场监督管理局</w:t>
      </w:r>
      <w:r>
        <w:rPr>
          <w:rFonts w:hint="eastAsia" w:ascii="仿宋" w:hAnsi="仿宋" w:eastAsia="仿宋"/>
          <w:sz w:val="32"/>
          <w:szCs w:val="32"/>
        </w:rPr>
        <w:fldChar w:fldCharType="end"/>
      </w:r>
      <w:r>
        <w:rPr>
          <w:rFonts w:hint="eastAsia" w:ascii="仿宋" w:hAnsi="仿宋" w:eastAsia="仿宋"/>
          <w:sz w:val="32"/>
          <w:szCs w:val="32"/>
        </w:rPr>
        <w:t>共有预算单位2</w:t>
      </w:r>
      <w:r>
        <w:rPr>
          <w:rFonts w:ascii="仿宋" w:hAnsi="仿宋" w:eastAsia="仿宋"/>
          <w:sz w:val="32"/>
          <w:szCs w:val="32"/>
        </w:rPr>
        <w:t>个，包括</w:t>
      </w:r>
      <w:r>
        <w:rPr>
          <w:rFonts w:hint="eastAsia" w:ascii="仿宋" w:hAnsi="仿宋" w:eastAsia="仿宋"/>
          <w:sz w:val="32"/>
          <w:szCs w:val="32"/>
        </w:rPr>
        <w:t>本级和1</w:t>
      </w:r>
      <w:r>
        <w:rPr>
          <w:rFonts w:ascii="仿宋" w:hAnsi="仿宋" w:eastAsia="仿宋"/>
          <w:sz w:val="32"/>
          <w:szCs w:val="32"/>
        </w:rPr>
        <w:fldChar w:fldCharType="begin"/>
      </w:r>
      <w:r>
        <w:rPr>
          <w:rFonts w:ascii="仿宋" w:hAnsi="仿宋" w:eastAsia="仿宋"/>
          <w:sz w:val="32"/>
          <w:szCs w:val="32"/>
        </w:rPr>
        <w:instrText xml:space="preserve">MERGEFIELD ${page400644146.ds204012617_BMQKZDY_DIVNUMQK}</w:instrText>
      </w:r>
      <w:r>
        <w:rPr>
          <w:rFonts w:ascii="仿宋" w:hAnsi="仿宋" w:eastAsia="仿宋"/>
          <w:sz w:val="32"/>
          <w:szCs w:val="32"/>
        </w:rPr>
        <w:fldChar w:fldCharType="separate"/>
      </w:r>
      <w:r>
        <w:rPr>
          <w:rFonts w:ascii="仿宋" w:hAnsi="仿宋" w:eastAsia="仿宋"/>
          <w:sz w:val="32"/>
          <w:szCs w:val="32"/>
        </w:rPr>
        <w:t>个二级预算单位</w:t>
      </w:r>
      <w:r>
        <w:rPr>
          <w:rFonts w:ascii="仿宋" w:hAnsi="仿宋" w:eastAsia="仿宋"/>
          <w:sz w:val="32"/>
          <w:szCs w:val="32"/>
        </w:rPr>
        <w:fldChar w:fldCharType="end"/>
      </w:r>
      <w:r>
        <w:rPr>
          <w:rFonts w:ascii="仿宋" w:hAnsi="仿宋" w:eastAsia="仿宋"/>
          <w:sz w:val="32"/>
          <w:szCs w:val="32"/>
        </w:rPr>
        <w:t>，</w:t>
      </w:r>
      <w:r>
        <w:rPr>
          <w:rFonts w:hint="eastAsia" w:ascii="仿宋" w:hAnsi="仿宋" w:eastAsia="仿宋"/>
          <w:sz w:val="32"/>
          <w:szCs w:val="32"/>
        </w:rPr>
        <w:t>二级预算单位具体包括：</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rPr>
        <w:t>庐山市市场监督管理局</w:t>
      </w:r>
      <w:r>
        <w:rPr>
          <w:rFonts w:hint="eastAsia" w:ascii="仿宋" w:hAnsi="仿宋" w:eastAsia="仿宋"/>
          <w:sz w:val="32"/>
          <w:szCs w:val="32"/>
        </w:rPr>
        <w:fldChar w:fldCharType="end"/>
      </w:r>
      <w:r>
        <w:rPr>
          <w:rFonts w:hint="eastAsia" w:ascii="仿宋" w:hAnsi="仿宋" w:eastAsia="仿宋"/>
          <w:sz w:val="32"/>
          <w:szCs w:val="32"/>
        </w:rPr>
        <w:t>牯岭分局。</w:t>
      </w:r>
    </w:p>
    <w:p w14:paraId="435733C6">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rPr>
        <w:t>105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58</w:t>
      </w:r>
      <w:r>
        <w:rPr>
          <w:rFonts w:ascii="仿宋" w:hAnsi="仿宋" w:eastAsia="仿宋"/>
          <w:sz w:val="32"/>
          <w:szCs w:val="32"/>
        </w:rPr>
        <w:t>人,全部补助事业编制人数</w:t>
      </w:r>
      <w:r>
        <w:rPr>
          <w:rFonts w:hint="eastAsia" w:ascii="仿宋" w:hAnsi="仿宋" w:eastAsia="仿宋"/>
          <w:sz w:val="32"/>
          <w:szCs w:val="32"/>
        </w:rPr>
        <w:t>47</w:t>
      </w:r>
      <w:r>
        <w:rPr>
          <w:rFonts w:ascii="仿宋" w:hAnsi="仿宋" w:eastAsia="仿宋"/>
          <w:sz w:val="32"/>
          <w:szCs w:val="32"/>
        </w:rPr>
        <w:t>人,部分补助事业编制人数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101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rPr>
        <w:t>101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rPr>
        <w:t>54</w:t>
      </w:r>
      <w:r>
        <w:rPr>
          <w:rFonts w:ascii="仿宋" w:hAnsi="仿宋" w:eastAsia="仿宋"/>
          <w:sz w:val="32"/>
          <w:szCs w:val="32"/>
        </w:rPr>
        <w:t>人,全部补助事业在职人数</w:t>
      </w:r>
      <w:r>
        <w:rPr>
          <w:rFonts w:hint="eastAsia" w:ascii="仿宋" w:hAnsi="仿宋" w:eastAsia="仿宋"/>
          <w:sz w:val="32"/>
          <w:szCs w:val="32"/>
        </w:rPr>
        <w:t>47</w:t>
      </w:r>
      <w:r>
        <w:rPr>
          <w:rFonts w:ascii="仿宋" w:hAnsi="仿宋" w:eastAsia="仿宋"/>
          <w:sz w:val="32"/>
          <w:szCs w:val="32"/>
        </w:rPr>
        <w:t>人,部分补助事业在职人数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0</w:t>
      </w:r>
      <w:r>
        <w:rPr>
          <w:rFonts w:ascii="仿宋" w:hAnsi="仿宋" w:eastAsia="仿宋"/>
          <w:sz w:val="32"/>
          <w:szCs w:val="32"/>
        </w:rPr>
        <w:t>人,退休人数小计</w:t>
      </w:r>
      <w:r>
        <w:rPr>
          <w:rFonts w:hint="eastAsia" w:ascii="仿宋" w:hAnsi="仿宋" w:eastAsia="仿宋"/>
          <w:sz w:val="32"/>
          <w:szCs w:val="32"/>
        </w:rPr>
        <w:t>105</w:t>
      </w:r>
      <w:r>
        <w:rPr>
          <w:rFonts w:ascii="仿宋" w:hAnsi="仿宋" w:eastAsia="仿宋"/>
          <w:sz w:val="32"/>
          <w:szCs w:val="32"/>
        </w:rPr>
        <w:t>人,遗属人数</w:t>
      </w:r>
      <w:r>
        <w:rPr>
          <w:rFonts w:hint="eastAsia" w:ascii="仿宋" w:hAnsi="仿宋" w:eastAsia="仿宋"/>
          <w:sz w:val="32"/>
          <w:szCs w:val="32"/>
        </w:rPr>
        <w:t>9</w:t>
      </w:r>
      <w:r>
        <w:rPr>
          <w:rFonts w:ascii="仿宋" w:hAnsi="仿宋" w:eastAsia="仿宋"/>
          <w:sz w:val="32"/>
          <w:szCs w:val="32"/>
        </w:rPr>
        <w:t>人。</w:t>
      </w:r>
      <w:r>
        <w:fldChar w:fldCharType="end"/>
      </w:r>
    </w:p>
    <w:p w14:paraId="0369FA31">
      <w:pPr>
        <w:widowControl/>
        <w:spacing w:line="580" w:lineRule="exact"/>
        <w:jc w:val="center"/>
        <w:rPr>
          <w:rFonts w:ascii="仿宋_GB2312" w:eastAsia="仿宋_GB2312"/>
          <w:b/>
          <w:szCs w:val="30"/>
        </w:rPr>
      </w:pPr>
    </w:p>
    <w:p w14:paraId="13AFD350">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庐山市市场监督管理局</w:t>
      </w:r>
      <w:r>
        <w:fldChar w:fldCharType="end"/>
      </w:r>
      <w:r>
        <w:rPr>
          <w:rFonts w:hint="eastAsia" w:ascii="仿宋_GB2312" w:eastAsia="仿宋_GB2312"/>
          <w:b/>
          <w:sz w:val="32"/>
          <w:szCs w:val="30"/>
        </w:rPr>
        <w:t>2025年部门预算表</w:t>
      </w:r>
    </w:p>
    <w:p w14:paraId="5B4A6FAA">
      <w:pPr>
        <w:ind w:firstLine="640" w:firstLineChars="200"/>
        <w:jc w:val="left"/>
        <w:rPr>
          <w:rFonts w:hint="eastAsia" w:ascii="仿宋" w:hAnsi="仿宋" w:eastAsia="仿宋"/>
          <w:bCs/>
          <w:sz w:val="32"/>
          <w:szCs w:val="32"/>
        </w:rPr>
      </w:pPr>
      <w:r>
        <w:rPr>
          <w:rFonts w:hint="eastAsia" w:ascii="仿宋" w:hAnsi="仿宋" w:eastAsia="仿宋"/>
          <w:bCs/>
          <w:sz w:val="32"/>
          <w:szCs w:val="32"/>
        </w:rPr>
        <w:t>（详见附表）</w:t>
      </w:r>
    </w:p>
    <w:p w14:paraId="51AAB129">
      <w:pPr>
        <w:ind w:firstLine="640" w:firstLineChars="200"/>
        <w:jc w:val="left"/>
        <w:rPr>
          <w:rStyle w:val="10"/>
          <w:rFonts w:hint="eastAsia" w:ascii="仿宋" w:hAnsi="仿宋" w:eastAsia="仿宋"/>
          <w:bCs/>
          <w:sz w:val="32"/>
          <w:szCs w:val="32"/>
        </w:rPr>
      </w:pPr>
    </w:p>
    <w:p w14:paraId="1C5B5B05">
      <w:pPr>
        <w:ind w:firstLine="640" w:firstLineChars="200"/>
        <w:jc w:val="left"/>
        <w:rPr>
          <w:rStyle w:val="10"/>
          <w:rFonts w:hint="eastAsia" w:ascii="仿宋" w:hAnsi="仿宋" w:eastAsia="仿宋"/>
          <w:bCs/>
          <w:sz w:val="32"/>
          <w:szCs w:val="32"/>
        </w:rPr>
      </w:pPr>
    </w:p>
    <w:p w14:paraId="77BFA295">
      <w:pPr>
        <w:ind w:firstLine="640" w:firstLineChars="200"/>
        <w:jc w:val="left"/>
        <w:rPr>
          <w:rStyle w:val="10"/>
          <w:rFonts w:hint="eastAsia" w:ascii="仿宋" w:hAnsi="仿宋" w:eastAsia="仿宋"/>
          <w:bCs/>
          <w:sz w:val="32"/>
          <w:szCs w:val="32"/>
        </w:rPr>
      </w:pPr>
    </w:p>
    <w:p w14:paraId="0DCD312F">
      <w:pPr>
        <w:ind w:firstLine="640" w:firstLineChars="200"/>
        <w:jc w:val="left"/>
        <w:rPr>
          <w:rStyle w:val="10"/>
          <w:rFonts w:hint="eastAsia" w:ascii="仿宋" w:hAnsi="仿宋" w:eastAsia="仿宋"/>
          <w:bCs/>
          <w:sz w:val="32"/>
          <w:szCs w:val="32"/>
        </w:rPr>
      </w:pPr>
    </w:p>
    <w:p w14:paraId="13E47FB7">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庐山市市场监督管理局</w:t>
      </w:r>
      <w:r>
        <w:fldChar w:fldCharType="end"/>
      </w:r>
      <w:r>
        <w:rPr>
          <w:rFonts w:hint="eastAsia" w:ascii="仿宋_GB2312" w:eastAsia="仿宋_GB2312"/>
          <w:b/>
          <w:sz w:val="32"/>
          <w:szCs w:val="30"/>
        </w:rPr>
        <w:t>2025年部门预算情况说明</w:t>
      </w:r>
    </w:p>
    <w:p w14:paraId="40044654">
      <w:pPr>
        <w:widowControl/>
        <w:spacing w:line="580" w:lineRule="exact"/>
        <w:jc w:val="center"/>
        <w:rPr>
          <w:rFonts w:ascii="仿宋_GB2312" w:eastAsia="仿宋_GB2312"/>
          <w:b/>
          <w:sz w:val="32"/>
          <w:szCs w:val="30"/>
        </w:rPr>
      </w:pPr>
    </w:p>
    <w:p w14:paraId="7F0ADCDA">
      <w:pPr>
        <w:widowControl/>
        <w:spacing w:line="580" w:lineRule="exact"/>
        <w:jc w:val="left"/>
        <w:rPr>
          <w:rFonts w:ascii="楷体_GB2312" w:eastAsia="楷体_GB2312"/>
          <w:b/>
          <w:sz w:val="32"/>
          <w:szCs w:val="30"/>
        </w:rPr>
      </w:pPr>
      <w:r>
        <w:rPr>
          <w:rFonts w:hint="eastAsia" w:ascii="楷体_GB2312" w:eastAsia="楷体_GB2312"/>
          <w:b/>
          <w:sz w:val="32"/>
          <w:szCs w:val="30"/>
        </w:rPr>
        <w:t>一、2025年部门预算收支情况说明</w:t>
      </w:r>
    </w:p>
    <w:p w14:paraId="5EC79D51">
      <w:pPr>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2AEB0BA9">
      <w:pPr>
        <w:widowControl/>
        <w:ind w:firstLine="640" w:firstLineChars="200"/>
        <w:rPr>
          <w:rFonts w:hint="eastAsia" w:ascii="仿宋" w:hAnsi="仿宋" w:eastAsia="宋体" w:cs="Times New Roman"/>
          <w:color w:val="FF0000"/>
          <w:kern w:val="0"/>
          <w:sz w:val="32"/>
          <w:szCs w:val="32"/>
        </w:rPr>
      </w:pPr>
      <w:r>
        <w:rPr>
          <w:rFonts w:ascii="仿宋" w:hAnsi="仿宋" w:eastAsia="仿宋" w:cs="Times New Roman"/>
          <w:kern w:val="0"/>
          <w:sz w:val="32"/>
          <w:szCs w:val="32"/>
        </w:rPr>
        <w:t>202</w:t>
      </w:r>
      <w:r>
        <w:rPr>
          <w:rFonts w:hint="eastAsia" w:ascii="仿宋" w:hAnsi="仿宋" w:eastAsia="仿宋" w:cs="Times New Roman"/>
          <w:kern w:val="0"/>
          <w:sz w:val="32"/>
          <w:szCs w:val="32"/>
        </w:rPr>
        <w:t>5年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庐山市市场监督管理局</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收入预算总额为2642.72万元,较上年预算安排减少</w:t>
      </w:r>
      <w:r>
        <w:rPr>
          <w:rFonts w:hint="eastAsia" w:ascii="仿宋" w:hAnsi="仿宋" w:eastAsia="仿宋" w:cs="Times New Roman"/>
          <w:kern w:val="0"/>
          <w:sz w:val="32"/>
          <w:szCs w:val="32"/>
        </w:rPr>
        <w:t>99</w:t>
      </w:r>
      <w:r>
        <w:rPr>
          <w:rFonts w:ascii="仿宋" w:hAnsi="仿宋" w:eastAsia="仿宋" w:cs="Times New Roman"/>
          <w:kern w:val="0"/>
          <w:sz w:val="32"/>
          <w:szCs w:val="32"/>
          <w:lang w:val="en-GB"/>
        </w:rPr>
        <w:t>.</w:t>
      </w:r>
      <w:r>
        <w:rPr>
          <w:rFonts w:hint="eastAsia" w:ascii="仿宋" w:hAnsi="仿宋" w:eastAsia="仿宋" w:cs="Times New Roman"/>
          <w:kern w:val="0"/>
          <w:sz w:val="32"/>
          <w:szCs w:val="32"/>
        </w:rPr>
        <w:t>46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财政拨款收入2642.72万元,较上年预算安排减少</w:t>
      </w:r>
      <w:r>
        <w:rPr>
          <w:rFonts w:hint="eastAsia" w:ascii="仿宋" w:hAnsi="仿宋" w:eastAsia="仿宋" w:cs="Times New Roman"/>
          <w:kern w:val="0"/>
          <w:sz w:val="32"/>
          <w:szCs w:val="32"/>
        </w:rPr>
        <w:t>99</w:t>
      </w:r>
      <w:r>
        <w:rPr>
          <w:rFonts w:ascii="仿宋" w:hAnsi="仿宋" w:eastAsia="仿宋" w:cs="Times New Roman"/>
          <w:kern w:val="0"/>
          <w:sz w:val="32"/>
          <w:szCs w:val="32"/>
          <w:lang w:val="en-GB"/>
        </w:rPr>
        <w:t>.</w:t>
      </w:r>
      <w:r>
        <w:rPr>
          <w:rFonts w:hint="eastAsia" w:ascii="仿宋" w:hAnsi="仿宋" w:eastAsia="仿宋" w:cs="Times New Roman"/>
          <w:kern w:val="0"/>
          <w:sz w:val="32"/>
          <w:szCs w:val="32"/>
        </w:rPr>
        <w:t>46</w:t>
      </w:r>
      <w:r>
        <w:rPr>
          <w:rFonts w:ascii="仿宋" w:hAnsi="仿宋" w:eastAsia="仿宋" w:cs="Times New Roman"/>
          <w:kern w:val="0"/>
          <w:sz w:val="32"/>
          <w:szCs w:val="32"/>
        </w:rPr>
        <w:t>万元;事业单位经营收入0万元,较上年预算安排增加0万元。</w:t>
      </w:r>
      <w:r>
        <w:fldChar w:fldCharType="end"/>
      </w:r>
      <w:r>
        <w:rPr>
          <w:rFonts w:hint="eastAsia" w:ascii="仿宋" w:hAnsi="仿宋" w:eastAsia="仿宋" w:cs="Times New Roman"/>
          <w:kern w:val="0"/>
          <w:sz w:val="32"/>
          <w:szCs w:val="32"/>
        </w:rPr>
        <w:t>减少变化原因为人员减少，相关工资社保类减少</w:t>
      </w:r>
      <w:r>
        <w:rPr>
          <w:rFonts w:hint="eastAsia" w:ascii="仿宋" w:hAnsi="仿宋" w:eastAsia="仿宋" w:cs="Times New Roman"/>
          <w:kern w:val="0"/>
          <w:sz w:val="32"/>
          <w:szCs w:val="32"/>
          <w:lang w:val="en-GB"/>
        </w:rPr>
        <w:t>且</w:t>
      </w:r>
      <w:r>
        <w:rPr>
          <w:rFonts w:hint="eastAsia" w:ascii="仿宋" w:hAnsi="仿宋" w:eastAsia="仿宋" w:cs="Times New Roman"/>
          <w:kern w:val="0"/>
          <w:sz w:val="32"/>
          <w:szCs w:val="32"/>
        </w:rPr>
        <w:t>2025年项目资金较上年有所缩减。</w:t>
      </w:r>
    </w:p>
    <w:p w14:paraId="162B2711">
      <w:pPr>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10867465">
      <w:pPr>
        <w:widowControl/>
        <w:ind w:firstLine="640" w:firstLineChars="200"/>
        <w:rPr>
          <w:rFonts w:hint="eastAsia" w:ascii="仿宋" w:hAnsi="仿宋" w:eastAsia="宋体" w:cs="Times New Roman"/>
          <w:color w:val="FF0000"/>
          <w:kern w:val="0"/>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5年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庐山市市场监督管理局</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Fonts w:ascii="仿宋" w:hAnsi="仿宋" w:eastAsia="仿宋" w:cs="Times New Roman"/>
          <w:kern w:val="0"/>
          <w:sz w:val="32"/>
          <w:szCs w:val="32"/>
        </w:rPr>
        <w:t>2642.72</w:t>
      </w:r>
      <w:r>
        <w:rPr>
          <w:rStyle w:val="10"/>
          <w:rFonts w:ascii="仿宋" w:hAnsi="仿宋" w:eastAsia="仿宋"/>
          <w:sz w:val="32"/>
          <w:szCs w:val="32"/>
        </w:rPr>
        <w:t>万元,较上年预算安排</w:t>
      </w:r>
      <w:r>
        <w:rPr>
          <w:rFonts w:ascii="仿宋" w:hAnsi="仿宋" w:eastAsia="仿宋" w:cs="Times New Roman"/>
          <w:kern w:val="0"/>
          <w:sz w:val="32"/>
          <w:szCs w:val="32"/>
        </w:rPr>
        <w:t>减少</w:t>
      </w:r>
      <w:r>
        <w:rPr>
          <w:rFonts w:hint="eastAsia" w:ascii="仿宋" w:hAnsi="仿宋" w:eastAsia="仿宋" w:cs="Times New Roman"/>
          <w:kern w:val="0"/>
          <w:sz w:val="32"/>
          <w:szCs w:val="32"/>
        </w:rPr>
        <w:t>99</w:t>
      </w:r>
      <w:r>
        <w:rPr>
          <w:rFonts w:ascii="仿宋" w:hAnsi="仿宋" w:eastAsia="仿宋" w:cs="Times New Roman"/>
          <w:kern w:val="0"/>
          <w:sz w:val="32"/>
          <w:szCs w:val="32"/>
          <w:lang w:val="en-GB"/>
        </w:rPr>
        <w:t>.</w:t>
      </w:r>
      <w:r>
        <w:rPr>
          <w:rFonts w:hint="eastAsia" w:ascii="仿宋" w:hAnsi="仿宋" w:eastAsia="仿宋" w:cs="Times New Roman"/>
          <w:kern w:val="0"/>
          <w:sz w:val="32"/>
          <w:szCs w:val="32"/>
        </w:rPr>
        <w:t>46</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减少变化原因为人员减少，相关工资社保类减少</w:t>
      </w:r>
      <w:r>
        <w:rPr>
          <w:rFonts w:hint="eastAsia" w:ascii="仿宋" w:hAnsi="仿宋" w:eastAsia="仿宋" w:cs="Times New Roman"/>
          <w:kern w:val="0"/>
          <w:sz w:val="32"/>
          <w:szCs w:val="32"/>
          <w:lang w:val="en-GB"/>
        </w:rPr>
        <w:t>且</w:t>
      </w:r>
      <w:r>
        <w:rPr>
          <w:rFonts w:hint="eastAsia" w:ascii="仿宋" w:hAnsi="仿宋" w:eastAsia="仿宋" w:cs="Times New Roman"/>
          <w:kern w:val="0"/>
          <w:sz w:val="32"/>
          <w:szCs w:val="32"/>
        </w:rPr>
        <w:t>2025年项目资金较上年有所缩减。</w:t>
      </w:r>
    </w:p>
    <w:p w14:paraId="112C0988">
      <w:pPr>
        <w:ind w:firstLine="640" w:firstLineChars="200"/>
        <w:rPr>
          <w:rStyle w:val="10"/>
          <w:rFonts w:hint="eastAsia" w:ascii="仿宋" w:hAnsi="仿宋" w:eastAsia="仿宋"/>
          <w:sz w:val="32"/>
          <w:szCs w:val="32"/>
        </w:rPr>
      </w:pPr>
      <w:r>
        <w:rPr>
          <w:rStyle w:val="10"/>
          <w:rFonts w:hint="eastAsia" w:ascii="仿宋" w:hAnsi="仿宋" w:eastAsia="仿宋"/>
          <w:sz w:val="32"/>
          <w:szCs w:val="32"/>
        </w:rPr>
        <w:t>其中：按支出项目类别划分：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rPr>
        <w:t>2041.10</w:t>
      </w:r>
      <w:r>
        <w:rPr>
          <w:rStyle w:val="10"/>
          <w:rFonts w:ascii="仿宋" w:hAnsi="仿宋" w:eastAsia="仿宋"/>
          <w:sz w:val="32"/>
          <w:szCs w:val="32"/>
        </w:rPr>
        <w:t>万元,较上年预算安排减少</w:t>
      </w:r>
      <w:r>
        <w:rPr>
          <w:rStyle w:val="10"/>
          <w:rFonts w:hint="eastAsia" w:ascii="仿宋" w:hAnsi="仿宋" w:eastAsia="仿宋"/>
          <w:sz w:val="32"/>
          <w:szCs w:val="32"/>
        </w:rPr>
        <w:t>117.12</w:t>
      </w:r>
      <w:r>
        <w:rPr>
          <w:rStyle w:val="10"/>
          <w:rFonts w:ascii="仿宋" w:hAnsi="仿宋" w:eastAsia="仿宋"/>
          <w:sz w:val="32"/>
          <w:szCs w:val="32"/>
        </w:rPr>
        <w:t>万元;其中：工资福利支出</w:t>
      </w:r>
      <w:r>
        <w:rPr>
          <w:rStyle w:val="10"/>
          <w:rFonts w:hint="eastAsia" w:ascii="仿宋" w:hAnsi="仿宋" w:eastAsia="仿宋"/>
          <w:sz w:val="32"/>
          <w:szCs w:val="32"/>
        </w:rPr>
        <w:t>1583.33</w:t>
      </w:r>
      <w:r>
        <w:rPr>
          <w:rStyle w:val="10"/>
          <w:rFonts w:ascii="仿宋" w:hAnsi="仿宋" w:eastAsia="仿宋"/>
          <w:sz w:val="32"/>
          <w:szCs w:val="32"/>
        </w:rPr>
        <w:t>万元,商品和服务支出</w:t>
      </w:r>
      <w:r>
        <w:rPr>
          <w:rStyle w:val="10"/>
          <w:rFonts w:hint="eastAsia" w:ascii="仿宋" w:hAnsi="仿宋" w:eastAsia="仿宋"/>
          <w:sz w:val="32"/>
          <w:szCs w:val="32"/>
        </w:rPr>
        <w:t>186.26</w:t>
      </w:r>
      <w:r>
        <w:rPr>
          <w:rStyle w:val="10"/>
          <w:rFonts w:ascii="仿宋" w:hAnsi="仿宋" w:eastAsia="仿宋"/>
          <w:sz w:val="32"/>
          <w:szCs w:val="32"/>
        </w:rPr>
        <w:t>万元,对个人和家庭的补助</w:t>
      </w:r>
      <w:r>
        <w:rPr>
          <w:rStyle w:val="10"/>
          <w:rFonts w:hint="eastAsia" w:ascii="仿宋" w:hAnsi="仿宋" w:eastAsia="仿宋"/>
          <w:sz w:val="32"/>
          <w:szCs w:val="32"/>
        </w:rPr>
        <w:t>266.56</w:t>
      </w:r>
      <w:r>
        <w:rPr>
          <w:rStyle w:val="10"/>
          <w:rFonts w:ascii="仿宋" w:hAnsi="仿宋" w:eastAsia="仿宋"/>
          <w:sz w:val="32"/>
          <w:szCs w:val="32"/>
        </w:rPr>
        <w:t>万元,资本性支出</w:t>
      </w:r>
      <w:r>
        <w:rPr>
          <w:rStyle w:val="10"/>
          <w:rFonts w:hint="eastAsia" w:ascii="仿宋" w:hAnsi="仿宋" w:eastAsia="仿宋"/>
          <w:sz w:val="32"/>
          <w:szCs w:val="32"/>
        </w:rPr>
        <w:t>2.95</w:t>
      </w:r>
      <w:r>
        <w:rPr>
          <w:rStyle w:val="10"/>
          <w:rFonts w:ascii="仿宋" w:hAnsi="仿宋" w:eastAsia="仿宋"/>
          <w:sz w:val="32"/>
          <w:szCs w:val="32"/>
        </w:rPr>
        <w:t>万元；</w:t>
      </w:r>
      <w:r>
        <w:fldChar w:fldCharType="end"/>
      </w:r>
      <w:r>
        <w:rPr>
          <w:rStyle w:val="10"/>
          <w:rFonts w:ascii="仿宋" w:hAnsi="仿宋" w:eastAsia="仿宋"/>
          <w:sz w:val="32"/>
          <w:szCs w:val="32"/>
        </w:rPr>
        <w:t xml:space="preserve"> </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rPr>
        <w:t>601.62</w:t>
      </w:r>
      <w:r>
        <w:rPr>
          <w:rStyle w:val="10"/>
          <w:rFonts w:ascii="仿宋" w:hAnsi="仿宋" w:eastAsia="仿宋"/>
          <w:sz w:val="32"/>
          <w:szCs w:val="32"/>
        </w:rPr>
        <w:t>万元,较上年预算安排增加</w:t>
      </w:r>
      <w:r>
        <w:rPr>
          <w:rStyle w:val="10"/>
          <w:rFonts w:hint="eastAsia" w:ascii="仿宋" w:hAnsi="仿宋" w:eastAsia="仿宋"/>
          <w:sz w:val="32"/>
          <w:szCs w:val="32"/>
        </w:rPr>
        <w:t>17.66</w:t>
      </w:r>
      <w:r>
        <w:rPr>
          <w:rStyle w:val="10"/>
          <w:rFonts w:ascii="仿宋" w:hAnsi="仿宋" w:eastAsia="仿宋"/>
          <w:sz w:val="32"/>
          <w:szCs w:val="32"/>
        </w:rPr>
        <w:t>万元;其中：商品和服务支出</w:t>
      </w:r>
      <w:r>
        <w:rPr>
          <w:rStyle w:val="10"/>
          <w:rFonts w:hint="eastAsia" w:ascii="仿宋" w:hAnsi="仿宋" w:eastAsia="仿宋"/>
          <w:sz w:val="32"/>
          <w:szCs w:val="32"/>
        </w:rPr>
        <w:t>599.85</w:t>
      </w:r>
      <w:r>
        <w:rPr>
          <w:rStyle w:val="10"/>
          <w:rFonts w:ascii="仿宋" w:hAnsi="仿宋" w:eastAsia="仿宋"/>
          <w:sz w:val="32"/>
          <w:szCs w:val="32"/>
        </w:rPr>
        <w:t>万元,资本性支出</w:t>
      </w:r>
      <w:r>
        <w:rPr>
          <w:rStyle w:val="10"/>
          <w:rFonts w:hint="eastAsia" w:ascii="仿宋" w:hAnsi="仿宋" w:eastAsia="仿宋"/>
          <w:sz w:val="32"/>
          <w:szCs w:val="32"/>
        </w:rPr>
        <w:t>1.77</w:t>
      </w:r>
      <w:r>
        <w:rPr>
          <w:rStyle w:val="10"/>
          <w:rFonts w:ascii="仿宋" w:hAnsi="仿宋" w:eastAsia="仿宋"/>
          <w:sz w:val="32"/>
          <w:szCs w:val="32"/>
        </w:rPr>
        <w:t>万元。</w:t>
      </w:r>
      <w:r>
        <w:fldChar w:fldCharType="end"/>
      </w:r>
    </w:p>
    <w:p w14:paraId="61765AC8">
      <w:pPr>
        <w:ind w:firstLine="640" w:firstLineChars="200"/>
        <w:rPr>
          <w:rStyle w:val="10"/>
          <w:rFonts w:hint="eastAsia"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rPr>
        <w:t>1969.95</w:t>
      </w:r>
      <w:r>
        <w:rPr>
          <w:rStyle w:val="10"/>
          <w:rFonts w:ascii="仿宋" w:hAnsi="仿宋" w:eastAsia="仿宋"/>
          <w:sz w:val="32"/>
          <w:szCs w:val="32"/>
        </w:rPr>
        <w:t>万元,较上年预算安排减少</w:t>
      </w:r>
      <w:r>
        <w:rPr>
          <w:rStyle w:val="10"/>
          <w:rFonts w:hint="eastAsia" w:ascii="仿宋" w:hAnsi="仿宋" w:eastAsia="仿宋"/>
          <w:sz w:val="32"/>
          <w:szCs w:val="32"/>
        </w:rPr>
        <w:t>262.27</w:t>
      </w:r>
      <w:r>
        <w:rPr>
          <w:rStyle w:val="10"/>
          <w:rFonts w:ascii="仿宋" w:hAnsi="仿宋" w:eastAsia="仿宋"/>
          <w:sz w:val="32"/>
          <w:szCs w:val="32"/>
        </w:rPr>
        <w:t>万元;</w:t>
      </w:r>
      <w:r>
        <w:rPr>
          <w:rFonts w:hAnsi="仿宋"/>
          <w:bCs/>
        </w:rPr>
        <w:t xml:space="preserve"> </w:t>
      </w:r>
      <w:r>
        <w:rPr>
          <w:rStyle w:val="10"/>
          <w:rFonts w:ascii="仿宋" w:hAnsi="仿宋" w:eastAsia="仿宋"/>
          <w:sz w:val="32"/>
          <w:szCs w:val="32"/>
        </w:rPr>
        <w:t>社会保障和就业支出</w:t>
      </w:r>
      <w:r>
        <w:rPr>
          <w:rStyle w:val="10"/>
          <w:rFonts w:hint="eastAsia" w:ascii="仿宋" w:hAnsi="仿宋" w:eastAsia="仿宋"/>
          <w:sz w:val="32"/>
          <w:szCs w:val="32"/>
        </w:rPr>
        <w:t>439.17</w:t>
      </w:r>
      <w:r>
        <w:rPr>
          <w:rStyle w:val="10"/>
          <w:rFonts w:ascii="仿宋" w:hAnsi="仿宋" w:eastAsia="仿宋"/>
          <w:sz w:val="32"/>
          <w:szCs w:val="32"/>
        </w:rPr>
        <w:t>万元,较上年预算安排增加</w:t>
      </w:r>
      <w:r>
        <w:rPr>
          <w:rStyle w:val="10"/>
          <w:rFonts w:hint="eastAsia" w:ascii="仿宋" w:hAnsi="仿宋" w:eastAsia="仿宋"/>
          <w:sz w:val="32"/>
          <w:szCs w:val="32"/>
        </w:rPr>
        <w:t>173.78</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卫生健康支出</w:t>
      </w:r>
      <w:r>
        <w:rPr>
          <w:rStyle w:val="10"/>
          <w:rFonts w:hint="eastAsia" w:ascii="仿宋" w:hAnsi="仿宋" w:eastAsia="仿宋"/>
          <w:sz w:val="32"/>
          <w:szCs w:val="32"/>
        </w:rPr>
        <w:t>101.34</w:t>
      </w:r>
      <w:r>
        <w:rPr>
          <w:rStyle w:val="10"/>
          <w:rFonts w:ascii="仿宋" w:hAnsi="仿宋" w:eastAsia="仿宋"/>
          <w:sz w:val="32"/>
          <w:szCs w:val="32"/>
        </w:rPr>
        <w:t>万元,较上年预算安排减少</w:t>
      </w:r>
      <w:r>
        <w:rPr>
          <w:rStyle w:val="10"/>
          <w:rFonts w:hint="eastAsia" w:ascii="仿宋" w:hAnsi="仿宋" w:eastAsia="仿宋"/>
          <w:sz w:val="32"/>
          <w:szCs w:val="32"/>
        </w:rPr>
        <w:t>1.46</w:t>
      </w:r>
      <w:r>
        <w:rPr>
          <w:rStyle w:val="10"/>
          <w:rFonts w:ascii="仿宋" w:hAnsi="仿宋" w:eastAsia="仿宋"/>
          <w:sz w:val="32"/>
          <w:szCs w:val="32"/>
        </w:rPr>
        <w:t>万元;住房保障支出</w:t>
      </w:r>
      <w:r>
        <w:rPr>
          <w:rStyle w:val="10"/>
          <w:rFonts w:hint="eastAsia" w:ascii="仿宋" w:hAnsi="仿宋" w:eastAsia="仿宋"/>
          <w:sz w:val="32"/>
          <w:szCs w:val="32"/>
        </w:rPr>
        <w:t>132.26</w:t>
      </w:r>
      <w:r>
        <w:rPr>
          <w:rStyle w:val="10"/>
          <w:rFonts w:ascii="仿宋" w:hAnsi="仿宋" w:eastAsia="仿宋"/>
          <w:sz w:val="32"/>
          <w:szCs w:val="32"/>
        </w:rPr>
        <w:t>万元,较上年预算安排减少</w:t>
      </w:r>
      <w:r>
        <w:rPr>
          <w:rStyle w:val="10"/>
          <w:rFonts w:hint="eastAsia" w:ascii="仿宋" w:hAnsi="仿宋" w:eastAsia="仿宋"/>
          <w:sz w:val="32"/>
          <w:szCs w:val="32"/>
        </w:rPr>
        <w:t>9.51</w:t>
      </w:r>
      <w:r>
        <w:rPr>
          <w:rStyle w:val="10"/>
          <w:rFonts w:ascii="仿宋" w:hAnsi="仿宋" w:eastAsia="仿宋"/>
          <w:sz w:val="32"/>
          <w:szCs w:val="32"/>
        </w:rPr>
        <w:t>万元。</w:t>
      </w:r>
      <w:r>
        <w:fldChar w:fldCharType="end"/>
      </w:r>
    </w:p>
    <w:p w14:paraId="14858339">
      <w:pPr>
        <w:ind w:firstLine="640" w:firstLineChars="200"/>
      </w:pPr>
      <w:r>
        <w:rPr>
          <w:rStyle w:val="10"/>
          <w:rFonts w:hint="eastAsia" w:ascii="仿宋" w:hAnsi="仿宋" w:eastAsia="仿宋"/>
          <w:sz w:val="32"/>
          <w:szCs w:val="32"/>
        </w:rPr>
        <w:t>按支出经济分类划分：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rPr>
        <w:t>1583.33</w:t>
      </w:r>
      <w:r>
        <w:rPr>
          <w:rStyle w:val="10"/>
          <w:rFonts w:ascii="仿宋" w:hAnsi="仿宋" w:eastAsia="仿宋"/>
          <w:sz w:val="32"/>
          <w:szCs w:val="32"/>
        </w:rPr>
        <w:t>万元,较上年预算安排减少</w:t>
      </w:r>
      <w:r>
        <w:rPr>
          <w:rStyle w:val="10"/>
          <w:rFonts w:hint="eastAsia" w:ascii="仿宋" w:hAnsi="仿宋" w:eastAsia="仿宋"/>
          <w:sz w:val="32"/>
          <w:szCs w:val="32"/>
        </w:rPr>
        <w:t>665.91</w:t>
      </w:r>
      <w:r>
        <w:rPr>
          <w:rStyle w:val="10"/>
          <w:rFonts w:ascii="仿宋" w:hAnsi="仿宋" w:eastAsia="仿宋"/>
          <w:sz w:val="32"/>
          <w:szCs w:val="32"/>
        </w:rPr>
        <w:t>万元;商品和服务支出</w:t>
      </w:r>
      <w:r>
        <w:rPr>
          <w:rStyle w:val="10"/>
          <w:rFonts w:hint="eastAsia" w:ascii="仿宋" w:hAnsi="仿宋" w:eastAsia="仿宋"/>
          <w:sz w:val="32"/>
          <w:szCs w:val="32"/>
        </w:rPr>
        <w:t>786.11</w:t>
      </w:r>
      <w:r>
        <w:rPr>
          <w:rStyle w:val="10"/>
          <w:rFonts w:ascii="仿宋" w:hAnsi="仿宋" w:eastAsia="仿宋"/>
          <w:sz w:val="32"/>
          <w:szCs w:val="32"/>
        </w:rPr>
        <w:t>万元,较上年预算安排增加</w:t>
      </w:r>
      <w:r>
        <w:rPr>
          <w:rStyle w:val="10"/>
          <w:rFonts w:hint="eastAsia" w:ascii="仿宋" w:hAnsi="仿宋" w:eastAsia="仿宋"/>
          <w:sz w:val="32"/>
          <w:szCs w:val="32"/>
        </w:rPr>
        <w:t>347.65</w:t>
      </w:r>
      <w:r>
        <w:rPr>
          <w:rStyle w:val="10"/>
          <w:rFonts w:ascii="仿宋" w:hAnsi="仿宋" w:eastAsia="仿宋"/>
          <w:sz w:val="32"/>
          <w:szCs w:val="32"/>
        </w:rPr>
        <w:t>万元;对个人和家庭的补助</w:t>
      </w:r>
      <w:r>
        <w:rPr>
          <w:rStyle w:val="10"/>
          <w:rFonts w:hint="eastAsia" w:ascii="仿宋" w:hAnsi="仿宋" w:eastAsia="仿宋"/>
          <w:sz w:val="32"/>
          <w:szCs w:val="32"/>
        </w:rPr>
        <w:t>266.56</w:t>
      </w:r>
      <w:r>
        <w:rPr>
          <w:rStyle w:val="10"/>
          <w:rFonts w:ascii="仿宋" w:hAnsi="仿宋" w:eastAsia="仿宋"/>
          <w:sz w:val="32"/>
          <w:szCs w:val="32"/>
        </w:rPr>
        <w:t>万元,较上年预算安排增加</w:t>
      </w:r>
      <w:r>
        <w:rPr>
          <w:rStyle w:val="10"/>
          <w:rFonts w:hint="eastAsia" w:ascii="仿宋" w:hAnsi="仿宋" w:eastAsia="仿宋"/>
          <w:sz w:val="32"/>
          <w:szCs w:val="32"/>
        </w:rPr>
        <w:t>228.08</w:t>
      </w:r>
      <w:r>
        <w:rPr>
          <w:rStyle w:val="10"/>
          <w:rFonts w:ascii="仿宋" w:hAnsi="仿宋" w:eastAsia="仿宋"/>
          <w:sz w:val="32"/>
          <w:szCs w:val="32"/>
        </w:rPr>
        <w:t>万元;资本性支出</w:t>
      </w:r>
      <w:r>
        <w:rPr>
          <w:rStyle w:val="10"/>
          <w:rFonts w:hint="eastAsia" w:ascii="仿宋" w:hAnsi="仿宋" w:eastAsia="仿宋"/>
          <w:sz w:val="32"/>
          <w:szCs w:val="32"/>
        </w:rPr>
        <w:t>4.72</w:t>
      </w:r>
      <w:r>
        <w:rPr>
          <w:rStyle w:val="10"/>
          <w:rFonts w:ascii="仿宋" w:hAnsi="仿宋" w:eastAsia="仿宋"/>
          <w:sz w:val="32"/>
          <w:szCs w:val="32"/>
        </w:rPr>
        <w:t>万元,较上年预算安排减少</w:t>
      </w:r>
      <w:r>
        <w:rPr>
          <w:rStyle w:val="10"/>
          <w:rFonts w:hint="eastAsia" w:ascii="仿宋" w:hAnsi="仿宋" w:eastAsia="仿宋"/>
          <w:sz w:val="32"/>
          <w:szCs w:val="32"/>
        </w:rPr>
        <w:t>9.28</w:t>
      </w:r>
      <w:r>
        <w:rPr>
          <w:rStyle w:val="10"/>
          <w:rFonts w:ascii="仿宋" w:hAnsi="仿宋" w:eastAsia="仿宋"/>
          <w:sz w:val="32"/>
          <w:szCs w:val="32"/>
        </w:rPr>
        <w:t>万元。</w:t>
      </w:r>
      <w:r>
        <w:fldChar w:fldCharType="end"/>
      </w:r>
    </w:p>
    <w:p w14:paraId="7CE7B6A1">
      <w:p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(三)财政拨款支出情况</w:t>
      </w:r>
    </w:p>
    <w:p w14:paraId="6056461B">
      <w:pPr>
        <w:widowControl/>
        <w:ind w:firstLine="640" w:firstLineChars="200"/>
        <w:rPr>
          <w:rFonts w:hint="eastAsia" w:ascii="仿宋" w:hAnsi="仿宋" w:eastAsia="宋体" w:cs="Times New Roman"/>
          <w:color w:val="FF0000"/>
          <w:kern w:val="0"/>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5年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庐山市市场监督管理局</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Fonts w:ascii="仿宋" w:hAnsi="仿宋" w:eastAsia="仿宋" w:cs="Times New Roman"/>
          <w:kern w:val="0"/>
          <w:sz w:val="32"/>
          <w:szCs w:val="32"/>
        </w:rPr>
        <w:t>2642.72</w:t>
      </w:r>
      <w:r>
        <w:rPr>
          <w:rStyle w:val="10"/>
          <w:rFonts w:ascii="仿宋" w:hAnsi="仿宋" w:eastAsia="仿宋"/>
          <w:sz w:val="32"/>
          <w:szCs w:val="32"/>
        </w:rPr>
        <w:t>万元,较上年预算安排减少</w:t>
      </w:r>
      <w:r>
        <w:rPr>
          <w:rFonts w:hint="eastAsia" w:ascii="仿宋" w:hAnsi="仿宋" w:eastAsia="仿宋" w:cs="Times New Roman"/>
          <w:kern w:val="0"/>
          <w:sz w:val="32"/>
          <w:szCs w:val="32"/>
        </w:rPr>
        <w:t>99</w:t>
      </w:r>
      <w:r>
        <w:rPr>
          <w:rFonts w:ascii="仿宋" w:hAnsi="仿宋" w:eastAsia="仿宋" w:cs="Times New Roman"/>
          <w:kern w:val="0"/>
          <w:sz w:val="32"/>
          <w:szCs w:val="32"/>
          <w:lang w:val="en-GB"/>
        </w:rPr>
        <w:t>.</w:t>
      </w:r>
      <w:r>
        <w:rPr>
          <w:rFonts w:hint="eastAsia" w:ascii="仿宋" w:hAnsi="仿宋" w:eastAsia="仿宋" w:cs="Times New Roman"/>
          <w:kern w:val="0"/>
          <w:sz w:val="32"/>
          <w:szCs w:val="32"/>
        </w:rPr>
        <w:t>46</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减少变化原因为人员减少，相关工资社保类减少</w:t>
      </w:r>
      <w:r>
        <w:rPr>
          <w:rFonts w:hint="eastAsia" w:ascii="仿宋" w:hAnsi="仿宋" w:eastAsia="仿宋" w:cs="Times New Roman"/>
          <w:kern w:val="0"/>
          <w:sz w:val="32"/>
          <w:szCs w:val="32"/>
          <w:lang w:val="en-GB"/>
        </w:rPr>
        <w:t>且</w:t>
      </w:r>
      <w:r>
        <w:rPr>
          <w:rFonts w:hint="eastAsia" w:ascii="仿宋" w:hAnsi="仿宋" w:eastAsia="仿宋" w:cs="Times New Roman"/>
          <w:kern w:val="0"/>
          <w:sz w:val="32"/>
          <w:szCs w:val="32"/>
        </w:rPr>
        <w:t>2025年项目资金较上年有所缩减。</w:t>
      </w:r>
    </w:p>
    <w:p w14:paraId="68CC7151">
      <w:pPr>
        <w:ind w:firstLine="640" w:firstLineChars="200"/>
        <w:rPr>
          <w:rStyle w:val="10"/>
          <w:rFonts w:hint="eastAsia"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rPr>
        <w:t>1969.95</w:t>
      </w:r>
      <w:r>
        <w:rPr>
          <w:rStyle w:val="10"/>
          <w:rFonts w:ascii="仿宋" w:hAnsi="仿宋" w:eastAsia="仿宋"/>
          <w:sz w:val="32"/>
          <w:szCs w:val="32"/>
        </w:rPr>
        <w:t>万元,较上年预算安排减少</w:t>
      </w:r>
      <w:r>
        <w:rPr>
          <w:rStyle w:val="10"/>
          <w:rFonts w:hint="eastAsia" w:ascii="仿宋" w:hAnsi="仿宋" w:eastAsia="仿宋"/>
          <w:sz w:val="32"/>
          <w:szCs w:val="32"/>
        </w:rPr>
        <w:t>257.27</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社会保障和就业支出</w:t>
      </w:r>
      <w:r>
        <w:rPr>
          <w:rStyle w:val="10"/>
          <w:rFonts w:hint="eastAsia" w:ascii="仿宋" w:hAnsi="仿宋" w:eastAsia="仿宋"/>
          <w:sz w:val="32"/>
          <w:szCs w:val="32"/>
        </w:rPr>
        <w:t>439.17</w:t>
      </w:r>
      <w:r>
        <w:rPr>
          <w:rStyle w:val="10"/>
          <w:rFonts w:ascii="仿宋" w:hAnsi="仿宋" w:eastAsia="仿宋"/>
          <w:sz w:val="32"/>
          <w:szCs w:val="32"/>
        </w:rPr>
        <w:t>万元,较上年预算安排增加</w:t>
      </w:r>
      <w:r>
        <w:rPr>
          <w:rStyle w:val="10"/>
          <w:rFonts w:hint="eastAsia" w:ascii="仿宋" w:hAnsi="仿宋" w:eastAsia="仿宋"/>
          <w:sz w:val="32"/>
          <w:szCs w:val="32"/>
        </w:rPr>
        <w:t>173.78</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卫生健康支出</w:t>
      </w:r>
      <w:r>
        <w:rPr>
          <w:rStyle w:val="10"/>
          <w:rFonts w:hint="eastAsia" w:ascii="仿宋" w:hAnsi="仿宋" w:eastAsia="仿宋"/>
          <w:sz w:val="32"/>
          <w:szCs w:val="32"/>
        </w:rPr>
        <w:t>101.34</w:t>
      </w:r>
      <w:r>
        <w:rPr>
          <w:rStyle w:val="10"/>
          <w:rFonts w:ascii="仿宋" w:hAnsi="仿宋" w:eastAsia="仿宋"/>
          <w:sz w:val="32"/>
          <w:szCs w:val="32"/>
        </w:rPr>
        <w:t>万元,较上年预算安排减少</w:t>
      </w:r>
      <w:r>
        <w:rPr>
          <w:rStyle w:val="10"/>
          <w:rFonts w:hint="eastAsia" w:ascii="仿宋" w:hAnsi="仿宋" w:eastAsia="仿宋"/>
          <w:sz w:val="32"/>
          <w:szCs w:val="32"/>
        </w:rPr>
        <w:t>1.46</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住房保障支出</w:t>
      </w:r>
      <w:r>
        <w:rPr>
          <w:rStyle w:val="10"/>
          <w:rFonts w:hint="eastAsia" w:ascii="仿宋" w:hAnsi="仿宋" w:eastAsia="仿宋"/>
          <w:sz w:val="32"/>
          <w:szCs w:val="32"/>
        </w:rPr>
        <w:t>132.26</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t>较上年预算安排减少</w:t>
      </w:r>
      <w:r>
        <w:rPr>
          <w:rStyle w:val="10"/>
          <w:rFonts w:hint="eastAsia" w:ascii="仿宋" w:hAnsi="仿宋" w:eastAsia="仿宋"/>
          <w:sz w:val="32"/>
          <w:szCs w:val="32"/>
        </w:rPr>
        <w:t>9.51</w:t>
      </w:r>
      <w:r>
        <w:rPr>
          <w:rStyle w:val="10"/>
          <w:rFonts w:ascii="仿宋" w:hAnsi="仿宋" w:eastAsia="仿宋"/>
          <w:sz w:val="32"/>
          <w:szCs w:val="32"/>
        </w:rPr>
        <w:t>万元。</w:t>
      </w:r>
      <w:r>
        <w:fldChar w:fldCharType="end"/>
      </w:r>
    </w:p>
    <w:p w14:paraId="57629E23">
      <w:pPr>
        <w:ind w:firstLine="640" w:firstLineChars="200"/>
        <w:rPr>
          <w:rFonts w:hint="eastAsia"/>
        </w:rPr>
      </w:pPr>
      <w:r>
        <w:rPr>
          <w:rStyle w:val="10"/>
          <w:rFonts w:hint="eastAsia" w:ascii="仿宋" w:hAnsi="仿宋" w:eastAsia="仿宋"/>
          <w:sz w:val="32"/>
          <w:szCs w:val="32"/>
        </w:rPr>
        <w:t>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rPr>
        <w:t>2041.10</w:t>
      </w:r>
      <w:r>
        <w:rPr>
          <w:rStyle w:val="10"/>
          <w:rFonts w:ascii="仿宋" w:hAnsi="仿宋" w:eastAsia="仿宋"/>
          <w:sz w:val="32"/>
          <w:szCs w:val="32"/>
        </w:rPr>
        <w:t>万元,较上年预算安排减少</w:t>
      </w:r>
      <w:r>
        <w:rPr>
          <w:rStyle w:val="10"/>
          <w:rFonts w:hint="eastAsia" w:ascii="仿宋" w:hAnsi="仿宋" w:eastAsia="仿宋"/>
          <w:sz w:val="32"/>
          <w:szCs w:val="32"/>
        </w:rPr>
        <w:t>117.12</w:t>
      </w:r>
      <w:r>
        <w:rPr>
          <w:rStyle w:val="10"/>
          <w:rFonts w:ascii="仿宋" w:hAnsi="仿宋" w:eastAsia="仿宋"/>
          <w:sz w:val="32"/>
          <w:szCs w:val="32"/>
        </w:rPr>
        <w:t>万元;其中：工资福利支出</w:t>
      </w:r>
      <w:r>
        <w:rPr>
          <w:rStyle w:val="10"/>
          <w:rFonts w:hint="eastAsia" w:ascii="仿宋" w:hAnsi="仿宋" w:eastAsia="仿宋"/>
          <w:sz w:val="32"/>
          <w:szCs w:val="32"/>
        </w:rPr>
        <w:t>1585.33</w:t>
      </w:r>
      <w:r>
        <w:rPr>
          <w:rStyle w:val="10"/>
          <w:rFonts w:ascii="仿宋" w:hAnsi="仿宋" w:eastAsia="仿宋"/>
          <w:sz w:val="32"/>
          <w:szCs w:val="32"/>
        </w:rPr>
        <w:t>万元,商品和服务支出</w:t>
      </w:r>
      <w:r>
        <w:rPr>
          <w:rStyle w:val="10"/>
          <w:rFonts w:hint="eastAsia" w:ascii="仿宋" w:hAnsi="仿宋" w:eastAsia="仿宋"/>
          <w:sz w:val="32"/>
          <w:szCs w:val="32"/>
        </w:rPr>
        <w:t>186.26</w:t>
      </w:r>
      <w:r>
        <w:rPr>
          <w:rStyle w:val="10"/>
          <w:rFonts w:ascii="仿宋" w:hAnsi="仿宋" w:eastAsia="仿宋"/>
          <w:sz w:val="32"/>
          <w:szCs w:val="32"/>
        </w:rPr>
        <w:t>万元,对个人和家庭的补助</w:t>
      </w:r>
      <w:r>
        <w:rPr>
          <w:rStyle w:val="10"/>
          <w:rFonts w:hint="eastAsia" w:ascii="仿宋" w:hAnsi="仿宋" w:eastAsia="仿宋"/>
          <w:sz w:val="32"/>
          <w:szCs w:val="32"/>
        </w:rPr>
        <w:t>266.56</w:t>
      </w:r>
      <w:r>
        <w:rPr>
          <w:rStyle w:val="10"/>
          <w:rFonts w:ascii="仿宋" w:hAnsi="仿宋" w:eastAsia="仿宋"/>
          <w:sz w:val="32"/>
          <w:szCs w:val="32"/>
        </w:rPr>
        <w:t>万元</w:t>
      </w:r>
      <w:r>
        <w:rPr>
          <w:rStyle w:val="10"/>
          <w:rFonts w:hint="eastAsia" w:ascii="仿宋" w:hAnsi="仿宋" w:eastAsia="仿宋"/>
          <w:sz w:val="32"/>
          <w:szCs w:val="32"/>
        </w:rPr>
        <w:t>，</w:t>
      </w:r>
      <w:r>
        <w:fldChar w:fldCharType="end"/>
      </w:r>
      <w:r>
        <w:rPr>
          <w:rStyle w:val="10"/>
          <w:rFonts w:ascii="仿宋" w:hAnsi="仿宋" w:eastAsia="仿宋"/>
          <w:sz w:val="32"/>
          <w:szCs w:val="32"/>
        </w:rPr>
        <w:t>资本性支出</w:t>
      </w:r>
      <w:r>
        <w:rPr>
          <w:rStyle w:val="10"/>
          <w:rFonts w:hint="eastAsia" w:ascii="仿宋" w:hAnsi="仿宋" w:eastAsia="仿宋"/>
          <w:sz w:val="32"/>
          <w:szCs w:val="32"/>
        </w:rPr>
        <w:t>2.95</w:t>
      </w:r>
      <w:r>
        <w:rPr>
          <w:rStyle w:val="10"/>
          <w:rFonts w:ascii="仿宋" w:hAnsi="仿宋" w:eastAsia="仿宋"/>
          <w:sz w:val="32"/>
          <w:szCs w:val="32"/>
        </w:rPr>
        <w:t>万元</w:t>
      </w:r>
      <w:r>
        <w:rPr>
          <w:rStyle w:val="10"/>
          <w:rFonts w:hint="eastAsia" w:ascii="仿宋" w:hAnsi="仿宋" w:eastAsia="仿宋"/>
          <w:sz w:val="32"/>
          <w:szCs w:val="32"/>
        </w:rPr>
        <w:t>。</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rPr>
        <w:t>601.62</w:t>
      </w:r>
      <w:r>
        <w:rPr>
          <w:rStyle w:val="10"/>
          <w:rFonts w:ascii="仿宋" w:hAnsi="仿宋" w:eastAsia="仿宋"/>
          <w:sz w:val="32"/>
          <w:szCs w:val="32"/>
        </w:rPr>
        <w:t>万元,较上年预算安排增加</w:t>
      </w:r>
      <w:r>
        <w:rPr>
          <w:rStyle w:val="10"/>
          <w:rFonts w:hint="eastAsia" w:ascii="仿宋" w:hAnsi="仿宋" w:eastAsia="仿宋"/>
          <w:sz w:val="32"/>
          <w:szCs w:val="32"/>
        </w:rPr>
        <w:t>17.66</w:t>
      </w:r>
      <w:r>
        <w:rPr>
          <w:rStyle w:val="10"/>
          <w:rFonts w:ascii="仿宋" w:hAnsi="仿宋" w:eastAsia="仿宋"/>
          <w:sz w:val="32"/>
          <w:szCs w:val="32"/>
        </w:rPr>
        <w:t>万元;其中：商品和服务支出</w:t>
      </w:r>
      <w:r>
        <w:rPr>
          <w:rStyle w:val="10"/>
          <w:rFonts w:hint="eastAsia" w:ascii="仿宋" w:hAnsi="仿宋" w:eastAsia="仿宋"/>
          <w:sz w:val="32"/>
          <w:szCs w:val="32"/>
        </w:rPr>
        <w:t>599.85</w:t>
      </w:r>
      <w:r>
        <w:rPr>
          <w:rStyle w:val="10"/>
          <w:rFonts w:ascii="仿宋" w:hAnsi="仿宋" w:eastAsia="仿宋"/>
          <w:sz w:val="32"/>
          <w:szCs w:val="32"/>
        </w:rPr>
        <w:t>万元,资本性支出</w:t>
      </w:r>
      <w:r>
        <w:rPr>
          <w:rStyle w:val="10"/>
          <w:rFonts w:hint="eastAsia" w:ascii="仿宋" w:hAnsi="仿宋" w:eastAsia="仿宋"/>
          <w:sz w:val="32"/>
          <w:szCs w:val="32"/>
        </w:rPr>
        <w:t>1.77</w:t>
      </w:r>
      <w:r>
        <w:rPr>
          <w:rStyle w:val="10"/>
          <w:rFonts w:ascii="仿宋" w:hAnsi="仿宋" w:eastAsia="仿宋"/>
          <w:sz w:val="32"/>
          <w:szCs w:val="32"/>
        </w:rPr>
        <w:t>万元。</w:t>
      </w:r>
      <w:r>
        <w:fldChar w:fldCharType="end"/>
      </w:r>
    </w:p>
    <w:p w14:paraId="7D598957">
      <w:pPr>
        <w:ind w:firstLine="420" w:firstLineChars="200"/>
      </w:pPr>
    </w:p>
    <w:p w14:paraId="6EF6CCA2">
      <w:p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78189B69">
      <w:pPr>
        <w:ind w:firstLine="640" w:firstLineChars="200"/>
        <w:rPr>
          <w:rStyle w:val="10"/>
          <w:rFonts w:hint="eastAsia" w:ascii="Adobe 仿宋 Std R" w:hAnsi="Adobe 仿宋 Std R" w:eastAsia="Adobe 仿宋 Std R" w:cs="Times New Roman"/>
          <w:sz w:val="32"/>
          <w:szCs w:val="32"/>
        </w:rPr>
      </w:pPr>
      <w:r>
        <w:rPr>
          <w:rStyle w:val="10"/>
          <w:rFonts w:hint="eastAsia" w:ascii="Adobe 仿宋 Std R" w:hAnsi="Adobe 仿宋 Std R" w:eastAsia="Adobe 仿宋 Std R"/>
          <w:sz w:val="32"/>
          <w:szCs w:val="32"/>
        </w:rPr>
        <w:t>本部门</w:t>
      </w:r>
      <w:r>
        <w:rPr>
          <w:rStyle w:val="10"/>
          <w:rFonts w:hint="eastAsia" w:ascii="Adobe 仿宋 Std R" w:hAnsi="Adobe 仿宋 Std R" w:eastAsia="Adobe 仿宋 Std R" w:cs="Times New Roman"/>
          <w:sz w:val="32"/>
          <w:szCs w:val="32"/>
        </w:rPr>
        <w:t>没有使用政府性基金预算拨款安排的支出。</w:t>
      </w:r>
    </w:p>
    <w:p w14:paraId="630F134A">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58909BB9">
      <w:pPr>
        <w:widowControl/>
        <w:ind w:firstLine="640" w:firstLineChars="200"/>
        <w:rPr>
          <w:rStyle w:val="10"/>
          <w:rFonts w:hint="eastAsia" w:ascii="Adobe 仿宋 Std R" w:hAnsi="Adobe 仿宋 Std R" w:eastAsia="Adobe 仿宋 Std R"/>
          <w:sz w:val="32"/>
          <w:szCs w:val="32"/>
        </w:rPr>
      </w:pPr>
      <w:r>
        <w:rPr>
          <w:rStyle w:val="10"/>
          <w:rFonts w:hint="eastAsia" w:ascii="Adobe 仿宋 Std R" w:hAnsi="Adobe 仿宋 Std R" w:eastAsia="Adobe 仿宋 Std R"/>
          <w:sz w:val="32"/>
          <w:szCs w:val="32"/>
        </w:rPr>
        <w:t>本部门没有使用国有资本经营预算拨款安排的支出。</w:t>
      </w:r>
    </w:p>
    <w:p w14:paraId="3EB2DEAD">
      <w:pPr>
        <w:ind w:firstLine="321" w:firstLineChars="100"/>
        <w:rPr>
          <w:rStyle w:val="10"/>
          <w:rFonts w:hint="eastAsia"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6F155DD9">
      <w:pPr>
        <w:ind w:firstLine="640"/>
        <w:rPr>
          <w:rFonts w:hint="eastAsia" w:ascii="仿宋" w:hAnsi="仿宋" w:eastAsia="仿宋" w:cs="Times New Roman"/>
          <w:kern w:val="0"/>
          <w:sz w:val="32"/>
          <w:szCs w:val="32"/>
        </w:rPr>
      </w:pPr>
      <w:r>
        <w:rPr>
          <w:rStyle w:val="10"/>
          <w:rFonts w:hint="eastAsia" w:ascii="Adobe 仿宋 Std R" w:hAnsi="Adobe 仿宋 Std R" w:eastAsia="Adobe 仿宋 Std R"/>
          <w:sz w:val="32"/>
          <w:szCs w:val="32"/>
        </w:rPr>
        <w:t>2025年</w:t>
      </w:r>
      <w:r>
        <w:rPr>
          <w:rFonts w:hint="eastAsia" w:ascii="Adobe 仿宋 Std R" w:hAnsi="Adobe 仿宋 Std R" w:eastAsia="Adobe 仿宋 Std R"/>
          <w:sz w:val="32"/>
          <w:szCs w:val="32"/>
        </w:rPr>
        <w:t>单位机关运行费预算186.26万元，比2024年预算增加40.31万元，增长27.62%。</w:t>
      </w:r>
      <w:r>
        <w:rPr>
          <w:rFonts w:hint="eastAsia" w:ascii="仿宋" w:hAnsi="仿宋" w:eastAsia="仿宋" w:cs="Times New Roman"/>
          <w:kern w:val="0"/>
          <w:sz w:val="32"/>
          <w:szCs w:val="32"/>
        </w:rPr>
        <w:t>增长变化原因为2025年把往年在工资福利中核算的交通补贴放入机关运行费中的其他交通费用中核算。</w:t>
      </w:r>
    </w:p>
    <w:p w14:paraId="1DCA54E5">
      <w:pPr>
        <w:ind w:firstLine="640"/>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7.06万元、邮电费12万元、差旅费5.1万元、会议费0万元、福利费35.55万元、日常维修费4.1万元、专用材料及一般设备购置费0万元、办公用房水电费12.25万元、办公用房取暖费0万元、办公用房物业管理费0万元、公务用车运行维护费6.23万元</w:t>
      </w:r>
      <w:r>
        <w:rPr>
          <w:rFonts w:hint="eastAsia"/>
          <w:color w:val="000000" w:themeColor="text1"/>
          <w:sz w:val="32"/>
          <w:szCs w:val="32"/>
        </w:rPr>
        <w:t>、</w:t>
      </w:r>
      <w:r>
        <w:rPr>
          <w:rFonts w:hint="eastAsia" w:ascii="Adobe 仿宋 Std R" w:hAnsi="Adobe 仿宋 Std R" w:eastAsia="Adobe 仿宋 Std R"/>
          <w:color w:val="000000" w:themeColor="text1"/>
          <w:sz w:val="32"/>
          <w:szCs w:val="32"/>
        </w:rPr>
        <w:t>公务接待费2.4万元、劳务费29.2万元、工会经费31万元、</w:t>
      </w:r>
      <w:r>
        <w:rPr>
          <w:rStyle w:val="10"/>
          <w:rFonts w:hint="eastAsia" w:ascii="Adobe 仿宋 Std R" w:hAnsi="Adobe 仿宋 Std R" w:eastAsia="Adobe 仿宋 Std R"/>
          <w:sz w:val="32"/>
          <w:szCs w:val="32"/>
        </w:rPr>
        <w:t>租赁费0.72万元、</w:t>
      </w:r>
      <w:r>
        <w:rPr>
          <w:rFonts w:hint="eastAsia" w:ascii="Adobe 仿宋 Std R" w:hAnsi="Adobe 仿宋 Std R" w:eastAsia="Adobe 仿宋 Std R"/>
          <w:color w:val="000000" w:themeColor="text1"/>
          <w:sz w:val="32"/>
          <w:szCs w:val="32"/>
        </w:rPr>
        <w:t>其他交通费用38.18万元、其他商品服务支出2.47万元。</w:t>
      </w:r>
    </w:p>
    <w:p w14:paraId="3D264753">
      <w:p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008B1479">
      <w:pPr>
        <w:rPr>
          <w:rFonts w:hint="eastAsia"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2025年部门所属各单位政府采购总额9.7万元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政府采购货物预算9.7万元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政府采购服务预算0万元。</w:t>
      </w:r>
    </w:p>
    <w:p w14:paraId="0D1CA913">
      <w:p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27436C1A">
      <w:pPr>
        <w:ind w:firstLine="640"/>
        <w:rPr>
          <w:rFonts w:ascii="Adobe 仿宋 Std R" w:hAnsi="Adobe 仿宋 Std R" w:eastAsia="Adobe 仿宋 Std R"/>
          <w:sz w:val="32"/>
          <w:szCs w:val="32"/>
        </w:rPr>
      </w:pPr>
      <w:r>
        <w:rPr>
          <w:rFonts w:hint="eastAsia" w:ascii="Adobe 仿宋 Std R" w:hAnsi="Adobe 仿宋 Std R" w:eastAsia="Adobe 仿宋 Std R"/>
          <w:sz w:val="32"/>
          <w:szCs w:val="32"/>
        </w:rPr>
        <w:t>截至2024年12月31日,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11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hint="eastAsia" w:ascii="Adobe 仿宋 Std R" w:hAnsi="Adobe 仿宋 Std R" w:eastAsia="Adobe 仿宋 Std R"/>
          <w:sz w:val="32"/>
          <w:szCs w:val="32"/>
        </w:rPr>
        <w:t>,执法执勤车辆11辆。</w:t>
      </w:r>
      <w:r>
        <w:rPr>
          <w:rFonts w:ascii="Adobe 仿宋 Std R" w:hAnsi="Adobe 仿宋 Std R" w:eastAsia="Adobe 仿宋 Std R"/>
          <w:sz w:val="32"/>
          <w:szCs w:val="32"/>
        </w:rPr>
        <w:fldChar w:fldCharType="end"/>
      </w:r>
    </w:p>
    <w:p w14:paraId="1F8EEEAF">
      <w:pPr>
        <w:rPr>
          <w:rFonts w:hint="eastAsia" w:ascii="Adobe 仿宋 Std R" w:hAnsi="Adobe 仿宋 Std R" w:eastAsia="Adobe 仿宋 Std R"/>
          <w:b/>
          <w:sz w:val="20"/>
        </w:rPr>
      </w:pPr>
      <w:r>
        <w:rPr>
          <w:rFonts w:ascii="Adobe 仿宋 Std R" w:hAnsi="Adobe 仿宋 Std R" w:eastAsia="Adobe 仿宋 Std R"/>
          <w:sz w:val="32"/>
          <w:szCs w:val="32"/>
        </w:rPr>
        <w:fldChar w:fldCharType="end"/>
      </w:r>
    </w:p>
    <w:p w14:paraId="49676C9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2025年部门预算安排购置车辆0辆，安排购置单位价值200万元以上大型设备具体为：无。</w:t>
      </w:r>
    </w:p>
    <w:p w14:paraId="72D6A854">
      <w:pPr>
        <w:ind w:firstLine="321" w:firstLineChars="100"/>
        <w:rPr>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（九）项目情况说明</w:t>
      </w:r>
    </w:p>
    <w:p w14:paraId="1E31255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1、强制检定计量专项运行经费</w:t>
      </w:r>
    </w:p>
    <w:p w14:paraId="5E7272C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1）项目概述：维护全市计量器具标准化、保障民生正常运转。</w:t>
      </w:r>
    </w:p>
    <w:p w14:paraId="67AA96B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2）立项依据：财税（2017）20号</w:t>
      </w:r>
    </w:p>
    <w:p w14:paraId="16648A1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2A12D3F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4）实施方案：强制检定项目由严格的组织架构，由产品质量股室牵头，各分局配合实施，由专业人员使用专业标准器材进行当场检定，校订标准。</w:t>
      </w:r>
    </w:p>
    <w:p w14:paraId="2F59D63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247BB3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6）年度预算安排：1.8万元</w:t>
      </w:r>
    </w:p>
    <w:p w14:paraId="38A7E5E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2、食品安全示范城市创建宣传工作经费</w:t>
      </w:r>
    </w:p>
    <w:p w14:paraId="1C2CDA9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1）项目概述：创建食品安全示范城市</w:t>
      </w:r>
    </w:p>
    <w:p w14:paraId="7FCB9C3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2）立项依据：国家食品安全示范城市评价与管理办法第七条</w:t>
      </w:r>
    </w:p>
    <w:p w14:paraId="4135BC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459BF32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4）实施方案：推荐城市应建立健全国家食品安全示范城市创建工作的组织领导机制，加大投入保障，落实部门责任，组织开展创建工作。</w:t>
      </w:r>
    </w:p>
    <w:p w14:paraId="0ACC233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546EEA9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6）年度预算安排：4.5万元。</w:t>
      </w:r>
    </w:p>
    <w:p w14:paraId="3E2A69E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3、食品安全宣传工作经费</w:t>
      </w:r>
    </w:p>
    <w:p w14:paraId="7C2D0AC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1）项目概述：倡导健康的饮食方式，增强消费者食品安全意识和自我保护的能力。</w:t>
      </w:r>
    </w:p>
    <w:p w14:paraId="67040C1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2）立项依据：国家食品安全法第十条</w:t>
      </w:r>
    </w:p>
    <w:p w14:paraId="2150185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18C2502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普及食品安全知识，鼓励社会组织、基层群众性自治组织、食品生产经营者开展食品安全法律、法规以及食品安全标准和知识的普及工作，倡导健康的饮食方式，增强消费者食品安全意识和自我保护能力。</w:t>
      </w:r>
    </w:p>
    <w:p w14:paraId="7189580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3D040F4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6）年度预算安排：4.5万元。</w:t>
      </w:r>
    </w:p>
    <w:p w14:paraId="5FCA790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4、食品抽样检验及快速检测工作经费</w:t>
      </w:r>
    </w:p>
    <w:p w14:paraId="759296E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1）项目概述：抽检食品类，按规定公开检验结果，对不合格产品进行立案查处，维护社会稳定。</w:t>
      </w:r>
    </w:p>
    <w:p w14:paraId="13B4EC9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2）立项依据：国家食品安全法第八十七条</w:t>
      </w:r>
    </w:p>
    <w:p w14:paraId="1EE47B3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3E581FE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4）实施方案：由食品股牵头，各基层分局配合，在各基层区划内按比例进行抽检。</w:t>
      </w:r>
    </w:p>
    <w:p w14:paraId="55CCFE3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344081C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6）年度预算安排：39.6万元。</w:t>
      </w:r>
    </w:p>
    <w:p w14:paraId="29BEAEC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5、产品质量监督抽查专项工作经费</w:t>
      </w:r>
    </w:p>
    <w:p w14:paraId="134467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1）项目概述：检测产品54批次</w:t>
      </w:r>
    </w:p>
    <w:p w14:paraId="4251FD2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2）立项依据：财税（2017）20号</w:t>
      </w:r>
    </w:p>
    <w:p w14:paraId="5E6A8A6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384C703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4）实施方案：由产品质量监管股牵头，各基层分局配合，在各基层区划内按比例进行抽检。</w:t>
      </w:r>
    </w:p>
    <w:p w14:paraId="67794C1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3369CA7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6）年度预算安排：5.4万元。</w:t>
      </w:r>
    </w:p>
    <w:p w14:paraId="7C89914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6、特种设备安全监督管理经费</w:t>
      </w:r>
    </w:p>
    <w:p w14:paraId="4496F3E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1）项目概述：维护当地安全生产安全度，加强对特种设备的管理。</w:t>
      </w:r>
    </w:p>
    <w:p w14:paraId="6E18F90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2）立项依据：《江西省特种设备安全条例》第四条</w:t>
      </w:r>
    </w:p>
    <w:p w14:paraId="4F158B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089F56A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4）实施方案：配备专职特种设备监察人员，维护当地特种设备安全</w:t>
      </w:r>
    </w:p>
    <w:p w14:paraId="63CB77C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0FBF72A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6）年度预算安排：10万元。</w:t>
      </w:r>
    </w:p>
    <w:p w14:paraId="3E9E243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7、小微企业、个体工商户、专业市场党建运行工作经费</w:t>
      </w:r>
    </w:p>
    <w:p w14:paraId="53E050F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1）项目概述：加强我市“小个专”党建工作，引领“小个专”经济健康发展。</w:t>
      </w:r>
    </w:p>
    <w:p w14:paraId="5F8FA8D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2）立项依据：九市监党组（2022）16号</w:t>
      </w:r>
    </w:p>
    <w:p w14:paraId="254C288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75BB8B4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4）实施方案：“小个专”综合党委开展“小个专”党建工作。</w:t>
      </w:r>
    </w:p>
    <w:p w14:paraId="36DADA2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04F0601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6）年度预算安排：0.23万元。</w:t>
      </w:r>
    </w:p>
    <w:p w14:paraId="14A31C3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8、药品、医疗、器械、化妆品培训经费</w:t>
      </w:r>
    </w:p>
    <w:p w14:paraId="507F076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1）项目概述：进行药品、医疗器械、化妆品培训，提升监管水平。</w:t>
      </w:r>
    </w:p>
    <w:p w14:paraId="344B0F6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2）立项依据：赣药监化（2020）13号</w:t>
      </w:r>
    </w:p>
    <w:p w14:paraId="3E9B6D6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6BC04FE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4）实施方案：药品股实施进行药品培训。</w:t>
      </w:r>
    </w:p>
    <w:p w14:paraId="4BC6EC3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2961184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6）年度预算安排：2万元。</w:t>
      </w:r>
    </w:p>
    <w:p w14:paraId="0CEE3AC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9、食品快检工作经费</w:t>
      </w:r>
    </w:p>
    <w:p w14:paraId="2A50F6D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1）项目概述：进行食品快速检验，维护中小学食堂食用安全。</w:t>
      </w:r>
    </w:p>
    <w:p w14:paraId="7F19C80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2）立项依据：国家食品安全法第八十七条</w:t>
      </w:r>
    </w:p>
    <w:p w14:paraId="1B1BAA6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3）实施主体：庐山市市场监督管理局食药股</w:t>
      </w:r>
    </w:p>
    <w:p w14:paraId="0F6526F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4）实施方案：进行抽烟检验，应当购买抽取的样品，由食品股牵头组织实行。</w:t>
      </w:r>
    </w:p>
    <w:p w14:paraId="369544C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177D293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37A3EE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10、一般非税收入安排分配支出</w:t>
      </w:r>
    </w:p>
    <w:p w14:paraId="2711541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1）项目概述：保障单位正常运转</w:t>
      </w:r>
    </w:p>
    <w:p w14:paraId="5ED48C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2）立项依据：非税收入分配表</w:t>
      </w:r>
    </w:p>
    <w:p w14:paraId="1B1E7AD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7B5B655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4）实施方案：人员正常运转，完成各类专项整治</w:t>
      </w:r>
    </w:p>
    <w:p w14:paraId="7C4CAA2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24278BE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6）年度预算安排：300万元</w:t>
      </w:r>
    </w:p>
    <w:p w14:paraId="1C2E13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11、下划固定结算工作经费</w:t>
      </w:r>
    </w:p>
    <w:p w14:paraId="2EA08B0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1）项目概述：实现智慧化管理，积极完成各项工作目标。</w:t>
      </w:r>
    </w:p>
    <w:p w14:paraId="6002E55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2）立项依据：下划固定结算</w:t>
      </w:r>
    </w:p>
    <w:p w14:paraId="6A25D56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4877FE1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依法实施合同行政监督管理，负责管理动产抵押登记，组织监督管理拍卖行为，依法查处合同欺诈等违法行为。指导广告业发展，负责特殊标志、官方标志的保护。依法组织管理商标工作，负责查处商标违法违纪行为。依法组织实施企业、个体工商户、商品交易市场主体信用分类管理，为政府决策和社会公众提供信息服务。依法组织监督全市各类企业法人及其分支机构、个人合伙和个体工 商户的生产经营活动。</w:t>
      </w:r>
    </w:p>
    <w:p w14:paraId="3E5AE0D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3F706BF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6）年度预算安排：148.29万元</w:t>
      </w:r>
    </w:p>
    <w:p w14:paraId="56EA2CE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12、庐山市知识产权奖励经费</w:t>
      </w:r>
    </w:p>
    <w:p w14:paraId="70CA96A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1）项目概述：为深入实施创新驱动发展战略，鼓励科技创新，加大企业研发投入，加快推进知识产权强市建设，全面提升我市知识产权创造、运用、保护、管理和服务能力，助力企业高质量发展。</w:t>
      </w:r>
    </w:p>
    <w:p w14:paraId="2701751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2）立项依据：庐府办字【</w:t>
      </w:r>
      <w:r>
        <w:rPr>
          <w:rFonts w:ascii="Adobe 仿宋 Std R" w:hAnsi="Adobe 仿宋 Std R" w:eastAsia="Adobe 仿宋 Std R"/>
          <w:sz w:val="32"/>
          <w:szCs w:val="32"/>
        </w:rPr>
        <w:t>2023】41号</w:t>
      </w:r>
    </w:p>
    <w:p w14:paraId="7DF665B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70AA418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4）实施方案：对</w:t>
      </w:r>
      <w:r>
        <w:rPr>
          <w:rFonts w:ascii="Adobe 仿宋 Std R" w:hAnsi="Adobe 仿宋 Std R" w:eastAsia="Adobe 仿宋 Std R"/>
          <w:sz w:val="32"/>
          <w:szCs w:val="32"/>
        </w:rPr>
        <w:t>获得国家知识产权贯彻认证、九江市知识产权示范企业、江西名牌产业、江西精品企业、江西绿色生态认证的企业，以及开展本市专利导航项目、专利转移转化、专利保险的企业予以资金奖励</w:t>
      </w:r>
      <w:r>
        <w:rPr>
          <w:rFonts w:hint="eastAsia" w:ascii="Adobe 仿宋 Std R" w:hAnsi="Adobe 仿宋 Std R" w:eastAsia="Adobe 仿宋 Std R"/>
          <w:sz w:val="32"/>
          <w:szCs w:val="32"/>
        </w:rPr>
        <w:t>。</w:t>
      </w:r>
    </w:p>
    <w:p w14:paraId="4EA0BCA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0772EA3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6）年度预算安排：35万元。</w:t>
      </w:r>
    </w:p>
    <w:p w14:paraId="5E90817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13、市长质量、质量强市工作经费</w:t>
      </w:r>
    </w:p>
    <w:p w14:paraId="68C2CC1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1）项目概述：提高全民质量意识，引导和激励企业加强质量管理，追求卓越绩效，提升全市质量总体水平。</w:t>
      </w:r>
    </w:p>
    <w:p w14:paraId="141CEB8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2）立项依据：庐府办发【</w:t>
      </w:r>
      <w:r>
        <w:rPr>
          <w:rFonts w:ascii="Adobe 仿宋 Std R" w:hAnsi="Adobe 仿宋 Std R" w:eastAsia="Adobe 仿宋 Std R"/>
          <w:sz w:val="32"/>
          <w:szCs w:val="32"/>
        </w:rPr>
        <w:t>2023】</w:t>
      </w:r>
      <w:r>
        <w:rPr>
          <w:rFonts w:hint="eastAsia" w:ascii="Adobe 仿宋 Std R" w:hAnsi="Adobe 仿宋 Std R" w:eastAsia="Adobe 仿宋 Std R"/>
          <w:sz w:val="32"/>
          <w:szCs w:val="32"/>
        </w:rPr>
        <w:t>12</w:t>
      </w:r>
      <w:r>
        <w:rPr>
          <w:rFonts w:ascii="Adobe 仿宋 Std R" w:hAnsi="Adobe 仿宋 Std R" w:eastAsia="Adobe 仿宋 Std R"/>
          <w:sz w:val="32"/>
          <w:szCs w:val="32"/>
        </w:rPr>
        <w:t>号</w:t>
      </w:r>
    </w:p>
    <w:p w14:paraId="3485152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w:t>
      </w:r>
    </w:p>
    <w:p w14:paraId="7088607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4）实施方案：获得庐山市市长质量奖的企业每家给予一次性</w:t>
      </w:r>
      <w:r>
        <w:rPr>
          <w:rFonts w:ascii="Adobe 仿宋 Std R" w:hAnsi="Adobe 仿宋 Std R" w:eastAsia="Adobe 仿宋 Std R"/>
          <w:sz w:val="32"/>
          <w:szCs w:val="32"/>
        </w:rPr>
        <w:t>6万元奖励</w:t>
      </w:r>
      <w:r>
        <w:rPr>
          <w:rFonts w:hint="eastAsia" w:ascii="Adobe 仿宋 Std R" w:hAnsi="Adobe 仿宋 Std R" w:eastAsia="Adobe 仿宋 Std R"/>
          <w:sz w:val="32"/>
          <w:szCs w:val="32"/>
        </w:rPr>
        <w:t>。</w:t>
      </w:r>
    </w:p>
    <w:p w14:paraId="3AE9880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2C144372">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6）年度预算安排：23万元</w:t>
      </w:r>
    </w:p>
    <w:p w14:paraId="1FC810D6">
      <w:pPr>
        <w:ind w:firstLine="640" w:firstLineChars="200"/>
        <w:rPr>
          <w:rStyle w:val="10"/>
          <w:rFonts w:ascii="Adobe 仿宋 Std R" w:hAnsi="Adobe 仿宋 Std R" w:eastAsia="Adobe 仿宋 Std R"/>
          <w:bCs/>
          <w:sz w:val="32"/>
          <w:szCs w:val="32"/>
        </w:rPr>
      </w:pPr>
      <w:r>
        <w:rPr>
          <w:rFonts w:hint="eastAsia" w:ascii="Adobe 仿宋 Std R" w:hAnsi="Adobe 仿宋 Std R" w:eastAsia="Adobe 仿宋 Std R"/>
          <w:sz w:val="32"/>
          <w:szCs w:val="32"/>
        </w:rPr>
        <w:t>14、</w:t>
      </w:r>
      <w:r>
        <w:rPr>
          <w:rStyle w:val="10"/>
          <w:rFonts w:hint="eastAsia" w:ascii="Adobe 仿宋 Std R" w:hAnsi="Adobe 仿宋 Std R" w:eastAsia="Adobe 仿宋 Std R"/>
          <w:bCs/>
          <w:sz w:val="32"/>
          <w:szCs w:val="32"/>
        </w:rPr>
        <w:t>食品药品安全宣传工作经费</w:t>
      </w:r>
    </w:p>
    <w:p w14:paraId="598E29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1）项目概述：该项目主要用于食品药品安全宣传工作包括购买检测试剂和印刷宣传材料等。</w:t>
      </w:r>
    </w:p>
    <w:p w14:paraId="0BE16F5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2）立项依据：《中华人民共和国食品安全法》。</w:t>
      </w:r>
    </w:p>
    <w:p w14:paraId="24AFC1E4">
      <w:pPr>
        <w:pStyle w:val="13"/>
        <w:numPr>
          <w:ilvl w:val="0"/>
          <w:numId w:val="2"/>
        </w:numPr>
        <w:ind w:firstLineChars="0"/>
        <w:rPr>
          <w:rFonts w:ascii="Adobe 仿宋 Std R" w:hAnsi="Adobe 仿宋 Std R" w:eastAsia="Adobe 仿宋 Std R"/>
          <w:sz w:val="32"/>
          <w:szCs w:val="32"/>
        </w:rPr>
      </w:pPr>
      <w:r>
        <w:rPr>
          <w:rFonts w:hint="eastAsia" w:ascii="Adobe 仿宋 Std R" w:hAnsi="Adobe 仿宋 Std R" w:eastAsia="Adobe 仿宋 Std R"/>
          <w:sz w:val="32"/>
          <w:szCs w:val="32"/>
        </w:rPr>
        <w:t>实施主体：庐山市市场监督管理局牯岭分局</w:t>
      </w:r>
    </w:p>
    <w:p w14:paraId="687EC823">
      <w:pPr>
        <w:pStyle w:val="13"/>
        <w:ind w:left="320"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加强食品安全宣传教育，普及食品安全知识，鼓励社会组织、基层群众性自治组织、食品生产经营者开展食品安全法律、法规以及食品安全标准和知识的普及工作。该项目主要用于食品药品安全宣传工作包括购买检测试剂和印刷宣传材料等。</w:t>
      </w:r>
    </w:p>
    <w:p w14:paraId="038257F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3A75DC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6）年度预算安排：4.5万元</w:t>
      </w:r>
    </w:p>
    <w:p w14:paraId="3B2A5091">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15、特种设备安全监督管理工作经费</w:t>
      </w:r>
    </w:p>
    <w:p w14:paraId="46CFDD47">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1）项目概述：完成2025年特种设备安全工作任务，确保重大活动特种设备安全，向公众普及特种设备安全知识。主要用于特种设备安全宣传印刷费、重大活动特种设备安全保障租车费以及特种设备差旅费等。</w:t>
      </w:r>
    </w:p>
    <w:p w14:paraId="78A0DCC1">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2）立项依据：《江西省特种设备安全条例》。</w:t>
      </w:r>
    </w:p>
    <w:p w14:paraId="4E41C74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3）实施主体：庐山市市场监督管理局牯岭分局</w:t>
      </w:r>
    </w:p>
    <w:p w14:paraId="280E088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4）实施方案：主要用于特种设备安全宣传印刷费、重大活动特种设备安全保障租车费以及特种设备差旅费等。</w:t>
      </w:r>
    </w:p>
    <w:p w14:paraId="153A4C4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788D9F2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6）年度预算安排：1.45万元</w:t>
      </w:r>
    </w:p>
    <w:p w14:paraId="2E712941">
      <w:pPr>
        <w:ind w:firstLine="640" w:firstLineChars="200"/>
        <w:rPr>
          <w:rFonts w:hint="eastAsia" w:ascii="Adobe 仿宋 Std R" w:hAnsi="Adobe 仿宋 Std R" w:eastAsia="Adobe 仿宋 Std R"/>
          <w:bCs/>
          <w:sz w:val="32"/>
          <w:szCs w:val="32"/>
        </w:rPr>
      </w:pPr>
      <w:r>
        <w:rPr>
          <w:rFonts w:hint="eastAsia" w:ascii="Adobe 仿宋 Std R" w:hAnsi="Adobe 仿宋 Std R" w:eastAsia="Adobe 仿宋 Std R"/>
          <w:sz w:val="32"/>
          <w:szCs w:val="32"/>
        </w:rPr>
        <w:t>16、</w:t>
      </w:r>
      <w:r>
        <w:rPr>
          <w:rStyle w:val="10"/>
          <w:rFonts w:hint="eastAsia" w:ascii="Adobe 仿宋 Std R" w:hAnsi="Adobe 仿宋 Std R" w:eastAsia="Adobe 仿宋 Std R"/>
          <w:bCs/>
          <w:sz w:val="32"/>
          <w:szCs w:val="32"/>
        </w:rPr>
        <w:t>一般非税收入安排支出</w:t>
      </w:r>
    </w:p>
    <w:p w14:paraId="0F85DAC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1）项目概述：维护市场秩序，保障日常执法执勤工作环境，弥补单位工作经费不足。</w:t>
      </w:r>
    </w:p>
    <w:p w14:paraId="1F3B6C1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2）立项依据：根据相关文件，返还罚没经费。</w:t>
      </w:r>
    </w:p>
    <w:p w14:paraId="3ED8647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3）实施主体：庐山市市场监督管理局牯岭分局</w:t>
      </w:r>
    </w:p>
    <w:p w14:paraId="10BA237B">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4）实施方案：利用罚没返还弥补单位工作经费。</w:t>
      </w:r>
    </w:p>
    <w:p w14:paraId="3BA13BE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5）实施周期：2025年</w:t>
      </w:r>
    </w:p>
    <w:p w14:paraId="66B6C2B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6）年度预算安排：20万元</w:t>
      </w:r>
    </w:p>
    <w:p w14:paraId="0C5844B1">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2025年“三公</w:t>
      </w:r>
      <w:r>
        <w:rPr>
          <w:rFonts w:ascii="楷体_GB2312" w:eastAsia="楷体_GB2312"/>
          <w:b/>
          <w:sz w:val="32"/>
          <w:szCs w:val="30"/>
        </w:rPr>
        <w:t>”</w:t>
      </w:r>
      <w:r>
        <w:rPr>
          <w:rFonts w:hint="eastAsia" w:ascii="楷体_GB2312" w:eastAsia="楷体_GB2312"/>
          <w:b/>
          <w:sz w:val="32"/>
          <w:szCs w:val="30"/>
        </w:rPr>
        <w:t>经费预算情况说明</w:t>
      </w:r>
    </w:p>
    <w:p w14:paraId="314FF0DA">
      <w:pPr>
        <w:ind w:firstLine="640" w:firstLineChars="200"/>
        <w:jc w:val="left"/>
        <w:rPr>
          <w:rFonts w:hint="eastAsia"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5年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ascii="仿宋" w:hAnsi="仿宋" w:eastAsia="仿宋"/>
          <w:bCs/>
          <w:sz w:val="32"/>
          <w:szCs w:val="32"/>
        </w:rPr>
        <w:t>庐山市市场监督管理局</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经费财政拨款安排10.73万元，其中：</w:t>
      </w:r>
    </w:p>
    <w:p w14:paraId="62D797A9">
      <w:pPr>
        <w:ind w:firstLine="640" w:firstLineChars="200"/>
        <w:jc w:val="left"/>
        <w:rPr>
          <w:rFonts w:hint="eastAsia"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33A4415">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2.4</w:t>
      </w:r>
      <w:r>
        <w:rPr>
          <w:rFonts w:ascii="仿宋" w:hAnsi="仿宋" w:eastAsia="仿宋"/>
          <w:bCs/>
          <w:sz w:val="32"/>
          <w:szCs w:val="32"/>
        </w:rPr>
        <w:t>万元,比上年增</w:t>
      </w:r>
      <w:bookmarkStart w:id="0" w:name="_GoBack"/>
      <w:bookmarkEnd w:id="0"/>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01A3189">
      <w:pPr>
        <w:ind w:firstLine="640"/>
        <w:rPr>
          <w:b/>
          <w:bCs/>
        </w:rPr>
      </w:pPr>
      <w:r>
        <w:rPr>
          <w:rFonts w:ascii="仿宋" w:hAnsi="仿宋" w:eastAsia="仿宋"/>
          <w:bCs/>
          <w:sz w:val="32"/>
          <w:szCs w:val="32"/>
        </w:rPr>
        <w:t>公务用车运行</w:t>
      </w:r>
      <w:r>
        <w:rPr>
          <w:rFonts w:hint="eastAsia" w:ascii="仿宋" w:hAnsi="仿宋" w:eastAsia="仿宋"/>
          <w:bCs/>
          <w:sz w:val="32"/>
          <w:szCs w:val="32"/>
        </w:rPr>
        <w:t>8.33</w:t>
      </w:r>
      <w:r>
        <w:rPr>
          <w:rFonts w:ascii="仿宋" w:hAnsi="仿宋" w:eastAsia="仿宋"/>
          <w:bCs/>
          <w:sz w:val="32"/>
          <w:szCs w:val="32"/>
        </w:rPr>
        <w:t>万元,比上年减</w:t>
      </w:r>
      <w:r>
        <w:rPr>
          <w:rFonts w:hint="eastAsia" w:ascii="仿宋" w:hAnsi="仿宋" w:eastAsia="仿宋"/>
          <w:bCs/>
          <w:sz w:val="32"/>
          <w:szCs w:val="32"/>
        </w:rPr>
        <w:t>3.3</w:t>
      </w:r>
      <w:r>
        <w:rPr>
          <w:rFonts w:ascii="仿宋" w:hAnsi="仿宋" w:eastAsia="仿宋"/>
          <w:bCs/>
          <w:sz w:val="32"/>
          <w:szCs w:val="32"/>
        </w:rPr>
        <w:t>万元，主要原因是：</w:t>
      </w:r>
      <w:r>
        <w:rPr>
          <w:rFonts w:hint="eastAsia" w:ascii="仿宋" w:hAnsi="仿宋" w:eastAsia="仿宋"/>
          <w:bCs/>
          <w:sz w:val="32"/>
          <w:szCs w:val="32"/>
        </w:rPr>
        <w:t>电车置换原有的燃油车，节约了相关用油成本</w:t>
      </w:r>
      <w:r>
        <w:rPr>
          <w:rFonts w:ascii="仿宋" w:hAnsi="仿宋" w:eastAsia="仿宋"/>
          <w:bCs/>
          <w:sz w:val="32"/>
          <w:szCs w:val="32"/>
        </w:rPr>
        <w:t>。</w:t>
      </w:r>
    </w:p>
    <w:p w14:paraId="739BF165">
      <w:pPr>
        <w:ind w:firstLine="640" w:firstLineChars="200"/>
        <w:jc w:val="left"/>
        <w:rPr>
          <w:rStyle w:val="10"/>
          <w:rFonts w:hint="eastAsia"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88B703">
      <w:pPr>
        <w:widowControl/>
        <w:shd w:val="clear" w:color="auto" w:fill="FFFFFF"/>
        <w:spacing w:line="640" w:lineRule="atLeast"/>
        <w:rPr>
          <w:rFonts w:ascii="仿宋_GB2312" w:eastAsia="仿宋_GB2312"/>
          <w:b/>
          <w:sz w:val="32"/>
          <w:szCs w:val="30"/>
        </w:rPr>
      </w:pPr>
    </w:p>
    <w:p w14:paraId="57E1C9BA">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C04C408">
      <w:pPr>
        <w:widowControl/>
        <w:shd w:val="clear" w:color="auto" w:fill="FFFFFF"/>
        <w:spacing w:line="640" w:lineRule="atLeast"/>
        <w:ind w:firstLine="800" w:firstLineChars="25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DE12A1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3219981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1AED7AD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238F1A1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3E8F232">
      <w:pPr>
        <w:widowControl/>
        <w:spacing w:line="580" w:lineRule="exact"/>
        <w:ind w:firstLine="636"/>
        <w:jc w:val="left"/>
        <w:rPr>
          <w:rFonts w:hint="eastAsia"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AA03C1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02DDC4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0A676F4D">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使用非财政拨款结余：填列历年滚存的非限定用途的非统计财政拨款结余弥补2025年收支差额的数额。</w:t>
      </w:r>
    </w:p>
    <w:p w14:paraId="3D258D9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上年结转和结余：填列2024年全部结转和结余的资金数，包括当年结转结余资金和历年滚存结转结余资金。</w:t>
      </w:r>
    </w:p>
    <w:p w14:paraId="64B6225D">
      <w:pPr>
        <w:ind w:firstLine="640" w:firstLineChars="200"/>
        <w:rPr>
          <w:rFonts w:hint="eastAsia" w:ascii="Adobe 仿宋 Std R" w:hAnsi="Adobe 仿宋 Std R" w:eastAsia="Adobe 仿宋 Std R"/>
          <w:sz w:val="32"/>
          <w:szCs w:val="32"/>
        </w:rPr>
      </w:pPr>
    </w:p>
    <w:p w14:paraId="3A512653">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5637FE2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D1D899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3133350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14860D9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75C4D8C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1BBC886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2ACACAD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0D45CA4">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2DF2E4CF">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A409BE2">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247B183">
      <w:pPr>
        <w:widowControl/>
        <w:spacing w:line="600" w:lineRule="exact"/>
        <w:ind w:firstLine="640" w:firstLineChars="200"/>
        <w:jc w:val="left"/>
        <w:rPr>
          <w:rFonts w:ascii="仿宋_GB2312" w:eastAsia="仿宋_GB2312"/>
          <w:color w:val="000000"/>
          <w:sz w:val="32"/>
          <w:szCs w:val="30"/>
        </w:rPr>
      </w:pPr>
    </w:p>
    <w:p w14:paraId="3371BC24">
      <w:pPr>
        <w:ind w:firstLine="640" w:firstLineChars="200"/>
        <w:rPr>
          <w:rFonts w:hint="eastAsia"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27DA">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56164FE4"/>
    <w:multiLevelType w:val="multilevel"/>
    <w:tmpl w:val="56164FE4"/>
    <w:lvl w:ilvl="0" w:tentative="0">
      <w:start w:val="3"/>
      <w:numFmt w:val="decimal"/>
      <w:lvlText w:val="%1）"/>
      <w:lvlJc w:val="left"/>
      <w:pPr>
        <w:ind w:left="1362" w:hanging="720"/>
      </w:pPr>
      <w:rPr>
        <w:rFonts w:hint="default"/>
      </w:rPr>
    </w:lvl>
    <w:lvl w:ilvl="1" w:tentative="0">
      <w:start w:val="1"/>
      <w:numFmt w:val="lowerLetter"/>
      <w:lvlText w:val="%2)"/>
      <w:lvlJc w:val="left"/>
      <w:pPr>
        <w:ind w:left="1522" w:hanging="440"/>
      </w:pPr>
    </w:lvl>
    <w:lvl w:ilvl="2" w:tentative="0">
      <w:start w:val="1"/>
      <w:numFmt w:val="lowerRoman"/>
      <w:lvlText w:val="%3."/>
      <w:lvlJc w:val="right"/>
      <w:pPr>
        <w:ind w:left="1962" w:hanging="440"/>
      </w:pPr>
    </w:lvl>
    <w:lvl w:ilvl="3" w:tentative="0">
      <w:start w:val="1"/>
      <w:numFmt w:val="decimal"/>
      <w:lvlText w:val="%4."/>
      <w:lvlJc w:val="left"/>
      <w:pPr>
        <w:ind w:left="2402" w:hanging="440"/>
      </w:pPr>
    </w:lvl>
    <w:lvl w:ilvl="4" w:tentative="0">
      <w:start w:val="1"/>
      <w:numFmt w:val="lowerLetter"/>
      <w:lvlText w:val="%5)"/>
      <w:lvlJc w:val="left"/>
      <w:pPr>
        <w:ind w:left="2842" w:hanging="440"/>
      </w:pPr>
    </w:lvl>
    <w:lvl w:ilvl="5" w:tentative="0">
      <w:start w:val="1"/>
      <w:numFmt w:val="lowerRoman"/>
      <w:lvlText w:val="%6."/>
      <w:lvlJc w:val="right"/>
      <w:pPr>
        <w:ind w:left="3282" w:hanging="440"/>
      </w:pPr>
    </w:lvl>
    <w:lvl w:ilvl="6" w:tentative="0">
      <w:start w:val="1"/>
      <w:numFmt w:val="decimal"/>
      <w:lvlText w:val="%7."/>
      <w:lvlJc w:val="left"/>
      <w:pPr>
        <w:ind w:left="3722" w:hanging="440"/>
      </w:pPr>
    </w:lvl>
    <w:lvl w:ilvl="7" w:tentative="0">
      <w:start w:val="1"/>
      <w:numFmt w:val="lowerLetter"/>
      <w:lvlText w:val="%8)"/>
      <w:lvlJc w:val="left"/>
      <w:pPr>
        <w:ind w:left="4162" w:hanging="440"/>
      </w:pPr>
    </w:lvl>
    <w:lvl w:ilvl="8" w:tentative="0">
      <w:start w:val="1"/>
      <w:numFmt w:val="lowerRoman"/>
      <w:lvlText w:val="%9."/>
      <w:lvlJc w:val="right"/>
      <w:pPr>
        <w:ind w:left="4602" w:hanging="440"/>
      </w:p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A20FB"/>
    <w:rsid w:val="001C4ED5"/>
    <w:rsid w:val="001C5244"/>
    <w:rsid w:val="001C6F31"/>
    <w:rsid w:val="001D2644"/>
    <w:rsid w:val="001E0EE7"/>
    <w:rsid w:val="001E6FA2"/>
    <w:rsid w:val="001F1DED"/>
    <w:rsid w:val="0021331D"/>
    <w:rsid w:val="00213D4E"/>
    <w:rsid w:val="0022612A"/>
    <w:rsid w:val="00232A32"/>
    <w:rsid w:val="002436CD"/>
    <w:rsid w:val="00251AD0"/>
    <w:rsid w:val="002651BE"/>
    <w:rsid w:val="00273E64"/>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15AF"/>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11F"/>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251FB"/>
    <w:rsid w:val="0094115F"/>
    <w:rsid w:val="009421D2"/>
    <w:rsid w:val="0094514C"/>
    <w:rsid w:val="00946A59"/>
    <w:rsid w:val="009471C3"/>
    <w:rsid w:val="0095097A"/>
    <w:rsid w:val="009527A7"/>
    <w:rsid w:val="009557AC"/>
    <w:rsid w:val="00956999"/>
    <w:rsid w:val="009619B4"/>
    <w:rsid w:val="00964DCD"/>
    <w:rsid w:val="009700BA"/>
    <w:rsid w:val="00973905"/>
    <w:rsid w:val="0097415C"/>
    <w:rsid w:val="0098300E"/>
    <w:rsid w:val="00984ACE"/>
    <w:rsid w:val="009A4624"/>
    <w:rsid w:val="009A7AB9"/>
    <w:rsid w:val="009B2C7D"/>
    <w:rsid w:val="009B4813"/>
    <w:rsid w:val="009C2EBF"/>
    <w:rsid w:val="009C3827"/>
    <w:rsid w:val="009D3197"/>
    <w:rsid w:val="009E1C45"/>
    <w:rsid w:val="009E1F3F"/>
    <w:rsid w:val="009F72E5"/>
    <w:rsid w:val="00A01A1A"/>
    <w:rsid w:val="00A0455D"/>
    <w:rsid w:val="00A10F16"/>
    <w:rsid w:val="00A2168A"/>
    <w:rsid w:val="00A345A4"/>
    <w:rsid w:val="00A54282"/>
    <w:rsid w:val="00A55773"/>
    <w:rsid w:val="00A60B4D"/>
    <w:rsid w:val="00A75EBF"/>
    <w:rsid w:val="00A81BA2"/>
    <w:rsid w:val="00AA62DE"/>
    <w:rsid w:val="00AB656D"/>
    <w:rsid w:val="00AB7307"/>
    <w:rsid w:val="00AC370A"/>
    <w:rsid w:val="00AD3C7A"/>
    <w:rsid w:val="00AF095D"/>
    <w:rsid w:val="00AF57C9"/>
    <w:rsid w:val="00AF62CD"/>
    <w:rsid w:val="00B01C3E"/>
    <w:rsid w:val="00B0337F"/>
    <w:rsid w:val="00B128C8"/>
    <w:rsid w:val="00B169A7"/>
    <w:rsid w:val="00B348A8"/>
    <w:rsid w:val="00B42180"/>
    <w:rsid w:val="00B56345"/>
    <w:rsid w:val="00B619F8"/>
    <w:rsid w:val="00B6242B"/>
    <w:rsid w:val="00B71EBE"/>
    <w:rsid w:val="00B82840"/>
    <w:rsid w:val="00B96CEB"/>
    <w:rsid w:val="00BA572C"/>
    <w:rsid w:val="00BF0316"/>
    <w:rsid w:val="00C01BAD"/>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57726"/>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36B64"/>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5E4D2898"/>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 w:type="paragraph" w:styleId="13">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7931</Words>
  <Characters>8459</Characters>
  <Lines>78</Lines>
  <Paragraphs>22</Paragraphs>
  <TotalTime>134</TotalTime>
  <ScaleCrop>false</ScaleCrop>
  <LinksUpToDate>false</LinksUpToDate>
  <CharactersWithSpaces>8498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2025-01-08T07:08:00Z</dcterms:created>
  <dc:creator>NTKO</dc:creator>
  <cp:lastModifiedBy>白芷未央</cp:lastModifiedBy>
  <dcterms:modified xsi:type="dcterms:W3CDTF">2025-01-09T02:01:35Z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eyJoZGlkIjoiNTJhMjZlY2EwNjQ2Y2E3OTM2MmVmODk3M2NmMjdjNmEiLCJ1c2VySWQiOiI3MDUzMjUwNzQifQ==</vt:lpwstr>
  </property>
</Properties>
</file>