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E4922D">
      <w:pPr>
        <w:widowControl/>
        <w:spacing w:line="520" w:lineRule="atLeast"/>
        <w:jc w:val="center"/>
        <w:rPr>
          <w:rFonts w:ascii="黑体" w:hAnsi="黑体" w:eastAsia="黑体" w:cs="Times New Roman"/>
          <w:b/>
          <w:bCs/>
          <w:color w:val="000000"/>
          <w:kern w:val="0"/>
          <w:sz w:val="44"/>
          <w:szCs w:val="44"/>
        </w:rPr>
      </w:pPr>
      <w:r>
        <w:rPr>
          <w:rFonts w:ascii="黑体" w:hAnsi="黑体" w:eastAsia="黑体" w:cs="Times New Roman"/>
          <w:b/>
          <w:bCs/>
          <w:color w:val="000000"/>
          <w:kern w:val="0"/>
          <w:sz w:val="44"/>
          <w:szCs w:val="44"/>
        </w:rPr>
        <w:fldChar w:fldCharType="begin"/>
      </w:r>
      <w:r>
        <w:rPr>
          <w:rFonts w:ascii="黑体" w:hAnsi="黑体" w:eastAsia="黑体" w:cs="Times New Roman"/>
          <w:b/>
          <w:bCs/>
          <w:color w:val="000000"/>
          <w:kern w:val="0"/>
          <w:sz w:val="44"/>
          <w:szCs w:val="44"/>
        </w:rPr>
        <w:instrText xml:space="preserve">MERGEFIELD ${page540426799.ds254512694_REP_JXJC_AGENCY_WZR_NAME}</w:instrText>
      </w:r>
      <w:r>
        <w:rPr>
          <w:rFonts w:ascii="黑体" w:hAnsi="黑体" w:eastAsia="黑体" w:cs="Times New Roman"/>
          <w:b/>
          <w:bCs/>
          <w:color w:val="000000"/>
          <w:kern w:val="0"/>
          <w:sz w:val="44"/>
          <w:szCs w:val="44"/>
        </w:rPr>
        <w:fldChar w:fldCharType="separate"/>
      </w:r>
      <w:r>
        <w:rPr>
          <w:rFonts w:hint="eastAsia" w:ascii="黑体" w:hAnsi="黑体" w:eastAsia="黑体" w:cs="Times New Roman"/>
          <w:b/>
          <w:bCs/>
          <w:color w:val="000000"/>
          <w:kern w:val="0"/>
          <w:sz w:val="44"/>
          <w:szCs w:val="44"/>
        </w:rPr>
        <w:t>庐山市工业和信息化局</w:t>
      </w:r>
      <w:r>
        <w:fldChar w:fldCharType="end"/>
      </w:r>
      <w:r>
        <w:rPr>
          <w:rFonts w:hint="eastAsia" w:ascii="黑体" w:hAnsi="黑体" w:eastAsia="黑体" w:cs="Times New Roman"/>
          <w:b/>
          <w:bCs/>
          <w:color w:val="000000"/>
          <w:kern w:val="0"/>
          <w:sz w:val="44"/>
          <w:szCs w:val="44"/>
          <w:lang w:eastAsia="zh-CN"/>
        </w:rPr>
        <w:t>202</w:t>
      </w:r>
      <w:r>
        <w:rPr>
          <w:rFonts w:hint="eastAsia" w:ascii="黑体" w:hAnsi="黑体" w:eastAsia="黑体" w:cs="Times New Roman"/>
          <w:b/>
          <w:bCs/>
          <w:color w:val="000000"/>
          <w:kern w:val="0"/>
          <w:sz w:val="44"/>
          <w:szCs w:val="44"/>
          <w:lang w:val="en-US" w:eastAsia="zh-CN"/>
        </w:rPr>
        <w:t>5</w:t>
      </w:r>
      <w:r>
        <w:rPr>
          <w:rFonts w:hint="eastAsia" w:ascii="黑体" w:hAnsi="黑体" w:eastAsia="黑体" w:cs="Times New Roman"/>
          <w:b/>
          <w:bCs/>
          <w:color w:val="000000"/>
          <w:kern w:val="0"/>
          <w:sz w:val="44"/>
          <w:szCs w:val="44"/>
        </w:rPr>
        <w:t>年单位预算</w:t>
      </w:r>
    </w:p>
    <w:p w14:paraId="07B4E333">
      <w:pPr>
        <w:pStyle w:val="12"/>
        <w:spacing w:line="600" w:lineRule="atLeast"/>
        <w:jc w:val="center"/>
        <w:rPr>
          <w:rFonts w:ascii="黑体" w:hAnsi="黑体" w:eastAsia="黑体"/>
          <w:color w:val="000000"/>
          <w:sz w:val="32"/>
          <w:szCs w:val="32"/>
        </w:rPr>
      </w:pPr>
    </w:p>
    <w:p w14:paraId="399FBF89">
      <w:pPr>
        <w:pStyle w:val="12"/>
        <w:spacing w:line="600" w:lineRule="atLeast"/>
        <w:jc w:val="center"/>
        <w:rPr>
          <w:rFonts w:ascii="黑体" w:hAnsi="黑体" w:eastAsia="黑体"/>
          <w:color w:val="000000"/>
          <w:sz w:val="32"/>
          <w:szCs w:val="32"/>
        </w:rPr>
      </w:pPr>
      <w:r>
        <w:rPr>
          <w:rFonts w:hint="eastAsia" w:ascii="黑体" w:hAnsi="黑体" w:eastAsia="黑体"/>
          <w:color w:val="000000"/>
          <w:sz w:val="32"/>
          <w:szCs w:val="32"/>
        </w:rPr>
        <w:t>目    录</w:t>
      </w:r>
    </w:p>
    <w:p w14:paraId="553F60B2">
      <w:pPr>
        <w:pStyle w:val="12"/>
        <w:rPr>
          <w:rFonts w:ascii="宋体" w:hAnsi="宋体"/>
          <w:color w:val="000000"/>
        </w:rPr>
      </w:pPr>
    </w:p>
    <w:p w14:paraId="61B668E1">
      <w:pPr>
        <w:pStyle w:val="12"/>
        <w:tabs>
          <w:tab w:val="right" w:pos="8306"/>
        </w:tabs>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第一部分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rPr>
        <w:t>庐山市工信局</w:t>
      </w:r>
      <w:r>
        <w:fldChar w:fldCharType="end"/>
      </w:r>
      <w:r>
        <w:rPr>
          <w:rFonts w:hint="eastAsia" w:ascii="仿宋_GB2312" w:eastAsia="仿宋_GB2312"/>
          <w:b/>
          <w:bCs/>
          <w:color w:val="000000"/>
          <w:sz w:val="32"/>
          <w:szCs w:val="32"/>
        </w:rPr>
        <w:t>概况</w:t>
      </w:r>
      <w:r>
        <w:rPr>
          <w:rFonts w:ascii="仿宋_GB2312" w:eastAsia="仿宋_GB2312"/>
          <w:b/>
          <w:bCs/>
          <w:color w:val="000000"/>
          <w:sz w:val="32"/>
          <w:szCs w:val="32"/>
        </w:rPr>
        <w:tab/>
      </w:r>
    </w:p>
    <w:p w14:paraId="48C0C84B">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 xml:space="preserve"> </w:t>
      </w: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主要职责</w:t>
      </w:r>
    </w:p>
    <w:p w14:paraId="2AAD77E9">
      <w:pPr>
        <w:pStyle w:val="12"/>
        <w:spacing w:line="600" w:lineRule="atLeast"/>
        <w:ind w:firstLine="1280" w:firstLineChars="40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机构设置及人员情况</w:t>
      </w:r>
    </w:p>
    <w:p w14:paraId="5D4DFFFB">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第二部分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rPr>
        <w:t>庐山市工信局</w:t>
      </w:r>
      <w:r>
        <w:fldChar w:fldCharType="end"/>
      </w:r>
      <w:r>
        <w:rPr>
          <w:rFonts w:hint="eastAsia" w:ascii="仿宋_GB2312" w:eastAsia="仿宋_GB2312"/>
          <w:b/>
          <w:bCs/>
          <w:color w:val="000000"/>
          <w:sz w:val="32"/>
          <w:szCs w:val="32"/>
          <w:lang w:eastAsia="zh-CN"/>
        </w:rPr>
        <w:t>2025</w:t>
      </w:r>
      <w:r>
        <w:rPr>
          <w:rFonts w:hint="eastAsia" w:ascii="仿宋_GB2312" w:eastAsia="仿宋_GB2312"/>
          <w:b/>
          <w:bCs/>
          <w:color w:val="000000"/>
          <w:sz w:val="32"/>
          <w:szCs w:val="32"/>
        </w:rPr>
        <w:t>年单位预算表</w:t>
      </w:r>
    </w:p>
    <w:p w14:paraId="2A1C39C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一、《收支预算总表》</w:t>
      </w:r>
    </w:p>
    <w:p w14:paraId="473E9B28">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二、《</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收入总表》</w:t>
      </w:r>
    </w:p>
    <w:p w14:paraId="0209FDD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三、《</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支出总表》</w:t>
      </w:r>
    </w:p>
    <w:p w14:paraId="49FFCBCD">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四、《财政拨款收支总表》</w:t>
      </w:r>
    </w:p>
    <w:p w14:paraId="32F5DC45">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五、《一般公共预算支出表》</w:t>
      </w:r>
    </w:p>
    <w:p w14:paraId="1CCE38C7">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六、《一般公共预算基本支出表》</w:t>
      </w:r>
    </w:p>
    <w:p w14:paraId="35BA4DBA">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七、《财政拨款“三公”经费支出表》</w:t>
      </w:r>
    </w:p>
    <w:p w14:paraId="7E1ADE1E">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八、《政府性基金预算支出表》</w:t>
      </w:r>
    </w:p>
    <w:p w14:paraId="5CF3153A">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九、《</w:t>
      </w:r>
      <w:r>
        <w:rPr>
          <w:rFonts w:hint="eastAsia" w:ascii="Adobe 仿宋 Std R" w:hAnsi="Adobe 仿宋 Std R" w:eastAsia="Adobe 仿宋 Std R" w:cstheme="minorBidi"/>
          <w:kern w:val="2"/>
          <w:sz w:val="32"/>
          <w:szCs w:val="30"/>
        </w:rPr>
        <w:t>国有资本经营</w:t>
      </w:r>
      <w:r>
        <w:rPr>
          <w:rFonts w:ascii="Adobe 仿宋 Std R" w:hAnsi="Adobe 仿宋 Std R" w:eastAsia="Adobe 仿宋 Std R" w:cstheme="minorBidi"/>
          <w:kern w:val="2"/>
          <w:sz w:val="32"/>
          <w:szCs w:val="30"/>
        </w:rPr>
        <w:t>预算支出表》</w:t>
      </w:r>
      <w:r>
        <w:rPr>
          <w:rFonts w:hint="eastAsia" w:ascii="Adobe 仿宋 Std R" w:hAnsi="Adobe 仿宋 Std R" w:eastAsia="Adobe 仿宋 Std R" w:cstheme="minorBidi"/>
          <w:kern w:val="2"/>
          <w:sz w:val="32"/>
          <w:szCs w:val="30"/>
        </w:rPr>
        <w:tab/>
      </w:r>
    </w:p>
    <w:p w14:paraId="3868CC40">
      <w:pPr>
        <w:pStyle w:val="12"/>
        <w:tabs>
          <w:tab w:val="left" w:pos="6546"/>
        </w:tabs>
        <w:spacing w:line="600" w:lineRule="atLeast"/>
        <w:ind w:firstLine="1280"/>
        <w:jc w:val="left"/>
        <w:rPr>
          <w:rFonts w:ascii="Adobe 仿宋 Std R" w:hAnsi="Adobe 仿宋 Std R" w:eastAsia="Adobe 仿宋 Std R" w:cstheme="minorBidi"/>
          <w:kern w:val="2"/>
          <w:sz w:val="32"/>
          <w:szCs w:val="30"/>
        </w:rPr>
      </w:pPr>
      <w:r>
        <w:rPr>
          <w:rFonts w:hint="eastAsia" w:ascii="Adobe 仿宋 Std R" w:hAnsi="Adobe 仿宋 Std R" w:eastAsia="Adobe 仿宋 Std R" w:cstheme="minorBidi"/>
          <w:kern w:val="2"/>
          <w:sz w:val="32"/>
          <w:szCs w:val="30"/>
        </w:rPr>
        <w:t>十、</w:t>
      </w:r>
      <w:r>
        <w:rPr>
          <w:rFonts w:ascii="Adobe 仿宋 Std R" w:hAnsi="Adobe 仿宋 Std R" w:eastAsia="Adobe 仿宋 Std R" w:cstheme="minorBidi"/>
          <w:kern w:val="2"/>
          <w:sz w:val="32"/>
          <w:szCs w:val="30"/>
        </w:rPr>
        <w:t>《</w:t>
      </w:r>
      <w:r>
        <w:rPr>
          <w:rFonts w:hint="eastAsia" w:ascii="Adobe 仿宋 Std R" w:hAnsi="Adobe 仿宋 Std R" w:eastAsia="Adobe 仿宋 Std R" w:cstheme="minorBidi"/>
          <w:kern w:val="2"/>
          <w:sz w:val="32"/>
          <w:szCs w:val="30"/>
        </w:rPr>
        <w:t>项目绩效目标表</w:t>
      </w:r>
      <w:r>
        <w:rPr>
          <w:rFonts w:ascii="Adobe 仿宋 Std R" w:hAnsi="Adobe 仿宋 Std R" w:eastAsia="Adobe 仿宋 Std R" w:cstheme="minorBidi"/>
          <w:kern w:val="2"/>
          <w:sz w:val="32"/>
          <w:szCs w:val="30"/>
        </w:rPr>
        <w:t>》</w:t>
      </w:r>
    </w:p>
    <w:p w14:paraId="4F9B3F23">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 xml:space="preserve">第三部分 </w:t>
      </w:r>
      <w:r>
        <w:rPr>
          <w:rFonts w:ascii="仿宋_GB2312" w:eastAsia="仿宋_GB2312"/>
          <w:b/>
          <w:bCs/>
          <w:color w:val="000000"/>
          <w:sz w:val="32"/>
          <w:szCs w:val="32"/>
        </w:rPr>
        <w:fldChar w:fldCharType="begin"/>
      </w:r>
      <w:r>
        <w:rPr>
          <w:rFonts w:ascii="仿宋_GB2312" w:eastAsia="仿宋_GB2312"/>
          <w:b/>
          <w:bCs/>
          <w:color w:val="000000"/>
          <w:sz w:val="32"/>
          <w:szCs w:val="32"/>
        </w:rPr>
        <w:instrText xml:space="preserve">MERGEFIELD ${page540426799.ds254512694_REP_JXJC_AGENCY_WZR_NAME}</w:instrText>
      </w:r>
      <w:r>
        <w:rPr>
          <w:rFonts w:ascii="仿宋_GB2312" w:eastAsia="仿宋_GB2312"/>
          <w:b/>
          <w:bCs/>
          <w:color w:val="000000"/>
          <w:sz w:val="32"/>
          <w:szCs w:val="32"/>
        </w:rPr>
        <w:fldChar w:fldCharType="separate"/>
      </w:r>
      <w:r>
        <w:rPr>
          <w:rFonts w:hint="eastAsia" w:ascii="仿宋_GB2312" w:eastAsia="仿宋_GB2312"/>
          <w:b/>
          <w:bCs/>
          <w:color w:val="000000"/>
          <w:sz w:val="32"/>
          <w:szCs w:val="32"/>
        </w:rPr>
        <w:t>庐山市工信局</w:t>
      </w:r>
      <w:r>
        <w:fldChar w:fldCharType="end"/>
      </w:r>
      <w:r>
        <w:rPr>
          <w:rFonts w:hint="eastAsia" w:ascii="仿宋_GB2312" w:eastAsia="仿宋_GB2312"/>
          <w:b/>
          <w:bCs/>
          <w:color w:val="000000"/>
          <w:sz w:val="32"/>
          <w:szCs w:val="32"/>
          <w:lang w:eastAsia="zh-CN"/>
        </w:rPr>
        <w:t>2025</w:t>
      </w:r>
      <w:r>
        <w:rPr>
          <w:rFonts w:hint="eastAsia" w:ascii="仿宋_GB2312" w:eastAsia="仿宋_GB2312"/>
          <w:b/>
          <w:bCs/>
          <w:color w:val="000000"/>
          <w:sz w:val="32"/>
          <w:szCs w:val="32"/>
        </w:rPr>
        <w:t>年单位预算情况说明</w:t>
      </w:r>
    </w:p>
    <w:p w14:paraId="1B1B2258">
      <w:pPr>
        <w:pStyle w:val="12"/>
        <w:spacing w:line="600" w:lineRule="atLeast"/>
        <w:ind w:firstLine="128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一、</w:t>
      </w:r>
      <w:r>
        <w:rPr>
          <w:rFonts w:hint="eastAsia" w:ascii="Adobe 仿宋 Std R" w:hAnsi="Adobe 仿宋 Std R" w:eastAsia="Adobe 仿宋 Std R" w:cstheme="minorBidi"/>
          <w:kern w:val="2"/>
          <w:sz w:val="32"/>
          <w:szCs w:val="30"/>
          <w:lang w:eastAsia="zh-CN"/>
        </w:rPr>
        <w:t>2025</w:t>
      </w:r>
      <w:r>
        <w:rPr>
          <w:rFonts w:ascii="Adobe 仿宋 Std R" w:hAnsi="Adobe 仿宋 Std R" w:eastAsia="Adobe 仿宋 Std R" w:cstheme="minorBidi"/>
          <w:kern w:val="2"/>
          <w:sz w:val="32"/>
          <w:szCs w:val="30"/>
        </w:rPr>
        <w:t>年</w:t>
      </w:r>
      <w:r>
        <w:rPr>
          <w:rFonts w:hint="eastAsia" w:ascii="Adobe 仿宋 Std R" w:hAnsi="Adobe 仿宋 Std R" w:eastAsia="Adobe 仿宋 Std R" w:cstheme="minorBidi"/>
          <w:kern w:val="2"/>
          <w:sz w:val="32"/>
          <w:szCs w:val="30"/>
        </w:rPr>
        <w:t>单位</w:t>
      </w:r>
      <w:r>
        <w:rPr>
          <w:rFonts w:ascii="Adobe 仿宋 Std R" w:hAnsi="Adobe 仿宋 Std R" w:eastAsia="Adobe 仿宋 Std R" w:cstheme="minorBidi"/>
          <w:kern w:val="2"/>
          <w:sz w:val="32"/>
          <w:szCs w:val="30"/>
        </w:rPr>
        <w:t>预算收支情况说明</w:t>
      </w:r>
    </w:p>
    <w:p w14:paraId="66241C4B">
      <w:pPr>
        <w:pStyle w:val="12"/>
        <w:spacing w:line="600" w:lineRule="atLeast"/>
        <w:ind w:firstLine="1120" w:firstLineChars="350"/>
        <w:jc w:val="left"/>
        <w:rPr>
          <w:rFonts w:ascii="Adobe 仿宋 Std R" w:hAnsi="Adobe 仿宋 Std R" w:eastAsia="Adobe 仿宋 Std R" w:cstheme="minorBidi"/>
          <w:kern w:val="2"/>
          <w:sz w:val="32"/>
          <w:szCs w:val="30"/>
        </w:rPr>
      </w:pPr>
      <w:r>
        <w:rPr>
          <w:rFonts w:ascii="Adobe 仿宋 Std R" w:hAnsi="Adobe 仿宋 Std R" w:eastAsia="Adobe 仿宋 Std R" w:cstheme="minorBidi"/>
          <w:kern w:val="2"/>
          <w:sz w:val="32"/>
          <w:szCs w:val="30"/>
        </w:rPr>
        <w:t xml:space="preserve"> 二、</w:t>
      </w:r>
      <w:r>
        <w:rPr>
          <w:rFonts w:hint="eastAsia" w:ascii="Adobe 仿宋 Std R" w:hAnsi="Adobe 仿宋 Std R" w:eastAsia="Adobe 仿宋 Std R" w:cstheme="minorBidi"/>
          <w:kern w:val="2"/>
          <w:sz w:val="32"/>
          <w:szCs w:val="30"/>
          <w:lang w:eastAsia="zh-CN"/>
        </w:rPr>
        <w:t>2025</w:t>
      </w:r>
      <w:r>
        <w:rPr>
          <w:rFonts w:ascii="Adobe 仿宋 Std R" w:hAnsi="Adobe 仿宋 Std R" w:eastAsia="Adobe 仿宋 Std R" w:cstheme="minorBidi"/>
          <w:kern w:val="2"/>
          <w:sz w:val="32"/>
          <w:szCs w:val="30"/>
        </w:rPr>
        <w:t>年“三公”经费预算情况说明</w:t>
      </w:r>
    </w:p>
    <w:p w14:paraId="326A6992">
      <w:pPr>
        <w:pStyle w:val="12"/>
        <w:spacing w:line="600" w:lineRule="atLeast"/>
        <w:ind w:firstLine="640"/>
        <w:jc w:val="left"/>
        <w:rPr>
          <w:rFonts w:ascii="仿宋_GB2312" w:eastAsia="仿宋_GB2312"/>
          <w:b/>
          <w:bCs/>
          <w:color w:val="000000"/>
          <w:sz w:val="32"/>
          <w:szCs w:val="32"/>
        </w:rPr>
      </w:pPr>
      <w:r>
        <w:rPr>
          <w:rFonts w:hint="eastAsia" w:ascii="仿宋_GB2312" w:eastAsia="仿宋_GB2312"/>
          <w:b/>
          <w:bCs/>
          <w:color w:val="000000"/>
          <w:sz w:val="32"/>
          <w:szCs w:val="32"/>
        </w:rPr>
        <w:t>第四部分  名词解释</w:t>
      </w:r>
    </w:p>
    <w:p w14:paraId="6AA7E71C">
      <w:pPr>
        <w:widowControl/>
        <w:spacing w:line="580" w:lineRule="exact"/>
        <w:jc w:val="center"/>
        <w:rPr>
          <w:rFonts w:ascii="仿宋_GB2312" w:eastAsia="仿宋_GB2312"/>
          <w:b/>
          <w:sz w:val="32"/>
          <w:szCs w:val="30"/>
        </w:rPr>
      </w:pPr>
    </w:p>
    <w:p w14:paraId="6B0C19A8">
      <w:pPr>
        <w:widowControl/>
        <w:spacing w:line="580" w:lineRule="exact"/>
        <w:jc w:val="center"/>
        <w:rPr>
          <w:rFonts w:ascii="仿宋_GB2312" w:eastAsia="仿宋_GB2312"/>
          <w:b/>
          <w:sz w:val="32"/>
          <w:szCs w:val="30"/>
        </w:rPr>
      </w:pPr>
    </w:p>
    <w:p w14:paraId="5B3343F7">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第一部分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庐山市工信局</w:t>
      </w:r>
      <w:r>
        <w:fldChar w:fldCharType="end"/>
      </w:r>
      <w:r>
        <w:rPr>
          <w:rFonts w:hint="eastAsia" w:ascii="仿宋_GB2312" w:eastAsia="仿宋_GB2312"/>
          <w:b/>
          <w:sz w:val="32"/>
          <w:szCs w:val="30"/>
        </w:rPr>
        <w:t>概况</w:t>
      </w:r>
    </w:p>
    <w:p w14:paraId="3F61E0FA">
      <w:pPr>
        <w:widowControl/>
        <w:spacing w:line="580" w:lineRule="exact"/>
        <w:jc w:val="left"/>
        <w:rPr>
          <w:rFonts w:asciiTheme="minorEastAsia" w:hAnsiTheme="minorEastAsia"/>
          <w:b/>
          <w:sz w:val="36"/>
          <w:szCs w:val="36"/>
        </w:rPr>
      </w:pPr>
    </w:p>
    <w:p w14:paraId="4485A01A">
      <w:pPr>
        <w:widowControl/>
        <w:spacing w:line="580" w:lineRule="exact"/>
        <w:jc w:val="left"/>
        <w:rPr>
          <w:rFonts w:hint="eastAsia" w:ascii="楷体_GB2312" w:eastAsia="楷体_GB2312"/>
          <w:b/>
          <w:sz w:val="32"/>
          <w:szCs w:val="30"/>
        </w:rPr>
      </w:pPr>
      <w:r>
        <w:rPr>
          <w:rFonts w:hint="eastAsia" w:ascii="楷体_GB2312" w:eastAsia="楷体_GB2312"/>
          <w:b/>
          <w:sz w:val="32"/>
          <w:szCs w:val="30"/>
        </w:rPr>
        <w:t>一、单位主要职责</w:t>
      </w:r>
    </w:p>
    <w:p w14:paraId="260F3C14">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庐山市工信局是全额拨款正科级行政单位，属县一级财政预算单位，其主要职能是：</w:t>
      </w:r>
    </w:p>
    <w:p w14:paraId="6E5A1216">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（一）拟订全市工业和信息化发展的目标、规划和政策措施并组织实施，对有关执行情况进行督查。</w:t>
      </w:r>
    </w:p>
    <w:p w14:paraId="3A0BAB87">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（二）提出产业布局、结构调整建议，协调推进战略性新兴产业发展。</w:t>
      </w:r>
    </w:p>
    <w:p w14:paraId="34A5577F">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（三）协调解决工业经济运行中的有关问题并提出政策建议。</w:t>
      </w:r>
    </w:p>
    <w:p w14:paraId="70B6B9E5">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（四）组织实施工业行业技术规范、标准、行业准入，管理全市食盐专营工作。承担轻化建材行业管理工作。</w:t>
      </w:r>
    </w:p>
    <w:p w14:paraId="29D00517">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（五）组织推进企业创新体系建设和产学研相结合，推进相关科研成果产业化。</w:t>
      </w:r>
    </w:p>
    <w:p w14:paraId="24CF1706">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（六）拟订并组织实施工业园区发展规划，承担对全市工业园区的指导服务、综合协调工作。</w:t>
      </w:r>
    </w:p>
    <w:p w14:paraId="75A51743">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（七）负责提出工业和信息化固定资产投资规模和方向；按规定权限备案、审核、申报全市工业和信息化固定资产投资项目。</w:t>
      </w:r>
    </w:p>
    <w:p w14:paraId="66E9DB2C">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（八）承担全市工业节能管理和监察工作。负责全市新型墙体材料、散装水泥和预拌混凝土、预拌砂浆的管理工作。</w:t>
      </w:r>
    </w:p>
    <w:p w14:paraId="10CACC8B">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（九）负责中小微企业和非公有制经济发展的综合指导协调，负责建立和完善中小微企业服务体系，负责扶持中小企业发展专项资金项目的组织实施。</w:t>
      </w:r>
    </w:p>
    <w:p w14:paraId="0DD2B8A9">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（十）推进企业融资服务体系建设，提出意见建议。促进金融机构与企业建立合作机制，协调解决企业融资问题。</w:t>
      </w:r>
    </w:p>
    <w:p w14:paraId="427E40AF">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（十一）建立服务工业企业的工作体系，制定企业经营管理人员培训规划，并组织实施培训工作。</w:t>
      </w:r>
    </w:p>
    <w:p w14:paraId="1B7939A0">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（十二）统筹推进全市信息化工作，推进信息技术和互联网的普及应用，推进信息化和工业化融合。协调推进信息化基础设施建设，促进全市通信和信息服务业的发展，推动信息技术应用。</w:t>
      </w:r>
    </w:p>
    <w:p w14:paraId="7DBA50F7">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（十三）承担相关信息安全管理的职责，协调处理网络与信息安全的重大事件。</w:t>
      </w:r>
    </w:p>
    <w:p w14:paraId="70C62A34">
      <w:pPr>
        <w:widowControl/>
        <w:spacing w:line="580" w:lineRule="exact"/>
        <w:ind w:firstLine="640" w:firstLineChars="200"/>
        <w:jc w:val="left"/>
        <w:rPr>
          <w:rFonts w:ascii="Adobe 仿宋 Std R" w:hAnsi="Adobe 仿宋 Std R" w:eastAsia="Adobe 仿宋 Std R"/>
          <w:sz w:val="32"/>
          <w:szCs w:val="30"/>
        </w:rPr>
      </w:pPr>
      <w:r>
        <w:rPr>
          <w:rFonts w:hint="eastAsia" w:ascii="Adobe 仿宋 Std R" w:hAnsi="Adobe 仿宋 Std R" w:eastAsia="Adobe 仿宋 Std R"/>
          <w:sz w:val="32"/>
          <w:szCs w:val="30"/>
        </w:rPr>
        <w:t>（十四）提出市工业和信息化发展专项基金的年度预算建议，对资金使用情况进行监督管理，对资金使用结果进行评价和考核。负责国家、省、九江市工业和信息化领域产业专项扶持资金（基金）的申报和组织实施工作。</w:t>
      </w:r>
    </w:p>
    <w:p w14:paraId="32D30541">
      <w:pPr>
        <w:widowControl/>
        <w:spacing w:line="580" w:lineRule="exact"/>
        <w:jc w:val="left"/>
        <w:rPr>
          <w:rFonts w:hint="eastAsia" w:ascii="楷体_GB2312" w:eastAsia="楷体_GB2312"/>
          <w:b/>
          <w:sz w:val="32"/>
          <w:szCs w:val="30"/>
        </w:rPr>
      </w:pPr>
      <w:r>
        <w:rPr>
          <w:rFonts w:hint="eastAsia" w:ascii="楷体_GB2312" w:eastAsia="楷体_GB2312"/>
          <w:b/>
          <w:sz w:val="32"/>
          <w:szCs w:val="30"/>
        </w:rPr>
        <w:t>二、机构设置及人员情况</w:t>
      </w:r>
    </w:p>
    <w:p w14:paraId="66F16080">
      <w:pPr>
        <w:ind w:firstLine="640" w:firstLineChars="200"/>
        <w:rPr>
          <w:rFonts w:ascii="仿宋" w:hAnsi="仿宋" w:eastAsia="仿宋"/>
          <w:sz w:val="32"/>
          <w:szCs w:val="32"/>
        </w:rPr>
      </w:pPr>
      <w:r>
        <w:rPr>
          <w:rFonts w:hint="eastAsia" w:ascii="仿宋" w:hAnsi="仿宋" w:eastAsia="仿宋"/>
          <w:sz w:val="32"/>
          <w:szCs w:val="32"/>
          <w:lang w:eastAsia="zh-CN"/>
        </w:rPr>
        <w:t>2025</w:t>
      </w:r>
      <w:r>
        <w:rPr>
          <w:rFonts w:hint="eastAsia" w:ascii="仿宋" w:hAnsi="仿宋" w:eastAsia="仿宋"/>
          <w:sz w:val="32"/>
          <w:szCs w:val="32"/>
        </w:rPr>
        <w:t>年</w:t>
      </w:r>
      <w:r>
        <w:rPr>
          <w:rFonts w:ascii="仿宋" w:hAnsi="仿宋" w:eastAsia="仿宋"/>
          <w:sz w:val="32"/>
          <w:szCs w:val="32"/>
        </w:rPr>
        <w:fldChar w:fldCharType="begin"/>
      </w:r>
      <w:r>
        <w:rPr>
          <w:rFonts w:ascii="仿宋" w:hAnsi="仿宋" w:eastAsia="仿宋"/>
          <w:sz w:val="32"/>
          <w:szCs w:val="32"/>
        </w:rPr>
        <w:instrText xml:space="preserve">MERGEFIELD ${page540426799.ds254512694_REP_JXJC_AGENCY_WZR_NAME}</w:instrText>
      </w:r>
      <w:r>
        <w:rPr>
          <w:rFonts w:ascii="仿宋" w:hAnsi="仿宋" w:eastAsia="仿宋"/>
          <w:sz w:val="32"/>
          <w:szCs w:val="32"/>
        </w:rPr>
        <w:fldChar w:fldCharType="separate"/>
      </w:r>
      <w:r>
        <w:rPr>
          <w:rFonts w:hint="eastAsia" w:ascii="仿宋" w:hAnsi="仿宋" w:eastAsia="仿宋"/>
          <w:sz w:val="32"/>
          <w:szCs w:val="32"/>
        </w:rPr>
        <w:t>庐山市工信局</w:t>
      </w:r>
      <w:r>
        <w:fldChar w:fldCharType="end"/>
      </w:r>
      <w:r>
        <w:rPr>
          <w:rFonts w:hint="eastAsia" w:ascii="仿宋" w:hAnsi="仿宋" w:eastAsia="仿宋"/>
          <w:sz w:val="32"/>
          <w:szCs w:val="32"/>
        </w:rPr>
        <w:t>内设处室5个，</w:t>
      </w:r>
      <w:r>
        <w:rPr>
          <w:rFonts w:ascii="仿宋" w:hAnsi="仿宋" w:eastAsia="仿宋"/>
          <w:sz w:val="32"/>
          <w:szCs w:val="32"/>
        </w:rPr>
        <w:t>包括</w:t>
      </w:r>
      <w:r>
        <w:rPr>
          <w:rFonts w:hint="eastAsia" w:ascii="仿宋" w:hAnsi="仿宋" w:eastAsia="仿宋"/>
          <w:sz w:val="32"/>
          <w:szCs w:val="32"/>
        </w:rPr>
        <w:t>：办公室(政务服务股)、科技信息股、经济运行股、中小企业发展股（融资担保股、非公有制经济服务股）和行业管理办公室。</w:t>
      </w:r>
    </w:p>
    <w:p w14:paraId="17A3C83E">
      <w:pPr>
        <w:ind w:firstLine="640" w:firstLineChars="200"/>
        <w:rPr>
          <w:rFonts w:ascii="仿宋" w:hAnsi="仿宋" w:eastAsia="仿宋"/>
          <w:sz w:val="32"/>
          <w:szCs w:val="32"/>
        </w:rPr>
      </w:pP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${page400644146.ds532982397_REP_JX_BAS_AGENCY_INFO_ZYFRS_S_BZRSXJ}</w:instrText>
      </w:r>
      <w:r>
        <w:rPr>
          <w:rFonts w:ascii="仿宋" w:hAnsi="仿宋" w:eastAsia="仿宋"/>
          <w:sz w:val="32"/>
          <w:szCs w:val="32"/>
        </w:rPr>
        <w:fldChar w:fldCharType="separate"/>
      </w:r>
      <w:r>
        <w:rPr>
          <w:rFonts w:ascii="仿宋" w:hAnsi="仿宋" w:eastAsia="仿宋"/>
          <w:sz w:val="32"/>
          <w:szCs w:val="32"/>
        </w:rPr>
        <w:t>编制人数小计</w:t>
      </w:r>
      <w:r>
        <w:rPr>
          <w:rFonts w:hint="eastAsia" w:ascii="仿宋" w:hAnsi="仿宋" w:eastAsia="仿宋"/>
          <w:sz w:val="32"/>
          <w:szCs w:val="32"/>
          <w:lang w:val="en-US" w:eastAsia="zh-CN"/>
        </w:rPr>
        <w:t>16</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${page400644146.ds532982397_REP_JX_BAS_AGENCY_INFO_ZYFRS_S_BZRSMX}</w:instrText>
      </w:r>
      <w:r>
        <w:rPr>
          <w:rFonts w:ascii="仿宋" w:hAnsi="仿宋" w:eastAsia="仿宋"/>
          <w:sz w:val="32"/>
          <w:szCs w:val="32"/>
        </w:rPr>
        <w:fldChar w:fldCharType="separate"/>
      </w:r>
      <w:r>
        <w:rPr>
          <w:rFonts w:ascii="仿宋" w:hAnsi="仿宋" w:eastAsia="仿宋"/>
          <w:sz w:val="32"/>
          <w:szCs w:val="32"/>
        </w:rPr>
        <w:t>行政编制人数</w:t>
      </w:r>
      <w:r>
        <w:rPr>
          <w:rFonts w:hint="eastAsia" w:ascii="仿宋" w:hAnsi="仿宋" w:eastAsia="仿宋"/>
          <w:sz w:val="32"/>
          <w:szCs w:val="32"/>
        </w:rPr>
        <w:t>9</w:t>
      </w:r>
      <w:r>
        <w:rPr>
          <w:rFonts w:ascii="仿宋" w:hAnsi="仿宋" w:eastAsia="仿宋"/>
          <w:sz w:val="32"/>
          <w:szCs w:val="32"/>
        </w:rPr>
        <w:t>人,</w:t>
      </w:r>
      <w:r>
        <w:rPr>
          <w:rFonts w:hint="eastAsia" w:ascii="仿宋_GB2312" w:hAnsi="黑体" w:eastAsia="仿宋_GB2312"/>
          <w:sz w:val="32"/>
          <w:szCs w:val="32"/>
        </w:rPr>
        <w:t>参照公务员法管理的事业单位编制人数7人</w:t>
      </w:r>
      <w:r>
        <w:rPr>
          <w:rFonts w:ascii="仿宋" w:hAnsi="仿宋" w:eastAsia="仿宋"/>
          <w:sz w:val="32"/>
          <w:szCs w:val="32"/>
        </w:rPr>
        <w:t>。</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${page400644146.ds532982397_REP_JX_BAS_AGENCY_INFO_ZYFRS_S_SYRSXJ}</w:instrText>
      </w:r>
      <w:r>
        <w:rPr>
          <w:rFonts w:ascii="仿宋" w:hAnsi="仿宋" w:eastAsia="仿宋"/>
          <w:sz w:val="32"/>
          <w:szCs w:val="32"/>
        </w:rPr>
        <w:fldChar w:fldCharType="separate"/>
      </w:r>
      <w:r>
        <w:rPr>
          <w:rFonts w:ascii="仿宋" w:hAnsi="仿宋" w:eastAsia="仿宋"/>
          <w:sz w:val="32"/>
          <w:szCs w:val="32"/>
        </w:rPr>
        <w:t>实有人数小计</w:t>
      </w:r>
      <w:r>
        <w:rPr>
          <w:rFonts w:hint="eastAsia" w:ascii="仿宋" w:hAnsi="仿宋" w:eastAsia="仿宋"/>
          <w:sz w:val="32"/>
          <w:szCs w:val="32"/>
        </w:rPr>
        <w:t>1</w:t>
      </w:r>
      <w:r>
        <w:rPr>
          <w:rFonts w:hint="eastAsia" w:ascii="仿宋" w:hAnsi="仿宋" w:eastAsia="仿宋"/>
          <w:sz w:val="32"/>
          <w:szCs w:val="32"/>
          <w:lang w:val="en-US" w:eastAsia="zh-CN"/>
        </w:rPr>
        <w:t>3</w:t>
      </w:r>
      <w:r>
        <w:rPr>
          <w:rFonts w:ascii="仿宋" w:hAnsi="仿宋" w:eastAsia="仿宋"/>
          <w:sz w:val="32"/>
          <w:szCs w:val="32"/>
        </w:rPr>
        <w:t>人,</w:t>
      </w:r>
      <w:r>
        <w:fldChar w:fldCharType="end"/>
      </w:r>
      <w:r>
        <w:rPr>
          <w:rFonts w:ascii="仿宋" w:hAnsi="仿宋" w:eastAsia="仿宋"/>
          <w:sz w:val="32"/>
          <w:szCs w:val="32"/>
        </w:rPr>
        <w:t>其中：</w:t>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${page400644146.ds532982397_REP_JX_BAS_AGENCY_INFO_ZYFRS_S_ZZRSXJ}</w:instrText>
      </w:r>
      <w:r>
        <w:rPr>
          <w:rFonts w:ascii="仿宋" w:hAnsi="仿宋" w:eastAsia="仿宋"/>
          <w:sz w:val="32"/>
          <w:szCs w:val="32"/>
        </w:rPr>
        <w:fldChar w:fldCharType="separate"/>
      </w:r>
      <w:r>
        <w:rPr>
          <w:rFonts w:ascii="仿宋" w:hAnsi="仿宋" w:eastAsia="仿宋"/>
          <w:sz w:val="32"/>
          <w:szCs w:val="32"/>
        </w:rPr>
        <w:t>在职人数小计</w:t>
      </w:r>
      <w:r>
        <w:rPr>
          <w:rFonts w:hint="eastAsia" w:ascii="仿宋" w:hAnsi="仿宋" w:eastAsia="仿宋"/>
          <w:sz w:val="32"/>
          <w:szCs w:val="32"/>
          <w:lang w:val="en-US" w:eastAsia="zh-CN"/>
        </w:rPr>
        <w:t>13</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${page400644146.ds532982397_REP_JX_BAS_AGENCY_INFO_ZYFRS_S_ZZRSMX}</w:instrText>
      </w:r>
      <w:r>
        <w:rPr>
          <w:rFonts w:ascii="仿宋" w:hAnsi="仿宋" w:eastAsia="仿宋"/>
          <w:sz w:val="32"/>
          <w:szCs w:val="32"/>
        </w:rPr>
        <w:fldChar w:fldCharType="separate"/>
      </w:r>
      <w:r>
        <w:rPr>
          <w:rFonts w:ascii="仿宋" w:hAnsi="仿宋" w:eastAsia="仿宋"/>
          <w:sz w:val="32"/>
          <w:szCs w:val="32"/>
        </w:rPr>
        <w:t>行政在职人数</w:t>
      </w:r>
      <w:r>
        <w:rPr>
          <w:rFonts w:hint="eastAsia" w:ascii="仿宋" w:hAnsi="仿宋" w:eastAsia="仿宋"/>
          <w:sz w:val="32"/>
          <w:szCs w:val="32"/>
          <w:lang w:val="en-US" w:eastAsia="zh-CN"/>
        </w:rPr>
        <w:t>4</w:t>
      </w:r>
      <w:r>
        <w:rPr>
          <w:rFonts w:ascii="仿宋" w:hAnsi="仿宋" w:eastAsia="仿宋"/>
          <w:sz w:val="32"/>
          <w:szCs w:val="32"/>
        </w:rPr>
        <w:t>人,</w:t>
      </w:r>
      <w:r>
        <w:rPr>
          <w:rFonts w:hint="eastAsia" w:ascii="仿宋" w:hAnsi="仿宋" w:eastAsia="仿宋" w:cs="仿宋"/>
          <w:sz w:val="30"/>
          <w:szCs w:val="30"/>
        </w:rPr>
        <w:t>参照公务员管理的事业单位在职人数</w:t>
      </w:r>
      <w:r>
        <w:rPr>
          <w:rFonts w:hint="eastAsia" w:ascii="仿宋" w:hAnsi="仿宋" w:eastAsia="仿宋" w:cs="仿宋"/>
          <w:sz w:val="30"/>
          <w:szCs w:val="30"/>
          <w:lang w:val="en-US" w:eastAsia="zh-CN"/>
        </w:rPr>
        <w:t>3</w:t>
      </w:r>
      <w:r>
        <w:rPr>
          <w:rFonts w:hint="eastAsia" w:ascii="仿宋" w:hAnsi="仿宋" w:eastAsia="仿宋" w:cs="仿宋"/>
          <w:sz w:val="30"/>
          <w:szCs w:val="30"/>
        </w:rPr>
        <w:t>人，</w:t>
      </w:r>
      <w:r>
        <w:rPr>
          <w:rFonts w:ascii="仿宋" w:hAnsi="仿宋" w:eastAsia="仿宋"/>
          <w:sz w:val="32"/>
          <w:szCs w:val="32"/>
        </w:rPr>
        <w:t>全部补助事业在职人数</w:t>
      </w:r>
      <w:r>
        <w:rPr>
          <w:rFonts w:hint="eastAsia" w:ascii="仿宋" w:hAnsi="仿宋" w:eastAsia="仿宋"/>
          <w:sz w:val="32"/>
          <w:szCs w:val="32"/>
          <w:lang w:val="en-US" w:eastAsia="zh-CN"/>
        </w:rPr>
        <w:t>6</w:t>
      </w:r>
      <w:r>
        <w:rPr>
          <w:rFonts w:ascii="仿宋" w:hAnsi="仿宋" w:eastAsia="仿宋"/>
          <w:sz w:val="32"/>
          <w:szCs w:val="32"/>
        </w:rPr>
        <w:t>人。</w:t>
      </w:r>
      <w:r>
        <w:fldChar w:fldCharType="end"/>
      </w:r>
      <w:r>
        <w:rPr>
          <w:rFonts w:ascii="仿宋" w:hAnsi="仿宋" w:eastAsia="仿宋"/>
          <w:sz w:val="32"/>
          <w:szCs w:val="32"/>
        </w:rPr>
        <w:fldChar w:fldCharType="begin"/>
      </w:r>
      <w:r>
        <w:rPr>
          <w:rFonts w:ascii="仿宋" w:hAnsi="仿宋" w:eastAsia="仿宋"/>
          <w:sz w:val="32"/>
          <w:szCs w:val="32"/>
        </w:rPr>
        <w:instrText xml:space="preserve">MERGEFIELD ${page400644146.ds532982397_REP_JX_BAS_AGENCY_INFO_ZYFRS_S_QTRSMX}</w:instrText>
      </w:r>
      <w:r>
        <w:rPr>
          <w:rFonts w:ascii="仿宋" w:hAnsi="仿宋" w:eastAsia="仿宋"/>
          <w:sz w:val="32"/>
          <w:szCs w:val="32"/>
        </w:rPr>
        <w:fldChar w:fldCharType="separate"/>
      </w:r>
      <w:r>
        <w:rPr>
          <w:rFonts w:ascii="仿宋" w:hAnsi="仿宋" w:eastAsia="仿宋"/>
          <w:sz w:val="32"/>
          <w:szCs w:val="32"/>
        </w:rPr>
        <w:t>退休人数小计</w:t>
      </w:r>
      <w:r>
        <w:rPr>
          <w:rFonts w:hint="eastAsia" w:ascii="仿宋" w:hAnsi="仿宋" w:eastAsia="仿宋"/>
          <w:sz w:val="32"/>
          <w:szCs w:val="32"/>
          <w:lang w:val="en-US" w:eastAsia="zh-CN"/>
        </w:rPr>
        <w:t>48</w:t>
      </w:r>
      <w:r>
        <w:rPr>
          <w:rFonts w:ascii="仿宋" w:hAnsi="仿宋" w:eastAsia="仿宋"/>
          <w:sz w:val="32"/>
          <w:szCs w:val="32"/>
        </w:rPr>
        <w:t>人,遗属人数</w:t>
      </w:r>
      <w:r>
        <w:rPr>
          <w:rFonts w:hint="eastAsia" w:ascii="仿宋" w:hAnsi="仿宋" w:eastAsia="仿宋"/>
          <w:sz w:val="32"/>
          <w:szCs w:val="32"/>
        </w:rPr>
        <w:t>6</w:t>
      </w:r>
      <w:r>
        <w:rPr>
          <w:rFonts w:ascii="仿宋" w:hAnsi="仿宋" w:eastAsia="仿宋"/>
          <w:sz w:val="32"/>
          <w:szCs w:val="32"/>
        </w:rPr>
        <w:t>人。</w:t>
      </w:r>
      <w:r>
        <w:fldChar w:fldCharType="end"/>
      </w:r>
    </w:p>
    <w:p w14:paraId="5309148B">
      <w:pPr>
        <w:widowControl/>
        <w:spacing w:line="580" w:lineRule="exact"/>
        <w:jc w:val="center"/>
        <w:rPr>
          <w:rFonts w:ascii="仿宋_GB2312" w:eastAsia="仿宋_GB2312"/>
          <w:b/>
          <w:szCs w:val="30"/>
        </w:rPr>
      </w:pPr>
    </w:p>
    <w:p w14:paraId="71C1F2D7">
      <w:pPr>
        <w:widowControl/>
        <w:spacing w:line="580" w:lineRule="exact"/>
        <w:jc w:val="center"/>
        <w:rPr>
          <w:rFonts w:ascii="仿宋_GB2312" w:eastAsia="仿宋_GB2312"/>
          <w:b/>
          <w:sz w:val="32"/>
          <w:szCs w:val="30"/>
        </w:rPr>
      </w:pPr>
      <w:r>
        <w:rPr>
          <w:rFonts w:hint="eastAsia" w:ascii="仿宋_GB2312" w:eastAsia="仿宋_GB2312"/>
          <w:b/>
          <w:sz w:val="32"/>
          <w:szCs w:val="30"/>
        </w:rPr>
        <w:t xml:space="preserve">第二部分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庐山市工信局</w:t>
      </w:r>
      <w:r>
        <w:fldChar w:fldCharType="end"/>
      </w:r>
      <w:r>
        <w:rPr>
          <w:rFonts w:hint="eastAsia" w:ascii="仿宋_GB2312" w:eastAsia="仿宋_GB2312"/>
          <w:b/>
          <w:sz w:val="32"/>
          <w:szCs w:val="30"/>
          <w:lang w:eastAsia="zh-CN"/>
        </w:rPr>
        <w:t>2025</w:t>
      </w:r>
      <w:r>
        <w:rPr>
          <w:rFonts w:hint="eastAsia" w:ascii="仿宋_GB2312" w:eastAsia="仿宋_GB2312"/>
          <w:b/>
          <w:sz w:val="32"/>
          <w:szCs w:val="30"/>
        </w:rPr>
        <w:t>年单位预算表</w:t>
      </w:r>
    </w:p>
    <w:p w14:paraId="50A98C97">
      <w:pPr>
        <w:ind w:firstLine="640" w:firstLineChars="200"/>
        <w:jc w:val="left"/>
        <w:rPr>
          <w:rFonts w:ascii="仿宋" w:hAnsi="仿宋" w:eastAsia="仿宋"/>
          <w:bCs/>
          <w:sz w:val="32"/>
          <w:szCs w:val="32"/>
        </w:rPr>
      </w:pPr>
      <w:r>
        <w:rPr>
          <w:rFonts w:hint="eastAsia" w:ascii="仿宋" w:hAnsi="仿宋" w:eastAsia="仿宋"/>
          <w:bCs/>
          <w:sz w:val="32"/>
          <w:szCs w:val="32"/>
        </w:rPr>
        <w:t>（详见附表）</w:t>
      </w:r>
    </w:p>
    <w:p w14:paraId="47194EF0">
      <w:pPr>
        <w:jc w:val="left"/>
        <w:rPr>
          <w:rStyle w:val="11"/>
          <w:rFonts w:ascii="仿宋" w:hAnsi="仿宋" w:eastAsia="仿宋"/>
          <w:bCs/>
          <w:sz w:val="32"/>
          <w:szCs w:val="32"/>
        </w:rPr>
      </w:pPr>
    </w:p>
    <w:p w14:paraId="3D006A12">
      <w:pPr>
        <w:widowControl/>
        <w:spacing w:line="580" w:lineRule="exact"/>
        <w:jc w:val="center"/>
        <w:rPr>
          <w:rFonts w:ascii="仿宋_GB2312" w:eastAsia="仿宋_GB2312"/>
          <w:b/>
          <w:sz w:val="32"/>
          <w:szCs w:val="30"/>
        </w:rPr>
      </w:pPr>
      <w:r>
        <w:rPr>
          <w:rFonts w:hint="eastAsia" w:ascii="仿宋_GB2312" w:hAnsi="Calibri" w:eastAsia="仿宋_GB2312" w:cs="宋体"/>
          <w:b/>
          <w:kern w:val="0"/>
          <w:sz w:val="32"/>
          <w:szCs w:val="32"/>
        </w:rPr>
        <w:t xml:space="preserve">第三部分 </w:t>
      </w:r>
      <w:r>
        <w:rPr>
          <w:rFonts w:hint="eastAsia" w:ascii="仿宋_GB2312" w:eastAsia="仿宋_GB2312"/>
          <w:b/>
          <w:sz w:val="32"/>
          <w:szCs w:val="30"/>
        </w:rPr>
        <w:t xml:space="preserve"> </w:t>
      </w:r>
      <w:r>
        <w:rPr>
          <w:rFonts w:ascii="仿宋_GB2312" w:eastAsia="仿宋_GB2312"/>
          <w:b/>
          <w:sz w:val="32"/>
          <w:szCs w:val="30"/>
        </w:rPr>
        <w:fldChar w:fldCharType="begin"/>
      </w:r>
      <w:r>
        <w:rPr>
          <w:rFonts w:ascii="仿宋_GB2312" w:eastAsia="仿宋_GB2312"/>
          <w:b/>
          <w:sz w:val="32"/>
          <w:szCs w:val="30"/>
        </w:rPr>
        <w:instrText xml:space="preserve">MERGEFIELD ${page540426799.ds254512694_REP_JXJC_AGENCY_WZR_NAME}</w:instrText>
      </w:r>
      <w:r>
        <w:rPr>
          <w:rFonts w:ascii="仿宋_GB2312" w:eastAsia="仿宋_GB2312"/>
          <w:b/>
          <w:sz w:val="32"/>
          <w:szCs w:val="30"/>
        </w:rPr>
        <w:fldChar w:fldCharType="separate"/>
      </w:r>
      <w:r>
        <w:rPr>
          <w:rFonts w:hint="eastAsia" w:ascii="仿宋_GB2312" w:eastAsia="仿宋_GB2312"/>
          <w:b/>
          <w:sz w:val="32"/>
          <w:szCs w:val="30"/>
        </w:rPr>
        <w:t>庐山市工信局</w:t>
      </w:r>
      <w:r>
        <w:fldChar w:fldCharType="end"/>
      </w:r>
      <w:r>
        <w:rPr>
          <w:rFonts w:hint="eastAsia" w:ascii="仿宋_GB2312" w:eastAsia="仿宋_GB2312"/>
          <w:b/>
          <w:sz w:val="32"/>
          <w:szCs w:val="30"/>
          <w:lang w:eastAsia="zh-CN"/>
        </w:rPr>
        <w:t>2025</w:t>
      </w:r>
      <w:r>
        <w:rPr>
          <w:rFonts w:hint="eastAsia" w:ascii="仿宋_GB2312" w:eastAsia="仿宋_GB2312"/>
          <w:b/>
          <w:sz w:val="32"/>
          <w:szCs w:val="30"/>
        </w:rPr>
        <w:t>年单位预算情况说明</w:t>
      </w:r>
    </w:p>
    <w:p w14:paraId="7C55A80D">
      <w:pPr>
        <w:widowControl/>
        <w:spacing w:line="580" w:lineRule="exact"/>
        <w:jc w:val="center"/>
        <w:rPr>
          <w:rFonts w:ascii="仿宋_GB2312" w:eastAsia="仿宋_GB2312"/>
          <w:b/>
          <w:sz w:val="32"/>
          <w:szCs w:val="30"/>
        </w:rPr>
      </w:pPr>
    </w:p>
    <w:p w14:paraId="5F4A5F5A">
      <w:pPr>
        <w:widowControl/>
        <w:spacing w:line="580" w:lineRule="exact"/>
        <w:jc w:val="left"/>
        <w:rPr>
          <w:rFonts w:ascii="楷体_GB2312" w:eastAsia="楷体_GB2312"/>
          <w:b/>
          <w:sz w:val="32"/>
          <w:szCs w:val="30"/>
        </w:rPr>
      </w:pPr>
      <w:r>
        <w:rPr>
          <w:rFonts w:hint="eastAsia" w:ascii="楷体_GB2312" w:eastAsia="楷体_GB2312"/>
          <w:b/>
          <w:sz w:val="32"/>
          <w:szCs w:val="30"/>
        </w:rPr>
        <w:t>一、</w:t>
      </w:r>
      <w:r>
        <w:rPr>
          <w:rFonts w:hint="eastAsia" w:ascii="楷体_GB2312" w:eastAsia="楷体_GB2312"/>
          <w:b/>
          <w:sz w:val="32"/>
          <w:szCs w:val="30"/>
          <w:lang w:eastAsia="zh-CN"/>
        </w:rPr>
        <w:t>2025</w:t>
      </w:r>
      <w:r>
        <w:rPr>
          <w:rFonts w:hint="eastAsia" w:ascii="楷体_GB2312" w:eastAsia="楷体_GB2312"/>
          <w:b/>
          <w:sz w:val="32"/>
          <w:szCs w:val="30"/>
        </w:rPr>
        <w:t>年单位预算收支情况说明</w:t>
      </w:r>
    </w:p>
    <w:p w14:paraId="692EA345">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（一）收入预算情况</w:t>
      </w:r>
    </w:p>
    <w:p w14:paraId="169CC25C">
      <w:pPr>
        <w:widowControl/>
        <w:ind w:firstLine="640" w:firstLineChars="200"/>
        <w:rPr>
          <w:rFonts w:ascii="仿宋" w:hAnsi="仿宋" w:cs="Times New Roman"/>
          <w:color w:val="FF0000"/>
          <w:kern w:val="0"/>
          <w:sz w:val="32"/>
          <w:szCs w:val="32"/>
        </w:rPr>
      </w:pPr>
      <w:r>
        <w:rPr>
          <w:rFonts w:hint="eastAsia" w:ascii="仿宋" w:hAnsi="仿宋" w:eastAsia="仿宋" w:cs="Times New Roman"/>
          <w:kern w:val="0"/>
          <w:sz w:val="32"/>
          <w:szCs w:val="32"/>
          <w:lang w:eastAsia="zh-CN"/>
        </w:rPr>
        <w:t>202</w:t>
      </w:r>
      <w:r>
        <w:rPr>
          <w:rFonts w:hint="eastAsia" w:ascii="仿宋" w:hAnsi="仿宋" w:eastAsia="仿宋" w:cs="Times New Roman"/>
          <w:kern w:val="0"/>
          <w:sz w:val="32"/>
          <w:szCs w:val="32"/>
          <w:lang w:val="en-US" w:eastAsia="zh-CN"/>
        </w:rPr>
        <w:t>5</w:t>
      </w:r>
      <w:r>
        <w:rPr>
          <w:rFonts w:hint="eastAsia" w:ascii="仿宋" w:hAnsi="仿宋" w:eastAsia="仿宋" w:cs="Times New Roman"/>
          <w:kern w:val="0"/>
          <w:sz w:val="32"/>
          <w:szCs w:val="32"/>
          <w:lang w:eastAsia="zh-CN"/>
        </w:rPr>
        <w:t>年庐山市工信局收入预算总额为</w:t>
      </w:r>
      <w:r>
        <w:rPr>
          <w:rFonts w:hint="eastAsia" w:ascii="仿宋" w:hAnsi="仿宋" w:eastAsia="仿宋" w:cs="Times New Roman"/>
          <w:kern w:val="0"/>
          <w:sz w:val="32"/>
          <w:szCs w:val="32"/>
          <w:lang w:val="en-US" w:eastAsia="zh-CN"/>
        </w:rPr>
        <w:t>1523.48</w:t>
      </w:r>
      <w:r>
        <w:rPr>
          <w:rFonts w:hint="eastAsia" w:ascii="仿宋" w:hAnsi="仿宋" w:eastAsia="仿宋" w:cs="Times New Roman"/>
          <w:kern w:val="0"/>
          <w:sz w:val="32"/>
          <w:szCs w:val="32"/>
          <w:lang w:eastAsia="zh-CN"/>
        </w:rPr>
        <w:t>万元,较上年预算安排增加</w:t>
      </w:r>
      <w:r>
        <w:rPr>
          <w:rFonts w:hint="eastAsia" w:ascii="仿宋" w:hAnsi="仿宋" w:eastAsia="仿宋" w:cs="Times New Roman"/>
          <w:kern w:val="0"/>
          <w:sz w:val="32"/>
          <w:szCs w:val="32"/>
          <w:lang w:val="en-US" w:eastAsia="zh-CN"/>
        </w:rPr>
        <w:t>911.7</w:t>
      </w:r>
      <w:r>
        <w:rPr>
          <w:rFonts w:hint="eastAsia" w:ascii="仿宋" w:hAnsi="仿宋" w:eastAsia="仿宋" w:cs="Times New Roman"/>
          <w:kern w:val="0"/>
          <w:sz w:val="32"/>
          <w:szCs w:val="32"/>
          <w:lang w:eastAsia="zh-CN"/>
        </w:rPr>
        <w:t>万元;财政拨款收入</w:t>
      </w:r>
      <w:r>
        <w:rPr>
          <w:rFonts w:hint="eastAsia" w:ascii="仿宋" w:hAnsi="仿宋" w:eastAsia="仿宋" w:cs="Times New Roman"/>
          <w:kern w:val="0"/>
          <w:sz w:val="32"/>
          <w:szCs w:val="32"/>
          <w:lang w:val="en-US" w:eastAsia="zh-CN"/>
        </w:rPr>
        <w:t>1423.61</w:t>
      </w:r>
      <w:r>
        <w:rPr>
          <w:rFonts w:hint="eastAsia" w:ascii="仿宋" w:hAnsi="仿宋" w:eastAsia="仿宋" w:cs="Times New Roman"/>
          <w:kern w:val="0"/>
          <w:sz w:val="32"/>
          <w:szCs w:val="32"/>
          <w:lang w:eastAsia="zh-CN"/>
        </w:rPr>
        <w:t>万元,较上年预算安排</w:t>
      </w:r>
      <w:r>
        <w:rPr>
          <w:rFonts w:hint="eastAsia" w:ascii="仿宋" w:hAnsi="仿宋" w:eastAsia="仿宋" w:cs="Times New Roman"/>
          <w:kern w:val="0"/>
          <w:sz w:val="32"/>
          <w:szCs w:val="32"/>
          <w:lang w:val="en-US" w:eastAsia="zh-CN"/>
        </w:rPr>
        <w:t>增加931.83</w:t>
      </w:r>
      <w:r>
        <w:rPr>
          <w:rFonts w:hint="eastAsia" w:ascii="仿宋" w:hAnsi="仿宋" w:eastAsia="仿宋" w:cs="Times New Roman"/>
          <w:kern w:val="0"/>
          <w:sz w:val="32"/>
          <w:szCs w:val="32"/>
          <w:lang w:eastAsia="zh-CN"/>
        </w:rPr>
        <w:t>万元。</w:t>
      </w:r>
      <w:r>
        <w:rPr>
          <w:rFonts w:hint="eastAsia" w:ascii="仿宋" w:hAnsi="仿宋" w:eastAsia="仿宋" w:cs="Times New Roman"/>
          <w:kern w:val="0"/>
          <w:sz w:val="32"/>
          <w:szCs w:val="32"/>
          <w:lang w:val="en-US" w:eastAsia="zh-CN"/>
        </w:rPr>
        <w:t>增加变化原因为</w:t>
      </w:r>
      <w:r>
        <w:rPr>
          <w:rFonts w:hint="eastAsia" w:ascii="仿宋" w:hAnsi="仿宋" w:eastAsia="仿宋" w:cs="Times New Roman"/>
          <w:kern w:val="0"/>
          <w:sz w:val="32"/>
          <w:szCs w:val="32"/>
          <w:lang w:eastAsia="zh-CN"/>
        </w:rPr>
        <w:t>：工业高质量发展奖励资金、制造业数字化转型奖补资金</w:t>
      </w:r>
      <w:r>
        <w:rPr>
          <w:rFonts w:hint="eastAsia" w:ascii="仿宋" w:hAnsi="仿宋" w:eastAsia="仿宋" w:cs="Times New Roman"/>
          <w:kern w:val="0"/>
          <w:sz w:val="32"/>
          <w:szCs w:val="32"/>
          <w:lang w:val="en-US" w:eastAsia="zh-CN"/>
        </w:rPr>
        <w:t>和羽绒服装企业退城进园转型升级奖补资金纳入年初单位预算</w:t>
      </w:r>
      <w:r>
        <w:rPr>
          <w:rFonts w:hint="eastAsia" w:ascii="仿宋" w:hAnsi="仿宋" w:eastAsia="仿宋" w:cs="Times New Roman"/>
          <w:kern w:val="0"/>
          <w:sz w:val="32"/>
          <w:szCs w:val="32"/>
          <w:lang w:eastAsia="zh-CN"/>
        </w:rPr>
        <w:t>，导致</w:t>
      </w:r>
      <w:r>
        <w:rPr>
          <w:rFonts w:hint="eastAsia" w:ascii="仿宋" w:hAnsi="仿宋" w:eastAsia="仿宋" w:cs="Times New Roman"/>
          <w:kern w:val="0"/>
          <w:sz w:val="32"/>
          <w:szCs w:val="32"/>
          <w:lang w:val="en-US" w:eastAsia="zh-CN"/>
        </w:rPr>
        <w:t>年初</w:t>
      </w:r>
      <w:r>
        <w:rPr>
          <w:rFonts w:hint="eastAsia" w:ascii="仿宋" w:hAnsi="仿宋" w:eastAsia="仿宋" w:cs="Times New Roman"/>
          <w:kern w:val="0"/>
          <w:sz w:val="32"/>
          <w:szCs w:val="32"/>
          <w:lang w:eastAsia="zh-CN"/>
        </w:rPr>
        <w:t>项目资金</w:t>
      </w:r>
      <w:r>
        <w:rPr>
          <w:rFonts w:hint="eastAsia" w:ascii="仿宋" w:hAnsi="仿宋" w:eastAsia="仿宋" w:cs="Times New Roman"/>
          <w:kern w:val="0"/>
          <w:sz w:val="32"/>
          <w:szCs w:val="32"/>
          <w:lang w:val="en-US" w:eastAsia="zh-CN"/>
        </w:rPr>
        <w:t>增加</w:t>
      </w:r>
      <w:r>
        <w:rPr>
          <w:rFonts w:hint="eastAsia" w:ascii="仿宋" w:hAnsi="仿宋" w:eastAsia="仿宋" w:cs="Times New Roman"/>
          <w:kern w:val="0"/>
          <w:sz w:val="32"/>
          <w:szCs w:val="32"/>
          <w:lang w:eastAsia="zh-CN"/>
        </w:rPr>
        <w:t>。其他收入</w:t>
      </w:r>
      <w:r>
        <w:rPr>
          <w:rFonts w:hint="eastAsia" w:ascii="仿宋" w:hAnsi="仿宋" w:eastAsia="仿宋" w:cs="Times New Roman"/>
          <w:kern w:val="0"/>
          <w:sz w:val="32"/>
          <w:szCs w:val="32"/>
          <w:lang w:val="en-US" w:eastAsia="zh-CN"/>
        </w:rPr>
        <w:t>99.86</w:t>
      </w:r>
      <w:r>
        <w:rPr>
          <w:rFonts w:hint="eastAsia" w:ascii="仿宋" w:hAnsi="仿宋" w:eastAsia="仿宋" w:cs="Times New Roman"/>
          <w:kern w:val="0"/>
          <w:sz w:val="32"/>
          <w:szCs w:val="32"/>
          <w:lang w:eastAsia="zh-CN"/>
        </w:rPr>
        <w:t>万元,较上年预算安排</w:t>
      </w:r>
      <w:r>
        <w:rPr>
          <w:rFonts w:hint="eastAsia" w:ascii="仿宋" w:hAnsi="仿宋" w:eastAsia="仿宋" w:cs="Times New Roman"/>
          <w:kern w:val="0"/>
          <w:sz w:val="32"/>
          <w:szCs w:val="32"/>
          <w:lang w:val="en-US" w:eastAsia="zh-CN"/>
        </w:rPr>
        <w:t>减少20.14</w:t>
      </w:r>
      <w:r>
        <w:rPr>
          <w:rFonts w:hint="eastAsia" w:ascii="仿宋" w:hAnsi="仿宋" w:eastAsia="仿宋" w:cs="Times New Roman"/>
          <w:kern w:val="0"/>
          <w:sz w:val="32"/>
          <w:szCs w:val="32"/>
          <w:lang w:eastAsia="zh-CN"/>
        </w:rPr>
        <w:t>万元。</w:t>
      </w:r>
    </w:p>
    <w:p w14:paraId="0D55EE8D">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 xml:space="preserve"> （二）支出预算情况</w:t>
      </w:r>
    </w:p>
    <w:p w14:paraId="2A92BCDA">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eastAsia="zh-CN"/>
        </w:rPr>
        <w:t>202</w:t>
      </w:r>
      <w:r>
        <w:rPr>
          <w:rStyle w:val="11"/>
          <w:rFonts w:hint="eastAsia" w:ascii="仿宋" w:hAnsi="仿宋" w:eastAsia="仿宋"/>
          <w:sz w:val="32"/>
          <w:szCs w:val="32"/>
          <w:lang w:val="en-US" w:eastAsia="zh-CN"/>
        </w:rPr>
        <w:t>5</w:t>
      </w:r>
      <w:r>
        <w:rPr>
          <w:rStyle w:val="11"/>
          <w:rFonts w:hint="eastAsia" w:ascii="仿宋" w:hAnsi="仿宋" w:eastAsia="仿宋"/>
          <w:sz w:val="32"/>
          <w:szCs w:val="32"/>
          <w:lang w:eastAsia="zh-CN"/>
        </w:rPr>
        <w:t>年庐山市工信局支出预算总额为</w:t>
      </w:r>
      <w:r>
        <w:rPr>
          <w:rStyle w:val="11"/>
          <w:rFonts w:hint="eastAsia" w:ascii="仿宋" w:hAnsi="仿宋" w:eastAsia="仿宋"/>
          <w:sz w:val="32"/>
          <w:szCs w:val="32"/>
          <w:lang w:val="en-US" w:eastAsia="zh-CN"/>
        </w:rPr>
        <w:t>1523.48</w:t>
      </w:r>
      <w:r>
        <w:rPr>
          <w:rStyle w:val="11"/>
          <w:rFonts w:hint="eastAsia" w:ascii="仿宋" w:hAnsi="仿宋" w:eastAsia="仿宋"/>
          <w:sz w:val="32"/>
          <w:szCs w:val="32"/>
          <w:lang w:eastAsia="zh-CN"/>
        </w:rPr>
        <w:t>万元,较上年预算安排增加</w:t>
      </w:r>
      <w:r>
        <w:rPr>
          <w:rStyle w:val="11"/>
          <w:rFonts w:hint="eastAsia" w:ascii="仿宋" w:hAnsi="仿宋" w:eastAsia="仿宋"/>
          <w:sz w:val="32"/>
          <w:szCs w:val="32"/>
          <w:lang w:val="en-US" w:eastAsia="zh-CN"/>
        </w:rPr>
        <w:t>911.7</w:t>
      </w:r>
      <w:r>
        <w:rPr>
          <w:rStyle w:val="11"/>
          <w:rFonts w:hint="eastAsia" w:ascii="仿宋" w:hAnsi="仿宋" w:eastAsia="仿宋"/>
          <w:sz w:val="32"/>
          <w:szCs w:val="32"/>
          <w:lang w:eastAsia="zh-CN"/>
        </w:rPr>
        <w:t>万元，增加变化原因为增加了</w:t>
      </w:r>
      <w:r>
        <w:rPr>
          <w:rStyle w:val="11"/>
          <w:rFonts w:hint="eastAsia" w:ascii="仿宋" w:hAnsi="仿宋" w:eastAsia="仿宋"/>
          <w:sz w:val="32"/>
          <w:szCs w:val="32"/>
          <w:lang w:val="en-US" w:eastAsia="zh-CN"/>
        </w:rPr>
        <w:t>三个奖励资金项目支出</w:t>
      </w:r>
      <w:r>
        <w:rPr>
          <w:rStyle w:val="11"/>
          <w:rFonts w:hint="eastAsia" w:ascii="仿宋" w:hAnsi="仿宋" w:eastAsia="仿宋"/>
          <w:sz w:val="32"/>
          <w:szCs w:val="32"/>
          <w:lang w:eastAsia="zh-CN"/>
        </w:rPr>
        <w:t>。</w:t>
      </w:r>
    </w:p>
    <w:p w14:paraId="514E7806">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eastAsia="zh-CN"/>
        </w:rPr>
        <w:t>其中：按支出项目类别划分：基本支出</w:t>
      </w:r>
      <w:r>
        <w:rPr>
          <w:rStyle w:val="11"/>
          <w:rFonts w:hint="eastAsia" w:ascii="仿宋" w:hAnsi="仿宋" w:eastAsia="仿宋"/>
          <w:sz w:val="32"/>
          <w:szCs w:val="32"/>
          <w:lang w:val="en-US" w:eastAsia="zh-CN"/>
        </w:rPr>
        <w:t>363.91万元，</w:t>
      </w:r>
      <w:r>
        <w:rPr>
          <w:rStyle w:val="11"/>
          <w:rFonts w:hint="eastAsia" w:ascii="仿宋" w:hAnsi="仿宋" w:eastAsia="仿宋"/>
          <w:sz w:val="32"/>
          <w:szCs w:val="32"/>
          <w:lang w:eastAsia="zh-CN"/>
        </w:rPr>
        <w:t>较上年预算安排减少</w:t>
      </w:r>
      <w:r>
        <w:rPr>
          <w:rStyle w:val="11"/>
          <w:rFonts w:hint="eastAsia" w:ascii="仿宋" w:hAnsi="仿宋" w:eastAsia="仿宋"/>
          <w:sz w:val="32"/>
          <w:szCs w:val="32"/>
          <w:lang w:val="en-US" w:eastAsia="zh-CN"/>
        </w:rPr>
        <w:t>77.87</w:t>
      </w:r>
      <w:r>
        <w:rPr>
          <w:rStyle w:val="11"/>
          <w:rFonts w:hint="eastAsia" w:ascii="仿宋" w:hAnsi="仿宋" w:eastAsia="仿宋"/>
          <w:sz w:val="32"/>
          <w:szCs w:val="32"/>
          <w:lang w:eastAsia="zh-CN"/>
        </w:rPr>
        <w:t>万元；其中：工资福利支出</w:t>
      </w:r>
      <w:r>
        <w:rPr>
          <w:rStyle w:val="11"/>
          <w:rFonts w:hint="eastAsia" w:ascii="仿宋" w:hAnsi="仿宋" w:eastAsia="仿宋"/>
          <w:sz w:val="32"/>
          <w:szCs w:val="32"/>
          <w:lang w:val="en-US" w:eastAsia="zh-CN"/>
        </w:rPr>
        <w:t>210.83万元，</w:t>
      </w:r>
      <w:r>
        <w:rPr>
          <w:rStyle w:val="11"/>
          <w:rFonts w:hint="eastAsia" w:ascii="仿宋" w:hAnsi="仿宋" w:eastAsia="仿宋"/>
          <w:sz w:val="32"/>
          <w:szCs w:val="32"/>
          <w:lang w:eastAsia="zh-CN"/>
        </w:rPr>
        <w:t>商品和服务支出</w:t>
      </w:r>
      <w:r>
        <w:rPr>
          <w:rStyle w:val="11"/>
          <w:rFonts w:hint="eastAsia" w:ascii="仿宋" w:hAnsi="仿宋" w:eastAsia="仿宋"/>
          <w:sz w:val="32"/>
          <w:szCs w:val="32"/>
          <w:lang w:val="en-US" w:eastAsia="zh-CN"/>
        </w:rPr>
        <w:t>24.75</w:t>
      </w:r>
      <w:r>
        <w:rPr>
          <w:rStyle w:val="11"/>
          <w:rFonts w:hint="eastAsia" w:ascii="仿宋" w:hAnsi="仿宋" w:eastAsia="仿宋"/>
          <w:sz w:val="32"/>
          <w:szCs w:val="32"/>
          <w:lang w:eastAsia="zh-CN"/>
        </w:rPr>
        <w:t>万元，对个人和家庭的补助</w:t>
      </w:r>
      <w:r>
        <w:rPr>
          <w:rStyle w:val="11"/>
          <w:rFonts w:hint="eastAsia" w:ascii="仿宋" w:hAnsi="仿宋" w:eastAsia="仿宋"/>
          <w:sz w:val="32"/>
          <w:szCs w:val="32"/>
          <w:lang w:val="en-US" w:eastAsia="zh-CN"/>
        </w:rPr>
        <w:t>128.33</w:t>
      </w:r>
      <w:r>
        <w:rPr>
          <w:rStyle w:val="11"/>
          <w:rFonts w:hint="eastAsia" w:ascii="仿宋" w:hAnsi="仿宋" w:eastAsia="仿宋"/>
          <w:sz w:val="32"/>
          <w:szCs w:val="32"/>
          <w:lang w:eastAsia="zh-CN"/>
        </w:rPr>
        <w:t>万元,资本性支出0万元。项目支出1</w:t>
      </w:r>
      <w:r>
        <w:rPr>
          <w:rStyle w:val="11"/>
          <w:rFonts w:hint="eastAsia" w:ascii="仿宋" w:hAnsi="仿宋" w:eastAsia="仿宋"/>
          <w:sz w:val="32"/>
          <w:szCs w:val="32"/>
          <w:lang w:val="en-US" w:eastAsia="zh-CN"/>
        </w:rPr>
        <w:t>159.56</w:t>
      </w:r>
      <w:r>
        <w:rPr>
          <w:rStyle w:val="11"/>
          <w:rFonts w:hint="eastAsia" w:ascii="仿宋" w:hAnsi="仿宋" w:eastAsia="仿宋"/>
          <w:sz w:val="32"/>
          <w:szCs w:val="32"/>
          <w:lang w:eastAsia="zh-CN"/>
        </w:rPr>
        <w:t>万元,较上年预算安排增加</w:t>
      </w:r>
      <w:r>
        <w:rPr>
          <w:rStyle w:val="11"/>
          <w:rFonts w:hint="eastAsia" w:ascii="仿宋" w:hAnsi="仿宋" w:eastAsia="仿宋"/>
          <w:sz w:val="32"/>
          <w:szCs w:val="32"/>
          <w:lang w:val="en-US" w:eastAsia="zh-CN"/>
        </w:rPr>
        <w:t>989.56</w:t>
      </w:r>
      <w:r>
        <w:rPr>
          <w:rStyle w:val="11"/>
          <w:rFonts w:hint="eastAsia" w:ascii="仿宋" w:hAnsi="仿宋" w:eastAsia="仿宋"/>
          <w:sz w:val="32"/>
          <w:szCs w:val="32"/>
          <w:lang w:eastAsia="zh-CN"/>
        </w:rPr>
        <w:t>万元；其中：工资福利支出0万元，商品和服务支出</w:t>
      </w:r>
      <w:r>
        <w:rPr>
          <w:rStyle w:val="11"/>
          <w:rFonts w:hint="eastAsia" w:ascii="仿宋" w:hAnsi="仿宋" w:eastAsia="仿宋"/>
          <w:sz w:val="32"/>
          <w:szCs w:val="32"/>
          <w:lang w:val="en-US" w:eastAsia="zh-CN"/>
        </w:rPr>
        <w:t>38.26</w:t>
      </w:r>
      <w:r>
        <w:rPr>
          <w:rStyle w:val="11"/>
          <w:rFonts w:hint="eastAsia" w:ascii="仿宋" w:hAnsi="仿宋" w:eastAsia="仿宋"/>
          <w:sz w:val="32"/>
          <w:szCs w:val="32"/>
          <w:lang w:eastAsia="zh-CN"/>
        </w:rPr>
        <w:t>万元，对个人和家庭的补助</w:t>
      </w:r>
      <w:r>
        <w:rPr>
          <w:rStyle w:val="11"/>
          <w:rFonts w:hint="eastAsia" w:ascii="仿宋" w:hAnsi="仿宋" w:eastAsia="仿宋"/>
          <w:sz w:val="32"/>
          <w:szCs w:val="32"/>
          <w:lang w:val="en-US" w:eastAsia="zh-CN"/>
        </w:rPr>
        <w:t>99.86</w:t>
      </w:r>
      <w:r>
        <w:rPr>
          <w:rStyle w:val="11"/>
          <w:rFonts w:hint="eastAsia" w:ascii="仿宋" w:hAnsi="仿宋" w:eastAsia="仿宋"/>
          <w:sz w:val="32"/>
          <w:szCs w:val="32"/>
          <w:lang w:eastAsia="zh-CN"/>
        </w:rPr>
        <w:t>万元，资本性支出</w:t>
      </w:r>
      <w:r>
        <w:rPr>
          <w:rStyle w:val="11"/>
          <w:rFonts w:hint="eastAsia" w:ascii="仿宋" w:hAnsi="仿宋" w:eastAsia="仿宋"/>
          <w:sz w:val="32"/>
          <w:szCs w:val="32"/>
          <w:lang w:val="en-US" w:eastAsia="zh-CN"/>
        </w:rPr>
        <w:t>2.24</w:t>
      </w:r>
      <w:r>
        <w:rPr>
          <w:rStyle w:val="11"/>
          <w:rFonts w:hint="eastAsia" w:ascii="仿宋" w:hAnsi="仿宋" w:eastAsia="仿宋"/>
          <w:sz w:val="32"/>
          <w:szCs w:val="32"/>
          <w:lang w:eastAsia="zh-CN"/>
        </w:rPr>
        <w:t>万元，对企业补助0万元。</w:t>
      </w:r>
    </w:p>
    <w:p w14:paraId="038022D2">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val="en-US" w:eastAsia="zh-CN"/>
        </w:rPr>
        <w:t>按支出功能科目划分：一般公共服务支出0万元,较上年预算安排增加（减少）0万元；社会保障和就业支出35.15万元，较上年预算安排减少14.13万元；卫生健康支出18万元，较上年预算安排减少3.72万元；资源勘探工业信息等支出1453.11万元，较上年预算安排增加936万元；住房保障支出17.22万元，较上年预算安排减少6.44万元。</w:t>
      </w:r>
    </w:p>
    <w:p w14:paraId="40B3AA43">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eastAsia="zh-CN"/>
        </w:rPr>
        <w:t>按支出经济分类划分：工资福利支出</w:t>
      </w:r>
      <w:r>
        <w:rPr>
          <w:rStyle w:val="11"/>
          <w:rFonts w:hint="eastAsia" w:ascii="仿宋" w:hAnsi="仿宋" w:eastAsia="仿宋"/>
          <w:sz w:val="32"/>
          <w:szCs w:val="32"/>
          <w:lang w:val="en-US" w:eastAsia="zh-CN"/>
        </w:rPr>
        <w:t>210.83万元，</w:t>
      </w:r>
      <w:r>
        <w:rPr>
          <w:rStyle w:val="11"/>
          <w:rFonts w:hint="eastAsia" w:ascii="仿宋" w:hAnsi="仿宋" w:eastAsia="仿宋"/>
          <w:sz w:val="32"/>
          <w:szCs w:val="32"/>
          <w:lang w:eastAsia="zh-CN"/>
        </w:rPr>
        <w:t>较上年预算安排减少</w:t>
      </w:r>
      <w:r>
        <w:rPr>
          <w:rStyle w:val="11"/>
          <w:rFonts w:hint="eastAsia" w:ascii="仿宋" w:hAnsi="仿宋" w:eastAsia="仿宋"/>
          <w:sz w:val="32"/>
          <w:szCs w:val="32"/>
          <w:lang w:val="en-US" w:eastAsia="zh-CN"/>
        </w:rPr>
        <w:t>198.5</w:t>
      </w:r>
      <w:r>
        <w:rPr>
          <w:rStyle w:val="11"/>
          <w:rFonts w:hint="eastAsia" w:ascii="仿宋" w:hAnsi="仿宋" w:eastAsia="仿宋"/>
          <w:sz w:val="32"/>
          <w:szCs w:val="32"/>
          <w:lang w:eastAsia="zh-CN"/>
        </w:rPr>
        <w:t>万元；商品和服务支出</w:t>
      </w:r>
      <w:r>
        <w:rPr>
          <w:rStyle w:val="11"/>
          <w:rFonts w:hint="eastAsia" w:ascii="仿宋" w:hAnsi="仿宋" w:eastAsia="仿宋"/>
          <w:sz w:val="32"/>
          <w:szCs w:val="32"/>
          <w:lang w:val="en-US" w:eastAsia="zh-CN"/>
        </w:rPr>
        <w:t>63.01万元，</w:t>
      </w:r>
      <w:r>
        <w:rPr>
          <w:rStyle w:val="11"/>
          <w:rFonts w:hint="eastAsia" w:ascii="仿宋" w:hAnsi="仿宋" w:eastAsia="仿宋"/>
          <w:sz w:val="32"/>
          <w:szCs w:val="32"/>
          <w:lang w:eastAsia="zh-CN"/>
        </w:rPr>
        <w:t>较上年预算安排减少1</w:t>
      </w:r>
      <w:r>
        <w:rPr>
          <w:rStyle w:val="11"/>
          <w:rFonts w:hint="eastAsia" w:ascii="仿宋" w:hAnsi="仿宋" w:eastAsia="仿宋"/>
          <w:sz w:val="32"/>
          <w:szCs w:val="32"/>
          <w:lang w:val="en-US" w:eastAsia="zh-CN"/>
        </w:rPr>
        <w:t>2.54</w:t>
      </w:r>
      <w:r>
        <w:rPr>
          <w:rStyle w:val="11"/>
          <w:rFonts w:hint="eastAsia" w:ascii="仿宋" w:hAnsi="仿宋" w:eastAsia="仿宋"/>
          <w:sz w:val="32"/>
          <w:szCs w:val="32"/>
          <w:lang w:eastAsia="zh-CN"/>
        </w:rPr>
        <w:t>万元；对个人和家庭的补助</w:t>
      </w:r>
      <w:r>
        <w:rPr>
          <w:rStyle w:val="11"/>
          <w:rFonts w:hint="eastAsia" w:ascii="仿宋" w:hAnsi="仿宋" w:eastAsia="仿宋"/>
          <w:sz w:val="32"/>
          <w:szCs w:val="32"/>
          <w:lang w:val="en-US" w:eastAsia="zh-CN"/>
        </w:rPr>
        <w:t>228.16万元，</w:t>
      </w:r>
      <w:r>
        <w:rPr>
          <w:rStyle w:val="11"/>
          <w:rFonts w:hint="eastAsia" w:ascii="仿宋" w:hAnsi="仿宋" w:eastAsia="仿宋"/>
          <w:sz w:val="32"/>
          <w:szCs w:val="32"/>
          <w:lang w:eastAsia="zh-CN"/>
        </w:rPr>
        <w:t>较上年预算安排增加10</w:t>
      </w:r>
      <w:r>
        <w:rPr>
          <w:rStyle w:val="11"/>
          <w:rFonts w:hint="eastAsia" w:ascii="仿宋" w:hAnsi="仿宋" w:eastAsia="仿宋"/>
          <w:sz w:val="32"/>
          <w:szCs w:val="32"/>
          <w:lang w:val="en-US" w:eastAsia="zh-CN"/>
        </w:rPr>
        <w:t>1.27</w:t>
      </w:r>
      <w:r>
        <w:rPr>
          <w:rStyle w:val="11"/>
          <w:rFonts w:hint="eastAsia" w:ascii="仿宋" w:hAnsi="仿宋" w:eastAsia="仿宋"/>
          <w:sz w:val="32"/>
          <w:szCs w:val="32"/>
          <w:lang w:eastAsia="zh-CN"/>
        </w:rPr>
        <w:t>万元;资本性支出</w:t>
      </w:r>
      <w:r>
        <w:rPr>
          <w:rStyle w:val="11"/>
          <w:rFonts w:hint="eastAsia" w:ascii="仿宋" w:hAnsi="仿宋" w:eastAsia="仿宋"/>
          <w:sz w:val="32"/>
          <w:szCs w:val="32"/>
          <w:lang w:val="en-US" w:eastAsia="zh-CN"/>
        </w:rPr>
        <w:t>2.24</w:t>
      </w:r>
      <w:r>
        <w:rPr>
          <w:rStyle w:val="11"/>
          <w:rFonts w:hint="eastAsia" w:ascii="仿宋" w:hAnsi="仿宋" w:eastAsia="仿宋"/>
          <w:sz w:val="32"/>
          <w:szCs w:val="32"/>
          <w:lang w:eastAsia="zh-CN"/>
        </w:rPr>
        <w:t>万元,较上年预算安排增加2.</w:t>
      </w:r>
      <w:r>
        <w:rPr>
          <w:rStyle w:val="11"/>
          <w:rFonts w:hint="eastAsia" w:ascii="仿宋" w:hAnsi="仿宋" w:eastAsia="仿宋"/>
          <w:sz w:val="32"/>
          <w:szCs w:val="32"/>
          <w:lang w:val="en-US" w:eastAsia="zh-CN"/>
        </w:rPr>
        <w:t>24</w:t>
      </w:r>
      <w:r>
        <w:rPr>
          <w:rStyle w:val="11"/>
          <w:rFonts w:hint="eastAsia" w:ascii="仿宋" w:hAnsi="仿宋" w:eastAsia="仿宋"/>
          <w:sz w:val="32"/>
          <w:szCs w:val="32"/>
          <w:lang w:eastAsia="zh-CN"/>
        </w:rPr>
        <w:t>万元；对企业补助</w:t>
      </w:r>
      <w:r>
        <w:rPr>
          <w:rStyle w:val="11"/>
          <w:rFonts w:hint="eastAsia" w:ascii="仿宋" w:hAnsi="仿宋" w:eastAsia="仿宋"/>
          <w:sz w:val="32"/>
          <w:szCs w:val="32"/>
          <w:lang w:val="en-US" w:eastAsia="zh-CN"/>
        </w:rPr>
        <w:t>1019.2</w:t>
      </w:r>
      <w:r>
        <w:rPr>
          <w:rStyle w:val="11"/>
          <w:rFonts w:hint="eastAsia" w:ascii="仿宋" w:hAnsi="仿宋" w:eastAsia="仿宋"/>
          <w:sz w:val="32"/>
          <w:szCs w:val="32"/>
          <w:lang w:eastAsia="zh-CN"/>
        </w:rPr>
        <w:t>万元，较上年预算安排增加10</w:t>
      </w:r>
      <w:r>
        <w:rPr>
          <w:rStyle w:val="11"/>
          <w:rFonts w:hint="eastAsia" w:ascii="仿宋" w:hAnsi="仿宋" w:eastAsia="仿宋"/>
          <w:sz w:val="32"/>
          <w:szCs w:val="32"/>
          <w:lang w:val="en-US" w:eastAsia="zh-CN"/>
        </w:rPr>
        <w:t>19.2</w:t>
      </w:r>
      <w:r>
        <w:rPr>
          <w:rStyle w:val="11"/>
          <w:rFonts w:hint="eastAsia" w:ascii="仿宋" w:hAnsi="仿宋" w:eastAsia="仿宋"/>
          <w:sz w:val="32"/>
          <w:szCs w:val="32"/>
          <w:lang w:eastAsia="zh-CN"/>
        </w:rPr>
        <w:t>万元。</w:t>
      </w:r>
    </w:p>
    <w:p w14:paraId="35B1197C">
      <w:pPr>
        <w:ind w:firstLine="643" w:firstLineChars="200"/>
        <w:rPr>
          <w:rStyle w:val="11"/>
          <w:rFonts w:hint="eastAsia" w:ascii="Adobe 仿宋 Std R" w:hAnsi="Adobe 仿宋 Std R" w:eastAsia="Adobe 仿宋 Std R"/>
          <w:b/>
          <w:sz w:val="32"/>
          <w:szCs w:val="32"/>
        </w:rPr>
      </w:pPr>
      <w:r>
        <w:rPr>
          <w:rStyle w:val="11"/>
          <w:rFonts w:hint="eastAsia" w:ascii="Adobe 仿宋 Std R" w:hAnsi="Adobe 仿宋 Std R" w:eastAsia="Adobe 仿宋 Std R"/>
          <w:b/>
          <w:sz w:val="32"/>
          <w:szCs w:val="32"/>
        </w:rPr>
        <w:t>（三）财政拨款支出情况</w:t>
      </w:r>
    </w:p>
    <w:p w14:paraId="23BB0DA2">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val="en-US" w:eastAsia="zh-CN"/>
        </w:rPr>
        <w:t>2025年庐山市工信局财政拨款支出预算总额1423.61万元，较上年预算安排增加931.83万元，增长189.48%。增加变化原因为三个对企业的奖励资金项目支出纳入年初单位预算。</w:t>
      </w:r>
    </w:p>
    <w:p w14:paraId="5EA6CCD4">
      <w:pPr>
        <w:ind w:firstLine="640" w:firstLineChars="200"/>
        <w:rPr>
          <w:rStyle w:val="11"/>
          <w:rFonts w:hint="eastAsia" w:ascii="仿宋" w:hAnsi="仿宋" w:eastAsia="仿宋"/>
          <w:sz w:val="32"/>
          <w:szCs w:val="32"/>
          <w:lang w:eastAsia="zh-CN"/>
        </w:rPr>
      </w:pPr>
      <w:r>
        <w:rPr>
          <w:rStyle w:val="11"/>
          <w:rFonts w:hint="eastAsia" w:ascii="仿宋" w:hAnsi="仿宋" w:eastAsia="仿宋"/>
          <w:sz w:val="32"/>
          <w:szCs w:val="32"/>
          <w:lang w:val="en-US" w:eastAsia="zh-CN"/>
        </w:rPr>
        <w:t>按支出功能科目划分:一般公共服务支出0万元,较上年预算安排增加（减少）0万元；社会保障和就业支出35.15万元，较上年预算安排减少14.13万元；卫生健康支出18万元，较上年预算安排减少3.72万元；资源勘探工业信息等支出1353.25万元，较上年预算安排增加956.14万元；住房保障支出17.22万元，较上年预算安排减少6.44万元。</w:t>
      </w:r>
    </w:p>
    <w:p w14:paraId="24C38E70">
      <w:pPr>
        <w:ind w:firstLine="640" w:firstLineChars="200"/>
      </w:pPr>
      <w:r>
        <w:rPr>
          <w:rStyle w:val="11"/>
          <w:rFonts w:hint="eastAsia" w:ascii="仿宋" w:hAnsi="仿宋" w:eastAsia="仿宋"/>
          <w:sz w:val="32"/>
          <w:szCs w:val="32"/>
          <w:lang w:val="en-US" w:eastAsia="zh-CN"/>
        </w:rPr>
        <w:t>按支出项目类别划分：基本支出363.91万元，较上年预算安排减少77.87万元；其中：工资福利支出210.83万元，商品和服务支出24.75万元，对个人和家庭的补助128.33万元，资本性支出0万元。项目支出1059.7万元，较上年预算安排增加1009.7万元；其中：工资福利支出0万元，商品和服务支出38.26万元，对个人和家庭的补助0万元，资本性支出2.24万元，对企业补助1019.2万元。</w:t>
      </w:r>
    </w:p>
    <w:p w14:paraId="31715B93">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（四）政府性基金情况</w:t>
      </w:r>
    </w:p>
    <w:p w14:paraId="2400C2BE">
      <w:pPr>
        <w:ind w:firstLine="640" w:firstLineChars="200"/>
        <w:rPr>
          <w:rStyle w:val="11"/>
          <w:rFonts w:ascii="仿宋" w:hAnsi="仿宋" w:eastAsia="仿宋" w:cs="Times New Roman"/>
          <w:sz w:val="32"/>
          <w:szCs w:val="32"/>
        </w:rPr>
      </w:pPr>
      <w:r>
        <w:rPr>
          <w:rStyle w:val="11"/>
          <w:rFonts w:hint="eastAsia" w:ascii="仿宋" w:hAnsi="仿宋" w:eastAsia="仿宋"/>
          <w:sz w:val="32"/>
          <w:szCs w:val="32"/>
          <w:lang w:eastAsia="zh-CN"/>
        </w:rPr>
        <w:t>2025</w:t>
      </w:r>
      <w:r>
        <w:rPr>
          <w:rStyle w:val="11"/>
          <w:rFonts w:hint="eastAsia" w:ascii="仿宋" w:hAnsi="仿宋" w:eastAsia="仿宋"/>
          <w:sz w:val="32"/>
          <w:szCs w:val="32"/>
        </w:rPr>
        <w:t>年</w:t>
      </w:r>
      <w:r>
        <w:rPr>
          <w:rStyle w:val="11"/>
          <w:rFonts w:ascii="仿宋" w:hAnsi="仿宋" w:eastAsia="仿宋"/>
          <w:sz w:val="32"/>
          <w:szCs w:val="32"/>
        </w:rPr>
        <w:fldChar w:fldCharType="begin"/>
      </w:r>
      <w:r>
        <w:rPr>
          <w:rStyle w:val="11"/>
          <w:rFonts w:ascii="仿宋" w:hAnsi="仿宋" w:eastAsia="仿宋"/>
          <w:sz w:val="32"/>
          <w:szCs w:val="32"/>
        </w:rPr>
        <w:instrText xml:space="preserve">MERGEFIELD ${page400644146.ds509943833_REP_JXJC_AGENCY_WZR_NAME}</w:instrText>
      </w:r>
      <w:r>
        <w:rPr>
          <w:rStyle w:val="11"/>
          <w:rFonts w:ascii="仿宋" w:hAnsi="仿宋" w:eastAsia="仿宋"/>
          <w:sz w:val="32"/>
          <w:szCs w:val="32"/>
        </w:rPr>
        <w:fldChar w:fldCharType="separate"/>
      </w:r>
      <w:r>
        <w:rPr>
          <w:rStyle w:val="11"/>
          <w:rFonts w:hint="eastAsia" w:ascii="仿宋" w:hAnsi="仿宋" w:eastAsia="仿宋"/>
          <w:sz w:val="32"/>
          <w:szCs w:val="32"/>
        </w:rPr>
        <w:t>庐山市工信局</w:t>
      </w:r>
      <w:r>
        <w:fldChar w:fldCharType="end"/>
      </w:r>
      <w:r>
        <w:rPr>
          <w:rStyle w:val="11"/>
          <w:rFonts w:hint="eastAsia" w:ascii="仿宋" w:hAnsi="仿宋" w:eastAsia="仿宋" w:cs="Times New Roman"/>
          <w:sz w:val="32"/>
          <w:szCs w:val="32"/>
        </w:rPr>
        <w:t>没有使用政府性基金预算拨款安排的支出。</w:t>
      </w:r>
    </w:p>
    <w:p w14:paraId="07163CD0">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（五）国有资本经营情况</w:t>
      </w:r>
    </w:p>
    <w:p w14:paraId="13C4D9D2">
      <w:pPr>
        <w:widowControl/>
        <w:ind w:firstLine="640" w:firstLineChars="200"/>
        <w:rPr>
          <w:rStyle w:val="11"/>
          <w:rFonts w:ascii="仿宋" w:hAnsi="仿宋" w:eastAsia="仿宋"/>
          <w:color w:val="FF0000"/>
          <w:sz w:val="32"/>
          <w:szCs w:val="32"/>
        </w:rPr>
      </w:pPr>
      <w:r>
        <w:rPr>
          <w:rStyle w:val="11"/>
          <w:rFonts w:hint="eastAsia" w:ascii="Adobe 仿宋 Std R" w:hAnsi="Adobe 仿宋 Std R" w:eastAsia="Adobe 仿宋 Std R"/>
          <w:sz w:val="32"/>
          <w:szCs w:val="32"/>
          <w:lang w:eastAsia="zh-CN"/>
        </w:rPr>
        <w:t>2025</w:t>
      </w:r>
      <w:r>
        <w:rPr>
          <w:rStyle w:val="11"/>
          <w:rFonts w:hint="eastAsia" w:ascii="Adobe 仿宋 Std R" w:hAnsi="Adobe 仿宋 Std R" w:eastAsia="Adobe 仿宋 Std R"/>
          <w:sz w:val="32"/>
          <w:szCs w:val="32"/>
        </w:rPr>
        <w:t>年庐山市工信局没有使用国有资本经营预算拨款安排的支出。</w:t>
      </w:r>
      <w:bookmarkStart w:id="0" w:name="_GoBack"/>
      <w:bookmarkEnd w:id="0"/>
    </w:p>
    <w:p w14:paraId="60D75670">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（六）机关运行经费等重要事项的说明</w:t>
      </w:r>
    </w:p>
    <w:p w14:paraId="4F59542C">
      <w:pPr>
        <w:pStyle w:val="2"/>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2025年单位机关运行费预算24.75万元，比2024年预算减少0.8万元，下降3.13%。下降变化原因为人员调出及退休。其中：办公费0.2万元，水费0.54万元，电费1.6万元，劳务费1.46万元，工会经费5.5万元，福利费11.75万元，其他交通费用4.92万元，其他商品和服务支出0.38万元。</w:t>
      </w:r>
    </w:p>
    <w:p w14:paraId="1643DB3D">
      <w:pPr>
        <w:widowControl/>
        <w:spacing w:line="580" w:lineRule="exact"/>
        <w:ind w:firstLine="643" w:firstLineChars="200"/>
        <w:jc w:val="left"/>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（七）政府采购情况</w:t>
      </w:r>
    </w:p>
    <w:p w14:paraId="186A3809">
      <w:pPr>
        <w:ind w:firstLine="640" w:firstLineChars="200"/>
        <w:rPr>
          <w:rFonts w:hint="eastAsia" w:ascii="Adobe 仿宋 Std R" w:hAnsi="Adobe 仿宋 Std R" w:eastAsia="Adobe 仿宋 Std R"/>
          <w:sz w:val="32"/>
          <w:szCs w:val="32"/>
          <w:lang w:val="en-US" w:eastAsia="zh-CN"/>
        </w:rPr>
      </w:pPr>
      <w:r>
        <w:rPr>
          <w:rStyle w:val="11"/>
          <w:rFonts w:hint="eastAsia" w:ascii="仿宋" w:hAnsi="仿宋" w:eastAsia="仿宋" w:cs="Times New Roman"/>
          <w:kern w:val="2"/>
          <w:sz w:val="32"/>
          <w:szCs w:val="32"/>
          <w:lang w:val="en-US" w:eastAsia="zh-CN" w:bidi="ar-SA"/>
        </w:rPr>
        <w:t>2025年政府采购总额2.24万元,其中: 政府采购货物预算2.24万元, 政府采购工程预算0万元, 政府采购服务预算0万元。</w:t>
      </w:r>
    </w:p>
    <w:p w14:paraId="366316F1">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（八）国有资产占有使用情况</w:t>
      </w:r>
    </w:p>
    <w:p w14:paraId="26C685F3">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截至2024年12月31日, 单位共有车辆0辆，其中：一般公务用车实有数0辆。</w:t>
      </w:r>
    </w:p>
    <w:p w14:paraId="02521255">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2025年单位预算安排购置车辆0辆，没有安排购置单位价值200万元以上大型设备。</w:t>
      </w:r>
    </w:p>
    <w:p w14:paraId="2490A1AE">
      <w:pPr>
        <w:ind w:firstLine="643" w:firstLineChars="200"/>
        <w:rPr>
          <w:rStyle w:val="11"/>
          <w:rFonts w:ascii="Adobe 仿宋 Std R" w:hAnsi="Adobe 仿宋 Std R" w:eastAsia="Adobe 仿宋 Std R"/>
          <w:b/>
          <w:sz w:val="32"/>
          <w:szCs w:val="32"/>
        </w:rPr>
      </w:pPr>
      <w:r>
        <w:rPr>
          <w:rStyle w:val="11"/>
          <w:rFonts w:hint="eastAsia" w:ascii="Adobe 仿宋 Std R" w:hAnsi="Adobe 仿宋 Std R" w:eastAsia="Adobe 仿宋 Std R"/>
          <w:b/>
          <w:sz w:val="32"/>
          <w:szCs w:val="32"/>
        </w:rPr>
        <w:t>（九）庐山市工信局项目情况说明</w:t>
      </w:r>
    </w:p>
    <w:p w14:paraId="711C13CA">
      <w:pPr>
        <w:pStyle w:val="2"/>
        <w:ind w:firstLine="643" w:firstLineChars="200"/>
        <w:rPr>
          <w:rStyle w:val="11"/>
          <w:rFonts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rPr>
        <w:t>1.“工信局工作经费”项目</w:t>
      </w:r>
    </w:p>
    <w:p w14:paraId="44D8480C">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1）项目概述：确保工信局日常运营的稳健与高效，不仅保障其各项基本职能的正常运转，还为机关各项工作的开展提供充足的经费支持，促进工信局在推动工业和信息化发展方面的积极作用得以充分发挥。</w:t>
      </w:r>
    </w:p>
    <w:p w14:paraId="2A72FFFB">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2）立项依据：市政府批示。</w:t>
      </w:r>
    </w:p>
    <w:p w14:paraId="24F42696">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3）实施主体：由庐山市工信局本级组织实施。</w:t>
      </w:r>
    </w:p>
    <w:p w14:paraId="563E3AD3">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4）实施方案：保障工信局正常运转，高质量完成市委市政府部署的各项工作。</w:t>
      </w:r>
    </w:p>
    <w:p w14:paraId="226E107F">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5）实施周期：1年。</w:t>
      </w:r>
    </w:p>
    <w:p w14:paraId="69C3D388">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6）年度预算安排：40.5万元。</w:t>
      </w:r>
    </w:p>
    <w:p w14:paraId="0508530B">
      <w:pPr>
        <w:widowControl/>
        <w:spacing w:line="580" w:lineRule="exact"/>
        <w:ind w:firstLine="643" w:firstLineChars="200"/>
        <w:jc w:val="left"/>
        <w:rPr>
          <w:rStyle w:val="11"/>
          <w:rFonts w:ascii="仿宋" w:hAnsi="仿宋" w:eastAsia="仿宋"/>
          <w:color w:val="FF0000"/>
          <w:sz w:val="32"/>
          <w:szCs w:val="32"/>
        </w:rPr>
      </w:pPr>
      <w:r>
        <w:rPr>
          <w:rStyle w:val="11"/>
          <w:rFonts w:hint="eastAsia" w:ascii="Adobe 仿宋 Std R" w:hAnsi="Adobe 仿宋 Std R" w:eastAsia="Adobe 仿宋 Std R" w:cs="Times New Roman"/>
          <w:b/>
          <w:sz w:val="32"/>
          <w:szCs w:val="32"/>
        </w:rPr>
        <w:t>2.“庐山市工业经济联合会工作经费”项目</w:t>
      </w:r>
    </w:p>
    <w:p w14:paraId="06BEE01D">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1）项目概述：根据九江市工业经济联合会的工作部署和中共庐山市委领导的意见，为保证庐山市工经联日常工作的顺利开展，充分发挥行业协会参谋助手和桥梁纽带作用，进一步加快我市工业经济高质量跨越式发展。</w:t>
      </w:r>
    </w:p>
    <w:p w14:paraId="23C04EC6">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2）立项依据：市领导签字的请示报告。</w:t>
      </w:r>
    </w:p>
    <w:p w14:paraId="7461130B">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3）实施主体：由庐山市工信局本级组织实施。</w:t>
      </w:r>
    </w:p>
    <w:p w14:paraId="3012FFAE">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4）实施方案：组织会员企业学习贯彻中央省、九江市、庐山市重要会议部署精神，出宣传栏一期；牵头组织会员企业开展捐资助学活动；举办二期新时代企业转型升级学习辅导班；坚持每月深入会员企业5家至10家调研等。</w:t>
      </w:r>
    </w:p>
    <w:p w14:paraId="26A9A38A">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5）实施周期：1年。</w:t>
      </w:r>
    </w:p>
    <w:p w14:paraId="3BED2E60">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6）年度预算安排：10万元。</w:t>
      </w:r>
    </w:p>
    <w:p w14:paraId="45173DD3">
      <w:pPr>
        <w:pStyle w:val="2"/>
        <w:ind w:firstLine="643" w:firstLineChars="200"/>
        <w:rPr>
          <w:rStyle w:val="11"/>
          <w:rFonts w:hint="eastAsia"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lang w:val="en-US" w:eastAsia="zh-CN"/>
        </w:rPr>
        <w:t>3.</w:t>
      </w:r>
      <w:r>
        <w:rPr>
          <w:rStyle w:val="11"/>
          <w:rFonts w:hint="eastAsia" w:ascii="Adobe 仿宋 Std R" w:hAnsi="Adobe 仿宋 Std R" w:eastAsia="Adobe 仿宋 Std R" w:cs="Times New Roman"/>
          <w:b/>
          <w:sz w:val="32"/>
          <w:szCs w:val="32"/>
        </w:rPr>
        <w:t>“庐山市工业高质量发展奖励资金”项目</w:t>
      </w:r>
    </w:p>
    <w:p w14:paraId="4F73E4AB">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1）项目概述：落实江西省制造业重点产业链现代化建设“1269”行动计划和九江市制造业“9610”工程要求，坚持改革为先，培育壮大我市先进装备制造、数字经济两大主导产业，提标转型传统产业，构建基础更牢、品类更全、质量更高的庐山市现代化产业体系，充分运用“助企业做大，促产业集聚”大走访、大调研活动成果。</w:t>
      </w:r>
    </w:p>
    <w:p w14:paraId="554C5D10">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2）立项依据：《关于庐山市“助企业做大，促产业集聚”工业高质量发展的实施意见》</w:t>
      </w:r>
    </w:p>
    <w:p w14:paraId="168C0E1D">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3）实施主体：由庐山市工信局本级组织实施。</w:t>
      </w:r>
    </w:p>
    <w:p w14:paraId="76CC49FE">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4）实施方案：奖励符合文件《关于庐山市“助企业做大，促产业集聚”工业高质量发展的实施意见》（庐办字【2024】51号）要求的企业，包括申规入统奖、规模突破奖等奖项。</w:t>
      </w:r>
    </w:p>
    <w:p w14:paraId="10638057">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5）实施周期：1年。</w:t>
      </w:r>
    </w:p>
    <w:p w14:paraId="26FF79EF">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6）年度预算安排：515万元。</w:t>
      </w:r>
    </w:p>
    <w:p w14:paraId="70899E17">
      <w:pPr>
        <w:pStyle w:val="2"/>
        <w:ind w:firstLine="643" w:firstLineChars="200"/>
        <w:rPr>
          <w:rStyle w:val="11"/>
          <w:rFonts w:hint="eastAsia" w:ascii="Adobe 仿宋 Std R" w:hAnsi="Adobe 仿宋 Std R" w:eastAsia="Adobe 仿宋 Std R" w:cs="Times New Roman"/>
          <w:b/>
          <w:sz w:val="32"/>
          <w:szCs w:val="32"/>
        </w:rPr>
      </w:pPr>
      <w:r>
        <w:rPr>
          <w:rStyle w:val="11"/>
          <w:rFonts w:hint="eastAsia" w:ascii="Adobe 仿宋 Std R" w:hAnsi="Adobe 仿宋 Std R" w:eastAsia="Adobe 仿宋 Std R" w:cs="Times New Roman"/>
          <w:b/>
          <w:sz w:val="32"/>
          <w:szCs w:val="32"/>
          <w:lang w:val="en-US" w:eastAsia="zh-CN"/>
        </w:rPr>
        <w:t>4.</w:t>
      </w:r>
      <w:r>
        <w:rPr>
          <w:rStyle w:val="11"/>
          <w:rFonts w:hint="eastAsia" w:ascii="Adobe 仿宋 Std R" w:hAnsi="Adobe 仿宋 Std R" w:eastAsia="Adobe 仿宋 Std R" w:cs="Times New Roman"/>
          <w:b/>
          <w:sz w:val="32"/>
          <w:szCs w:val="32"/>
        </w:rPr>
        <w:t>“庐山市制造业数字化转型奖补资金”项目</w:t>
      </w:r>
    </w:p>
    <w:p w14:paraId="40CA302C">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1）项目概述：为深入贯彻《江西省制造业数字化转型行动计划(2024-2025年)》、《九江市制造业数字化转型行动计划(2024-2025年)》等文件精神，全力推动我市制造业数字化水平大幅提升，助力工业经济高质量发展。</w:t>
      </w:r>
    </w:p>
    <w:p w14:paraId="1E641626">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2）立项依据：《庐山市制造业数字化转型行动计划（2024-2025年）》</w:t>
      </w:r>
    </w:p>
    <w:p w14:paraId="7E67B996">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3）实施主体：由庐山市工信局本级组织实施。</w:t>
      </w:r>
    </w:p>
    <w:p w14:paraId="047BED06">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4）实施方案：奖励符合文件《庐山市制造业数字化转型行动计划（2024-2025年）》（庐办字【2024】53号）要求的企业，包括入企诊断、数字化改造及转型试点等奖项。</w:t>
      </w:r>
    </w:p>
    <w:p w14:paraId="0EA1E5B3">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5）实施周期：1年。</w:t>
      </w:r>
    </w:p>
    <w:p w14:paraId="5A84F8D8">
      <w:pPr>
        <w:ind w:firstLine="640" w:firstLineChars="200"/>
        <w:rPr>
          <w:rStyle w:val="11"/>
          <w:rFonts w:hint="eastAsia" w:ascii="仿宋" w:hAnsi="仿宋" w:eastAsia="仿宋" w:cs="Times New Roman"/>
          <w:kern w:val="2"/>
          <w:sz w:val="32"/>
          <w:szCs w:val="32"/>
          <w:lang w:val="en-US" w:eastAsia="zh-CN" w:bidi="ar-SA"/>
        </w:rPr>
      </w:pPr>
      <w:r>
        <w:rPr>
          <w:rStyle w:val="11"/>
          <w:rFonts w:hint="eastAsia" w:ascii="仿宋" w:hAnsi="仿宋" w:eastAsia="仿宋" w:cs="Times New Roman"/>
          <w:kern w:val="2"/>
          <w:sz w:val="32"/>
          <w:szCs w:val="32"/>
          <w:lang w:val="en-US" w:eastAsia="zh-CN" w:bidi="ar-SA"/>
        </w:rPr>
        <w:t>6）年度预算安排：311.8万元。</w:t>
      </w:r>
    </w:p>
    <w:p w14:paraId="39A03A31">
      <w:pPr>
        <w:pStyle w:val="2"/>
        <w:ind w:firstLine="643" w:firstLineChars="200"/>
        <w:rPr>
          <w:rStyle w:val="11"/>
          <w:rFonts w:hint="default" w:ascii="Adobe 仿宋 Std R" w:hAnsi="Adobe 仿宋 Std R" w:eastAsia="Adobe 仿宋 Std R" w:cs="Times New Roman"/>
          <w:b/>
          <w:sz w:val="32"/>
          <w:szCs w:val="32"/>
          <w:lang w:val="en-US" w:eastAsia="zh-CN"/>
        </w:rPr>
      </w:pPr>
      <w:r>
        <w:rPr>
          <w:rStyle w:val="11"/>
          <w:rFonts w:hint="default" w:ascii="Adobe 仿宋 Std R" w:hAnsi="Adobe 仿宋 Std R" w:eastAsia="Adobe 仿宋 Std R" w:cs="Times New Roman"/>
          <w:b/>
          <w:sz w:val="32"/>
          <w:szCs w:val="32"/>
          <w:lang w:val="en-US" w:eastAsia="zh-CN"/>
        </w:rPr>
        <w:t>5.“</w:t>
      </w:r>
      <w:r>
        <w:rPr>
          <w:rStyle w:val="11"/>
          <w:rFonts w:hint="eastAsia" w:ascii="Adobe 仿宋 Std R" w:hAnsi="Adobe 仿宋 Std R" w:eastAsia="Adobe 仿宋 Std R" w:cs="Times New Roman"/>
          <w:b/>
          <w:sz w:val="32"/>
          <w:szCs w:val="32"/>
          <w:lang w:val="en-US" w:eastAsia="zh-CN"/>
        </w:rPr>
        <w:t>庐山市羽绒加工退城进园转型升级奖补资金</w:t>
      </w:r>
      <w:r>
        <w:rPr>
          <w:rStyle w:val="11"/>
          <w:rFonts w:hint="default" w:ascii="Adobe 仿宋 Std R" w:hAnsi="Adobe 仿宋 Std R" w:eastAsia="Adobe 仿宋 Std R" w:cs="Times New Roman"/>
          <w:b/>
          <w:sz w:val="32"/>
          <w:szCs w:val="32"/>
          <w:lang w:val="en-US" w:eastAsia="zh-CN"/>
        </w:rPr>
        <w:t>”项目</w:t>
      </w:r>
    </w:p>
    <w:p w14:paraId="5B7BCF4C">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1）项目概述：为全面推动我市羽绒服装行业转型升级，加速企业和市场主体集聚成链、能力升级、安全生产、健康发展，保障群众生命和财产安全，改善人居环境，经市委、市政府研究，决定实施庐山市羽绒服装企业“创品牌、创规模、创精品”退城进园转型升级工作</w:t>
      </w:r>
      <w:r>
        <w:rPr>
          <w:rStyle w:val="11"/>
          <w:rFonts w:hint="eastAsia" w:ascii="仿宋" w:hAnsi="仿宋" w:eastAsia="仿宋" w:cs="Times New Roman"/>
          <w:kern w:val="2"/>
          <w:sz w:val="32"/>
          <w:szCs w:val="32"/>
          <w:lang w:val="en-US" w:eastAsia="zh-CN" w:bidi="ar-SA"/>
        </w:rPr>
        <w:t>。</w:t>
      </w:r>
    </w:p>
    <w:p w14:paraId="81D597D6">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2）立项依据：《庐山市羽绒服装企业“创品牌、创规模、创精品”退城进园转型升级实施方案》</w:t>
      </w:r>
    </w:p>
    <w:p w14:paraId="5FA63D7C">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3）实施主体：由庐山市工信局本级组织实施。</w:t>
      </w:r>
    </w:p>
    <w:p w14:paraId="F3B2C101">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4）实施方案：奖励符合文件《庐山市羽绒服装企业“创品牌、创规模、创精品”退城进园转型升级实施方案》（庐办字【2024】53号）要求的企业，包括设备补贴、鼓励先进等奖项。</w:t>
      </w:r>
    </w:p>
    <w:p w14:paraId="7AE7F825">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5）实施周期：1年。</w:t>
      </w:r>
    </w:p>
    <w:p w14:paraId="1B3C8455">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6）年度预算安排：</w:t>
      </w:r>
      <w:r>
        <w:rPr>
          <w:rStyle w:val="11"/>
          <w:rFonts w:hint="eastAsia" w:ascii="仿宋" w:hAnsi="仿宋" w:eastAsia="仿宋" w:cs="Times New Roman"/>
          <w:kern w:val="2"/>
          <w:sz w:val="32"/>
          <w:szCs w:val="32"/>
          <w:lang w:val="en-US" w:eastAsia="zh-CN" w:bidi="ar-SA"/>
        </w:rPr>
        <w:t>182.4</w:t>
      </w:r>
      <w:r>
        <w:rPr>
          <w:rStyle w:val="11"/>
          <w:rFonts w:hint="default" w:ascii="仿宋" w:hAnsi="仿宋" w:eastAsia="仿宋" w:cs="Times New Roman"/>
          <w:kern w:val="2"/>
          <w:sz w:val="32"/>
          <w:szCs w:val="32"/>
          <w:lang w:val="en-US" w:eastAsia="zh-CN" w:bidi="ar-SA"/>
        </w:rPr>
        <w:t>万元。</w:t>
      </w:r>
    </w:p>
    <w:p w14:paraId="D104B5FF">
      <w:pPr>
        <w:pStyle w:val="2"/>
        <w:ind w:firstLine="643" w:firstLineChars="200"/>
        <w:rPr>
          <w:rStyle w:val="11"/>
          <w:rFonts w:hint="eastAsia" w:ascii="Adobe 仿宋 Std R" w:hAnsi="Adobe 仿宋 Std R" w:eastAsia="Adobe 仿宋 Std R" w:cs="Times New Roman"/>
          <w:b/>
          <w:sz w:val="32"/>
          <w:szCs w:val="32"/>
          <w:lang w:val="en-US" w:eastAsia="zh-CN"/>
        </w:rPr>
      </w:pPr>
      <w:r>
        <w:rPr>
          <w:rStyle w:val="11"/>
          <w:rFonts w:hint="default" w:ascii="Adobe 仿宋 Std R" w:hAnsi="Adobe 仿宋 Std R" w:eastAsia="Adobe 仿宋 Std R" w:cs="Times New Roman"/>
          <w:b/>
          <w:sz w:val="32"/>
          <w:szCs w:val="32"/>
          <w:lang w:val="en-US" w:eastAsia="zh-CN"/>
        </w:rPr>
        <w:t>6.“企业改制工作经费”项目</w:t>
      </w:r>
    </w:p>
    <w:p w14:paraId="12137FEC">
      <w:pPr>
        <w:ind w:firstLine="640" w:firstLineChars="200"/>
        <w:rPr>
          <w:rStyle w:val="11"/>
          <w:rFonts w:hint="eastAsia"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1）项目概述：2022年10月，庐山市委市政府启动工信、科技、自然资源、供销四个系统国有（社有）13家企业改制，通过盘活四个系统的资产（主要是土地）筹措改制资金进行企业改制，至2023年1月，工信、科技、自然资源、供销四个系统国有（社有）企业改制完成。经庐山市工信、科技、自然资源、供销系统国有（社有）企业改制工作领导小组会议确定，改制完成后，余下资金转入工信局自有资金账户进行管理，用于处理改制遗留事项。</w:t>
      </w:r>
    </w:p>
    <w:p w14:paraId="5922E577">
      <w:pPr>
        <w:ind w:firstLine="640" w:firstLineChars="200"/>
        <w:rPr>
          <w:rStyle w:val="11"/>
          <w:rFonts w:hint="default"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2）立项依据：</w:t>
      </w:r>
      <w:r>
        <w:rPr>
          <w:rStyle w:val="11"/>
          <w:rFonts w:hint="eastAsia" w:ascii="仿宋" w:hAnsi="仿宋" w:eastAsia="仿宋" w:cs="Times New Roman"/>
          <w:kern w:val="2"/>
          <w:sz w:val="32"/>
          <w:szCs w:val="32"/>
          <w:lang w:val="en-US" w:eastAsia="zh-CN" w:bidi="ar-SA"/>
        </w:rPr>
        <w:t>政府常务会会议纪要。</w:t>
      </w:r>
    </w:p>
    <w:p w14:paraId="DD62D011">
      <w:pPr>
        <w:ind w:firstLine="640" w:firstLineChars="200"/>
        <w:rPr>
          <w:rStyle w:val="11"/>
          <w:rFonts w:hint="eastAsia"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3）实施主体：由庐山市工信局本级组织实施。</w:t>
      </w:r>
    </w:p>
    <w:p w14:paraId="9143EB89">
      <w:pPr>
        <w:ind w:firstLine="640" w:firstLineChars="200"/>
        <w:rPr>
          <w:rStyle w:val="11"/>
          <w:rFonts w:hint="eastAsia"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4）实施方案：改制完成后，余下资金转入工信局自有资金账户进行管理，用于处理改制遗留事项。</w:t>
      </w:r>
    </w:p>
    <w:p w14:paraId="DB8995C5">
      <w:pPr>
        <w:ind w:firstLine="640" w:firstLineChars="200"/>
        <w:rPr>
          <w:rStyle w:val="11"/>
          <w:rFonts w:hint="eastAsia"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5）实施周期：1年。</w:t>
      </w:r>
    </w:p>
    <w:p w14:paraId="77F6EBA0">
      <w:pPr>
        <w:ind w:firstLine="640" w:firstLineChars="200"/>
        <w:rPr>
          <w:rStyle w:val="11"/>
          <w:rFonts w:hint="eastAsia" w:ascii="仿宋" w:hAnsi="仿宋" w:eastAsia="仿宋" w:cs="Times New Roman"/>
          <w:kern w:val="2"/>
          <w:sz w:val="32"/>
          <w:szCs w:val="32"/>
          <w:lang w:val="en-US" w:eastAsia="zh-CN" w:bidi="ar-SA"/>
        </w:rPr>
      </w:pPr>
      <w:r>
        <w:rPr>
          <w:rStyle w:val="11"/>
          <w:rFonts w:hint="default" w:ascii="仿宋" w:hAnsi="仿宋" w:eastAsia="仿宋" w:cs="Times New Roman"/>
          <w:kern w:val="2"/>
          <w:sz w:val="32"/>
          <w:szCs w:val="32"/>
          <w:lang w:val="en-US" w:eastAsia="zh-CN" w:bidi="ar-SA"/>
        </w:rPr>
        <w:t>6）年度预算安排：99.86万元。</w:t>
      </w:r>
    </w:p>
    <w:p w14:paraId="49251D13">
      <w:pPr>
        <w:widowControl/>
        <w:spacing w:line="580" w:lineRule="exact"/>
        <w:jc w:val="left"/>
        <w:rPr>
          <w:rFonts w:ascii="楷体_GB2312" w:eastAsia="楷体_GB2312"/>
          <w:b/>
          <w:sz w:val="32"/>
          <w:szCs w:val="30"/>
        </w:rPr>
      </w:pPr>
      <w:r>
        <w:rPr>
          <w:rFonts w:hint="eastAsia" w:ascii="楷体_GB2312" w:hAnsi="Calibri" w:eastAsia="楷体_GB2312" w:cs="宋体"/>
          <w:b/>
          <w:kern w:val="0"/>
          <w:sz w:val="32"/>
          <w:szCs w:val="32"/>
        </w:rPr>
        <w:t>二、</w:t>
      </w:r>
      <w:r>
        <w:rPr>
          <w:rFonts w:hint="eastAsia" w:ascii="楷体_GB2312" w:eastAsia="楷体_GB2312"/>
          <w:b/>
          <w:sz w:val="32"/>
          <w:szCs w:val="30"/>
          <w:lang w:eastAsia="zh-CN"/>
        </w:rPr>
        <w:t>2025</w:t>
      </w:r>
      <w:r>
        <w:rPr>
          <w:rFonts w:hint="eastAsia" w:ascii="楷体_GB2312" w:eastAsia="楷体_GB2312"/>
          <w:b/>
          <w:sz w:val="32"/>
          <w:szCs w:val="30"/>
        </w:rPr>
        <w:t>年“三公</w:t>
      </w:r>
      <w:r>
        <w:rPr>
          <w:rFonts w:ascii="楷体_GB2312" w:eastAsia="楷体_GB2312"/>
          <w:b/>
          <w:sz w:val="32"/>
          <w:szCs w:val="30"/>
        </w:rPr>
        <w:t>”</w:t>
      </w:r>
      <w:r>
        <w:rPr>
          <w:rFonts w:hint="eastAsia" w:ascii="楷体_GB2312" w:eastAsia="楷体_GB2312"/>
          <w:b/>
          <w:sz w:val="32"/>
          <w:szCs w:val="30"/>
        </w:rPr>
        <w:t>经费预算情况说明</w:t>
      </w:r>
    </w:p>
    <w:p w14:paraId="4D95D664">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2025年</w:t>
      </w:r>
      <w:r>
        <w:rPr>
          <w:rFonts w:hint="eastAsia" w:ascii="仿宋" w:hAnsi="仿宋" w:eastAsia="仿宋"/>
          <w:bCs/>
          <w:sz w:val="32"/>
          <w:szCs w:val="32"/>
          <w:lang w:eastAsia="zh-CN"/>
        </w:rPr>
        <w:fldChar w:fldCharType="begin"/>
      </w:r>
      <w:r>
        <w:rPr>
          <w:rFonts w:hint="eastAsia" w:ascii="仿宋" w:hAnsi="仿宋" w:eastAsia="仿宋"/>
          <w:bCs/>
          <w:sz w:val="32"/>
          <w:szCs w:val="32"/>
          <w:lang w:eastAsia="zh-CN"/>
        </w:rPr>
        <w:instrText xml:space="preserve">MERGEFIELD ${page400644146.ds215660413_REP_JXJC_AGENCY_WZR_NAME}</w:instrText>
      </w:r>
      <w:r>
        <w:rPr>
          <w:rFonts w:hint="eastAsia" w:ascii="仿宋" w:hAnsi="仿宋" w:eastAsia="仿宋"/>
          <w:bCs/>
          <w:sz w:val="32"/>
          <w:szCs w:val="32"/>
          <w:lang w:eastAsia="zh-CN"/>
        </w:rPr>
        <w:fldChar w:fldCharType="separate"/>
      </w:r>
      <w:r>
        <w:rPr>
          <w:rFonts w:hint="eastAsia" w:ascii="仿宋" w:hAnsi="仿宋" w:eastAsia="仿宋"/>
          <w:bCs/>
          <w:sz w:val="32"/>
          <w:szCs w:val="32"/>
          <w:lang w:eastAsia="zh-CN"/>
        </w:rPr>
        <w:t>庐山市工信局</w:t>
      </w:r>
      <w:r>
        <w:rPr>
          <w:rFonts w:hint="eastAsia" w:ascii="仿宋" w:hAnsi="仿宋" w:eastAsia="仿宋"/>
          <w:bCs/>
          <w:sz w:val="32"/>
          <w:szCs w:val="32"/>
          <w:lang w:eastAsia="zh-CN"/>
        </w:rPr>
        <w:fldChar w:fldCharType="end"/>
      </w:r>
      <w:r>
        <w:rPr>
          <w:rFonts w:hint="eastAsia" w:ascii="仿宋" w:hAnsi="仿宋" w:eastAsia="仿宋"/>
          <w:bCs/>
          <w:sz w:val="32"/>
          <w:szCs w:val="32"/>
          <w:lang w:eastAsia="zh-CN"/>
        </w:rPr>
        <w:t>"三公"经费财政拨款安排</w:t>
      </w:r>
      <w:r>
        <w:rPr>
          <w:rFonts w:hint="eastAsia" w:ascii="仿宋" w:hAnsi="仿宋" w:eastAsia="仿宋"/>
          <w:bCs/>
          <w:sz w:val="32"/>
          <w:szCs w:val="32"/>
          <w:lang w:val="en-US" w:eastAsia="zh-CN"/>
        </w:rPr>
        <w:t>2</w:t>
      </w:r>
      <w:r>
        <w:rPr>
          <w:rFonts w:hint="eastAsia" w:ascii="仿宋" w:hAnsi="仿宋" w:eastAsia="仿宋"/>
          <w:bCs/>
          <w:sz w:val="32"/>
          <w:szCs w:val="32"/>
          <w:lang w:eastAsia="zh-CN"/>
        </w:rPr>
        <w:t>万元，其中：</w:t>
      </w:r>
    </w:p>
    <w:p w14:paraId="6A6D697C">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因公出国0万元,比上年增（减）0万元，主要原因是：与上年安排保持一致。</w:t>
      </w:r>
    </w:p>
    <w:p w14:paraId="6C21F8DE">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公务接待接待2万元,比上年减少0.41万元，主要原因是：厉行节约。</w:t>
      </w:r>
    </w:p>
    <w:p w14:paraId="612E0850">
      <w:pPr>
        <w:ind w:firstLine="640" w:firstLineChars="200"/>
        <w:jc w:val="left"/>
        <w:rPr>
          <w:rFonts w:hint="eastAsia" w:ascii="仿宋" w:hAnsi="仿宋" w:eastAsia="仿宋"/>
          <w:bCs/>
          <w:sz w:val="32"/>
          <w:szCs w:val="32"/>
          <w:lang w:eastAsia="zh-CN"/>
        </w:rPr>
      </w:pPr>
      <w:r>
        <w:rPr>
          <w:rFonts w:hint="eastAsia" w:ascii="仿宋" w:hAnsi="仿宋" w:eastAsia="仿宋"/>
          <w:bCs/>
          <w:sz w:val="32"/>
          <w:szCs w:val="32"/>
          <w:lang w:eastAsia="zh-CN"/>
        </w:rPr>
        <w:t>公务用车运行0万元,比上年增（减）0万元，主要原因是：与上年安排保持一致。</w:t>
      </w:r>
    </w:p>
    <w:p w14:paraId="5056BB83">
      <w:pPr>
        <w:ind w:firstLine="640" w:firstLineChars="200"/>
        <w:jc w:val="left"/>
        <w:rPr>
          <w:rFonts w:ascii="仿宋_GB2312" w:eastAsia="仿宋_GB2312"/>
          <w:b/>
          <w:sz w:val="32"/>
          <w:szCs w:val="30"/>
        </w:rPr>
      </w:pPr>
      <w:r>
        <w:rPr>
          <w:rFonts w:hint="eastAsia" w:ascii="仿宋" w:hAnsi="仿宋" w:eastAsia="仿宋"/>
          <w:bCs/>
          <w:sz w:val="32"/>
          <w:szCs w:val="32"/>
          <w:lang w:eastAsia="zh-CN"/>
        </w:rPr>
        <w:t>公务用车购置0万元,比上年增（减）0万元，主要原因是：与上年安排保持一致。</w:t>
      </w:r>
    </w:p>
    <w:p w14:paraId="0A3D3752">
      <w:pPr>
        <w:widowControl/>
        <w:shd w:val="clear" w:color="auto" w:fill="FFFFFF"/>
        <w:spacing w:line="640" w:lineRule="atLeast"/>
        <w:ind w:firstLine="640"/>
        <w:jc w:val="center"/>
        <w:rPr>
          <w:rFonts w:ascii="Arial" w:hAnsi="Arial" w:cs="Arial"/>
          <w:color w:val="333333"/>
          <w:sz w:val="14"/>
          <w:szCs w:val="14"/>
        </w:rPr>
      </w:pPr>
      <w:r>
        <w:rPr>
          <w:rFonts w:hint="eastAsia" w:ascii="仿宋_GB2312" w:eastAsia="仿宋_GB2312"/>
          <w:b/>
          <w:sz w:val="32"/>
          <w:szCs w:val="30"/>
        </w:rPr>
        <w:t>第四部分   名词解释</w:t>
      </w:r>
    </w:p>
    <w:p w14:paraId="4F6A5F9A">
      <w:pPr>
        <w:widowControl/>
        <w:shd w:val="clear" w:color="auto" w:fill="FFFFFF"/>
        <w:spacing w:line="640" w:lineRule="atLeast"/>
        <w:ind w:firstLine="800" w:firstLineChars="250"/>
        <w:jc w:val="left"/>
        <w:rPr>
          <w:rFonts w:ascii="Adobe 仿宋 Std R" w:hAnsi="Adobe 仿宋 Std R" w:eastAsia="Adobe 仿宋 Std R"/>
          <w:sz w:val="32"/>
          <w:szCs w:val="32"/>
        </w:rPr>
      </w:pPr>
      <w:r>
        <w:rPr>
          <w:rFonts w:hint="eastAsia" w:ascii="Adobe 仿宋 Std R" w:hAnsi="Adobe 仿宋 Std R" w:eastAsia="Adobe 仿宋 Std R"/>
          <w:sz w:val="32"/>
          <w:szCs w:val="32"/>
        </w:rPr>
        <w:t>一、收入科目</w:t>
      </w:r>
    </w:p>
    <w:p w14:paraId="6ED26D2D">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财政拨款：指</w:t>
      </w:r>
      <w:r>
        <w:rPr>
          <w:rFonts w:hint="eastAsia" w:eastAsia="仿宋_GB2312" w:cs="Times New Roman"/>
          <w:color w:val="000000"/>
          <w:sz w:val="32"/>
          <w:szCs w:val="30"/>
        </w:rPr>
        <w:t>市</w:t>
      </w:r>
      <w:r>
        <w:rPr>
          <w:rFonts w:hint="eastAsia" w:ascii="仿宋_GB2312" w:hAnsi="Times New Roman" w:eastAsia="仿宋_GB2312" w:cs="Times New Roman"/>
          <w:color w:val="000000"/>
          <w:sz w:val="32"/>
          <w:szCs w:val="30"/>
        </w:rPr>
        <w:t>级财政当年拨付的资金。</w:t>
      </w:r>
    </w:p>
    <w:p w14:paraId="4425F585">
      <w:pPr>
        <w:widowControl/>
        <w:numPr>
          <w:ilvl w:val="0"/>
          <w:numId w:val="1"/>
        </w:numPr>
        <w:spacing w:line="600" w:lineRule="exact"/>
        <w:ind w:firstLine="640"/>
        <w:jc w:val="left"/>
        <w:rPr>
          <w:rFonts w:ascii="仿宋_GB2312" w:hAnsi="Times New Roman" w:eastAsia="仿宋_GB2312" w:cs="Times New Roman"/>
          <w:color w:val="000000"/>
          <w:sz w:val="32"/>
          <w:szCs w:val="30"/>
        </w:rPr>
      </w:pPr>
      <w:r>
        <w:rPr>
          <w:rFonts w:hint="eastAsia" w:ascii="仿宋_GB2312" w:hAnsi="Times New Roman" w:eastAsia="仿宋_GB2312" w:cs="Times New Roman"/>
          <w:color w:val="000000"/>
          <w:sz w:val="32"/>
          <w:szCs w:val="30"/>
        </w:rPr>
        <w:t>教育收费资金收入：反映实行专项管理的高中以上学费、住宿费，高校委托培养费，函大、电大、夜大及短训班培训费等教育收费取得的收入。</w:t>
      </w:r>
    </w:p>
    <w:p w14:paraId="7891E81E">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（三）</w:t>
      </w:r>
      <w:r>
        <w:rPr>
          <w:rFonts w:hint="eastAsia" w:ascii="仿宋_GB2312" w:eastAsia="仿宋_GB2312"/>
          <w:color w:val="000000"/>
          <w:sz w:val="32"/>
          <w:szCs w:val="30"/>
        </w:rPr>
        <w:t>事业收入：指事业单位开展专业业务活动及辅助活动取得的收入。</w:t>
      </w:r>
    </w:p>
    <w:p w14:paraId="0D735821">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（四）</w:t>
      </w:r>
      <w:r>
        <w:rPr>
          <w:rFonts w:hint="eastAsia" w:ascii="仿宋_GB2312" w:eastAsia="仿宋_GB2312"/>
          <w:color w:val="000000"/>
          <w:sz w:val="32"/>
          <w:szCs w:val="30"/>
        </w:rPr>
        <w:t>事业单位经营收入：指事业单位在专业业务活动及辅助活动之外开展非独立核算经营活动取得的收入。</w:t>
      </w:r>
    </w:p>
    <w:p w14:paraId="3FA2572D">
      <w:pPr>
        <w:widowControl/>
        <w:spacing w:line="580" w:lineRule="exact"/>
        <w:ind w:firstLine="636"/>
        <w:jc w:val="left"/>
        <w:rPr>
          <w:rFonts w:ascii="Adobe 仿宋 Std R" w:hAnsi="Adobe 仿宋 Std R" w:eastAsia="Adobe 仿宋 Std R"/>
          <w:sz w:val="32"/>
          <w:szCs w:val="32"/>
        </w:rPr>
      </w:pPr>
      <w:r>
        <w:rPr>
          <w:rFonts w:hint="eastAsia" w:ascii="仿宋_GB2312" w:eastAsia="仿宋_GB2312"/>
          <w:sz w:val="32"/>
          <w:szCs w:val="30"/>
        </w:rPr>
        <w:t>（</w:t>
      </w:r>
      <w:r>
        <w:rPr>
          <w:rFonts w:hint="eastAsia" w:ascii="Adobe 仿宋 Std R" w:hAnsi="Adobe 仿宋 Std R" w:eastAsia="Adobe 仿宋 Std R"/>
          <w:sz w:val="32"/>
          <w:szCs w:val="32"/>
        </w:rPr>
        <w:t>五）</w:t>
      </w:r>
      <w:r>
        <w:rPr>
          <w:rFonts w:hint="eastAsia" w:ascii="仿宋_GB2312" w:eastAsia="仿宋_GB2312"/>
          <w:color w:val="000000"/>
          <w:sz w:val="32"/>
          <w:szCs w:val="30"/>
        </w:rPr>
        <w:t>附属单位上缴收入：反映事业单位附属的独立核算单位按规定标准或比例缴纳的各项收入。包括附属的事业单位上缴的收入和附属的企业上缴的利润等。</w:t>
      </w:r>
    </w:p>
    <w:p w14:paraId="483B0464">
      <w:pPr>
        <w:spacing w:line="600" w:lineRule="exact"/>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（六）</w:t>
      </w:r>
      <w:r>
        <w:rPr>
          <w:rFonts w:hint="eastAsia" w:ascii="仿宋_GB2312" w:eastAsia="仿宋_GB2312"/>
          <w:color w:val="000000"/>
          <w:sz w:val="32"/>
          <w:szCs w:val="30"/>
        </w:rPr>
        <w:t>上级补助收入：反映事业单位从主管部门和上级单位取得的非财政补助收入。</w:t>
      </w:r>
    </w:p>
    <w:p w14:paraId="2597616D">
      <w:pPr>
        <w:widowControl/>
        <w:spacing w:line="600" w:lineRule="exact"/>
        <w:ind w:firstLine="636"/>
        <w:jc w:val="left"/>
        <w:rPr>
          <w:rFonts w:ascii="仿宋_GB2312" w:eastAsia="仿宋_GB2312"/>
          <w:color w:val="000000"/>
          <w:sz w:val="32"/>
          <w:szCs w:val="30"/>
        </w:rPr>
      </w:pPr>
      <w:r>
        <w:rPr>
          <w:rFonts w:hint="eastAsia" w:ascii="Adobe 仿宋 Std R" w:hAnsi="Adobe 仿宋 Std R" w:eastAsia="Adobe 仿宋 Std R"/>
          <w:sz w:val="32"/>
          <w:szCs w:val="32"/>
        </w:rPr>
        <w:t>（七）</w:t>
      </w:r>
      <w:r>
        <w:rPr>
          <w:rFonts w:hint="eastAsia" w:ascii="仿宋_GB2312" w:eastAsia="仿宋_GB2312"/>
          <w:color w:val="000000"/>
          <w:sz w:val="32"/>
          <w:szCs w:val="30"/>
        </w:rPr>
        <w:t>其他收入：指除财政拨款、事业收入、事业单位经营收入等以外的各项收入。</w:t>
      </w:r>
    </w:p>
    <w:p w14:paraId="37E2583B">
      <w:pPr>
        <w:ind w:firstLine="640" w:firstLineChars="200"/>
        <w:rPr>
          <w:rFonts w:ascii="仿宋_GB2312" w:eastAsia="仿宋_GB2312"/>
          <w:color w:val="000000"/>
          <w:sz w:val="32"/>
          <w:szCs w:val="30"/>
        </w:rPr>
      </w:pPr>
      <w:r>
        <w:rPr>
          <w:rFonts w:hint="eastAsia" w:ascii="Adobe 仿宋 Std R" w:hAnsi="Adobe 仿宋 Std R" w:eastAsia="Adobe 仿宋 Std R"/>
          <w:sz w:val="32"/>
          <w:szCs w:val="32"/>
        </w:rPr>
        <w:t>（八）</w:t>
      </w:r>
      <w:r>
        <w:rPr>
          <w:rFonts w:hint="eastAsia" w:ascii="仿宋_GB2312" w:eastAsia="仿宋_GB2312"/>
          <w:color w:val="000000"/>
          <w:sz w:val="32"/>
          <w:szCs w:val="30"/>
        </w:rPr>
        <w:t>使用非财政拨款结余：填列历年滚存的非限定用途的非统计财政拨款结余弥补</w:t>
      </w:r>
      <w:r>
        <w:rPr>
          <w:rFonts w:hint="eastAsia" w:ascii="仿宋_GB2312" w:eastAsia="仿宋_GB2312"/>
          <w:color w:val="000000"/>
          <w:sz w:val="32"/>
          <w:szCs w:val="30"/>
          <w:lang w:eastAsia="zh-CN"/>
        </w:rPr>
        <w:t>2025</w:t>
      </w:r>
      <w:r>
        <w:rPr>
          <w:rFonts w:hint="eastAsia" w:ascii="仿宋_GB2312" w:eastAsia="仿宋_GB2312"/>
          <w:color w:val="000000"/>
          <w:sz w:val="32"/>
          <w:szCs w:val="30"/>
        </w:rPr>
        <w:t>年收支差额的数额。</w:t>
      </w:r>
    </w:p>
    <w:p w14:paraId="6C1300CC">
      <w:pPr>
        <w:spacing w:line="600" w:lineRule="exact"/>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（九）</w:t>
      </w:r>
      <w:r>
        <w:rPr>
          <w:rFonts w:hint="eastAsia" w:ascii="仿宋_GB2312" w:eastAsia="仿宋_GB2312"/>
          <w:color w:val="000000"/>
          <w:sz w:val="32"/>
          <w:szCs w:val="30"/>
        </w:rPr>
        <w:t>上年结转和结余：填列202</w:t>
      </w:r>
      <w:r>
        <w:rPr>
          <w:rFonts w:ascii="仿宋_GB2312" w:eastAsia="仿宋_GB2312"/>
          <w:color w:val="000000"/>
          <w:sz w:val="32"/>
          <w:szCs w:val="30"/>
        </w:rPr>
        <w:t>2</w:t>
      </w:r>
      <w:r>
        <w:rPr>
          <w:rFonts w:hint="eastAsia" w:ascii="仿宋_GB2312" w:eastAsia="仿宋_GB2312"/>
          <w:color w:val="000000"/>
          <w:sz w:val="32"/>
          <w:szCs w:val="30"/>
        </w:rPr>
        <w:t>年全部结转和结余的资金数，包括当年结转结余资金和历年滚存结转结余资金。</w:t>
      </w:r>
    </w:p>
    <w:p w14:paraId="3B232D15">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二、支出科目</w:t>
      </w:r>
    </w:p>
    <w:p w14:paraId="2BCCE12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002A6E17">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（二）项目支出：指在基本支出之外为完成特定行政任务和事业发展目标所发生的支出。</w:t>
      </w:r>
    </w:p>
    <w:p w14:paraId="7335709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（三）经营支出：指事业单位在专业业务活动及其辅助活动之外开展非独立核算经营活动发生的支出。</w:t>
      </w:r>
    </w:p>
    <w:p w14:paraId="5985BD98">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（四）工资福利支出（支出经济分类科目类级）：反映单位开支的在职职工和编制外长期聘用人员的各类劳动报酬，以及为上述人员缴纳的各项社会保险费等。</w:t>
      </w:r>
    </w:p>
    <w:p w14:paraId="65A8B8C0">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（五）商品和服务支出（支出经济分类科目类级）：反映单位购买商品和服务的支出（不包括用于购置固定资产的支出、战略性和应急储备支出）。</w:t>
      </w:r>
    </w:p>
    <w:p w14:paraId="131DBE6F">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（六）对个人和家庭的补助（支出经济分类科目类级）：反映用于对个人和家庭的补助支出。</w:t>
      </w:r>
    </w:p>
    <w:p w14:paraId="1047BBE2">
      <w:pP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七）其他资本性支出（支出经济分类科目类级）：反映非各级发展与改革部门集中安排的用于购置固定资产、战略性和应急性储备、土地和无形资产，以及构建基础设施、大型修缮和财政支持企业更新改造所发生的支出。</w:t>
      </w:r>
    </w:p>
    <w:p w14:paraId="1EF2DFFD">
      <w:pPr>
        <w:ind w:firstLine="640" w:firstLineChars="200"/>
        <w:rPr>
          <w:rFonts w:ascii="Adobe 仿宋 Std R" w:hAnsi="Adobe 仿宋 Std R" w:eastAsia="Adobe 仿宋 Std R"/>
          <w:sz w:val="32"/>
          <w:szCs w:val="32"/>
        </w:rPr>
      </w:pPr>
      <w:r>
        <w:rPr>
          <w:rFonts w:hint="eastAsia" w:ascii="Adobe 仿宋 Std R" w:hAnsi="Adobe 仿宋 Std R" w:eastAsia="Adobe 仿宋 Std R"/>
          <w:sz w:val="32"/>
          <w:szCs w:val="32"/>
        </w:rPr>
        <w:t>三、相关专业名词</w:t>
      </w:r>
    </w:p>
    <w:p w14:paraId="49DE0D88">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5BF12D52">
      <w:pPr>
        <w:widowControl/>
        <w:spacing w:line="600" w:lineRule="exact"/>
        <w:ind w:firstLine="640" w:firstLineChars="200"/>
        <w:jc w:val="left"/>
        <w:rPr>
          <w:rFonts w:ascii="仿宋_GB2312" w:eastAsia="仿宋_GB2312"/>
          <w:color w:val="000000"/>
          <w:sz w:val="32"/>
          <w:szCs w:val="30"/>
        </w:rPr>
      </w:pPr>
      <w:r>
        <w:rPr>
          <w:rFonts w:hint="eastAsia" w:ascii="仿宋_GB2312" w:eastAsia="仿宋_GB2312"/>
          <w:color w:val="000000"/>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14:paraId="5DA9E738">
      <w:pPr>
        <w:widowControl/>
        <w:spacing w:line="600" w:lineRule="exact"/>
        <w:ind w:firstLine="640" w:firstLineChars="200"/>
        <w:jc w:val="left"/>
        <w:rPr>
          <w:rFonts w:ascii="仿宋_GB2312" w:eastAsia="仿宋_GB2312"/>
          <w:color w:val="FF0000"/>
          <w:sz w:val="32"/>
          <w:szCs w:val="30"/>
        </w:rPr>
      </w:pPr>
      <w:r>
        <w:rPr>
          <w:rFonts w:hint="eastAsia" w:ascii="仿宋_GB2312" w:eastAsia="仿宋_GB2312"/>
          <w:color w:val="000000"/>
          <w:sz w:val="32"/>
          <w:szCs w:val="30"/>
        </w:rPr>
        <w:t>（三）资源勘探工业信息等支出：反映政府在资源勘探、工业和信息化方面的支出。</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Adobe 仿宋 Std R">
    <w:altName w:val="仿宋"/>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6A6209">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00608"/>
    <w:multiLevelType w:val="singleLevel"/>
    <w:tmpl w:val="29F0060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RmY2U1ZjVhZjk5NDI5OGY2OGJlZjRlMTRiNDY3MTMifQ=="/>
  </w:docVars>
  <w:rsids>
    <w:rsidRoot w:val="00DF43D8"/>
    <w:rsid w:val="000001B2"/>
    <w:rsid w:val="000115C3"/>
    <w:rsid w:val="00014049"/>
    <w:rsid w:val="0001648A"/>
    <w:rsid w:val="00022CB3"/>
    <w:rsid w:val="00031749"/>
    <w:rsid w:val="00041EAA"/>
    <w:rsid w:val="00055F20"/>
    <w:rsid w:val="000630BE"/>
    <w:rsid w:val="0006515E"/>
    <w:rsid w:val="000801EA"/>
    <w:rsid w:val="00085227"/>
    <w:rsid w:val="000927A9"/>
    <w:rsid w:val="000963CD"/>
    <w:rsid w:val="00097B57"/>
    <w:rsid w:val="000A2066"/>
    <w:rsid w:val="000A693E"/>
    <w:rsid w:val="000B4F9E"/>
    <w:rsid w:val="000C6AF7"/>
    <w:rsid w:val="000E1BC2"/>
    <w:rsid w:val="000E6313"/>
    <w:rsid w:val="000F227D"/>
    <w:rsid w:val="000F2E5F"/>
    <w:rsid w:val="000F4BCE"/>
    <w:rsid w:val="00104F58"/>
    <w:rsid w:val="00105A38"/>
    <w:rsid w:val="00117D8C"/>
    <w:rsid w:val="00131F78"/>
    <w:rsid w:val="00143884"/>
    <w:rsid w:val="00144EB3"/>
    <w:rsid w:val="001823EA"/>
    <w:rsid w:val="00186709"/>
    <w:rsid w:val="00192620"/>
    <w:rsid w:val="00193C37"/>
    <w:rsid w:val="001C4ED5"/>
    <w:rsid w:val="001C6F31"/>
    <w:rsid w:val="001D2644"/>
    <w:rsid w:val="001E6FA2"/>
    <w:rsid w:val="001F1DED"/>
    <w:rsid w:val="0021331D"/>
    <w:rsid w:val="00213D4E"/>
    <w:rsid w:val="0022612A"/>
    <w:rsid w:val="00232A32"/>
    <w:rsid w:val="002436CD"/>
    <w:rsid w:val="00251AD0"/>
    <w:rsid w:val="00256522"/>
    <w:rsid w:val="00273EE1"/>
    <w:rsid w:val="00281E28"/>
    <w:rsid w:val="00283C63"/>
    <w:rsid w:val="00284437"/>
    <w:rsid w:val="00296654"/>
    <w:rsid w:val="002A02B4"/>
    <w:rsid w:val="002A1ED6"/>
    <w:rsid w:val="002A45BD"/>
    <w:rsid w:val="002B0263"/>
    <w:rsid w:val="002B128B"/>
    <w:rsid w:val="002B2D42"/>
    <w:rsid w:val="002C2478"/>
    <w:rsid w:val="002D2681"/>
    <w:rsid w:val="002D418E"/>
    <w:rsid w:val="002D497C"/>
    <w:rsid w:val="002E2EE9"/>
    <w:rsid w:val="0030186C"/>
    <w:rsid w:val="003057A1"/>
    <w:rsid w:val="0032092A"/>
    <w:rsid w:val="00334A98"/>
    <w:rsid w:val="003560FC"/>
    <w:rsid w:val="0036119C"/>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35AC"/>
    <w:rsid w:val="00456869"/>
    <w:rsid w:val="004664AF"/>
    <w:rsid w:val="00472987"/>
    <w:rsid w:val="00480768"/>
    <w:rsid w:val="00495985"/>
    <w:rsid w:val="00496629"/>
    <w:rsid w:val="004A0058"/>
    <w:rsid w:val="004B06B4"/>
    <w:rsid w:val="004D2293"/>
    <w:rsid w:val="004D46B3"/>
    <w:rsid w:val="004D6A23"/>
    <w:rsid w:val="004E0577"/>
    <w:rsid w:val="004E5555"/>
    <w:rsid w:val="004F51F3"/>
    <w:rsid w:val="004F5378"/>
    <w:rsid w:val="004F7260"/>
    <w:rsid w:val="005006DE"/>
    <w:rsid w:val="00502AB1"/>
    <w:rsid w:val="00516279"/>
    <w:rsid w:val="0052565B"/>
    <w:rsid w:val="00526265"/>
    <w:rsid w:val="00526CE0"/>
    <w:rsid w:val="00532264"/>
    <w:rsid w:val="00541FE6"/>
    <w:rsid w:val="00544895"/>
    <w:rsid w:val="00553AA6"/>
    <w:rsid w:val="0055670D"/>
    <w:rsid w:val="00571A5D"/>
    <w:rsid w:val="00580BF8"/>
    <w:rsid w:val="005828C8"/>
    <w:rsid w:val="005902D1"/>
    <w:rsid w:val="0059038A"/>
    <w:rsid w:val="005942E5"/>
    <w:rsid w:val="0059672A"/>
    <w:rsid w:val="00596957"/>
    <w:rsid w:val="005A3FD6"/>
    <w:rsid w:val="005C3DDD"/>
    <w:rsid w:val="005D7ACB"/>
    <w:rsid w:val="005F090C"/>
    <w:rsid w:val="005F35BD"/>
    <w:rsid w:val="005F69D4"/>
    <w:rsid w:val="00611FE7"/>
    <w:rsid w:val="006168F7"/>
    <w:rsid w:val="00623A52"/>
    <w:rsid w:val="00631E83"/>
    <w:rsid w:val="00631FA4"/>
    <w:rsid w:val="0063286F"/>
    <w:rsid w:val="00650900"/>
    <w:rsid w:val="006551A4"/>
    <w:rsid w:val="00655E8B"/>
    <w:rsid w:val="00660CC3"/>
    <w:rsid w:val="006740FD"/>
    <w:rsid w:val="006833F4"/>
    <w:rsid w:val="006924DA"/>
    <w:rsid w:val="0069555E"/>
    <w:rsid w:val="00696646"/>
    <w:rsid w:val="006A1709"/>
    <w:rsid w:val="006B2CA6"/>
    <w:rsid w:val="006C185B"/>
    <w:rsid w:val="006C3868"/>
    <w:rsid w:val="006E25EE"/>
    <w:rsid w:val="006E470E"/>
    <w:rsid w:val="006F20BD"/>
    <w:rsid w:val="00704CAB"/>
    <w:rsid w:val="00723F08"/>
    <w:rsid w:val="007424E0"/>
    <w:rsid w:val="00742D51"/>
    <w:rsid w:val="0075709B"/>
    <w:rsid w:val="007574FE"/>
    <w:rsid w:val="00777795"/>
    <w:rsid w:val="00777962"/>
    <w:rsid w:val="007913DC"/>
    <w:rsid w:val="00792A6C"/>
    <w:rsid w:val="0079393D"/>
    <w:rsid w:val="00796F4F"/>
    <w:rsid w:val="007A4D44"/>
    <w:rsid w:val="007B4314"/>
    <w:rsid w:val="007C27E0"/>
    <w:rsid w:val="007D4ACC"/>
    <w:rsid w:val="007F1616"/>
    <w:rsid w:val="007F5C86"/>
    <w:rsid w:val="007F79A6"/>
    <w:rsid w:val="00804C42"/>
    <w:rsid w:val="00823697"/>
    <w:rsid w:val="00846526"/>
    <w:rsid w:val="008506D9"/>
    <w:rsid w:val="00863898"/>
    <w:rsid w:val="00865CCE"/>
    <w:rsid w:val="00872CE4"/>
    <w:rsid w:val="00875B04"/>
    <w:rsid w:val="00875C3A"/>
    <w:rsid w:val="00876D17"/>
    <w:rsid w:val="00882C91"/>
    <w:rsid w:val="00884FAE"/>
    <w:rsid w:val="00894455"/>
    <w:rsid w:val="008979F6"/>
    <w:rsid w:val="008A6E91"/>
    <w:rsid w:val="008B30B9"/>
    <w:rsid w:val="008B52E8"/>
    <w:rsid w:val="008C011F"/>
    <w:rsid w:val="008C01B1"/>
    <w:rsid w:val="008C6EEE"/>
    <w:rsid w:val="008E1EFA"/>
    <w:rsid w:val="00902917"/>
    <w:rsid w:val="0091783F"/>
    <w:rsid w:val="0094115F"/>
    <w:rsid w:val="009421D2"/>
    <w:rsid w:val="0094514C"/>
    <w:rsid w:val="00946A59"/>
    <w:rsid w:val="009471C3"/>
    <w:rsid w:val="0095097A"/>
    <w:rsid w:val="009527A7"/>
    <w:rsid w:val="009557AC"/>
    <w:rsid w:val="00956999"/>
    <w:rsid w:val="009619B4"/>
    <w:rsid w:val="00964DCD"/>
    <w:rsid w:val="0097222E"/>
    <w:rsid w:val="00973905"/>
    <w:rsid w:val="0097415C"/>
    <w:rsid w:val="00984ACE"/>
    <w:rsid w:val="009A4624"/>
    <w:rsid w:val="009A7AB9"/>
    <w:rsid w:val="009B4813"/>
    <w:rsid w:val="009C2EBF"/>
    <w:rsid w:val="009E1C45"/>
    <w:rsid w:val="009E1F3F"/>
    <w:rsid w:val="009F72E5"/>
    <w:rsid w:val="00A0455D"/>
    <w:rsid w:val="00A10F16"/>
    <w:rsid w:val="00A2168A"/>
    <w:rsid w:val="00A33186"/>
    <w:rsid w:val="00A345A4"/>
    <w:rsid w:val="00A54282"/>
    <w:rsid w:val="00A55773"/>
    <w:rsid w:val="00A60B4D"/>
    <w:rsid w:val="00A81B89"/>
    <w:rsid w:val="00A81BA2"/>
    <w:rsid w:val="00AA4301"/>
    <w:rsid w:val="00AB4B24"/>
    <w:rsid w:val="00AB656D"/>
    <w:rsid w:val="00AB7307"/>
    <w:rsid w:val="00AC370A"/>
    <w:rsid w:val="00AD40D5"/>
    <w:rsid w:val="00AE09D7"/>
    <w:rsid w:val="00AF095D"/>
    <w:rsid w:val="00AF3859"/>
    <w:rsid w:val="00AF57C9"/>
    <w:rsid w:val="00AF62CD"/>
    <w:rsid w:val="00B128C8"/>
    <w:rsid w:val="00B15E09"/>
    <w:rsid w:val="00B169A7"/>
    <w:rsid w:val="00B348A8"/>
    <w:rsid w:val="00B5453F"/>
    <w:rsid w:val="00B619F8"/>
    <w:rsid w:val="00B6242B"/>
    <w:rsid w:val="00B71EBE"/>
    <w:rsid w:val="00B82840"/>
    <w:rsid w:val="00BA572C"/>
    <w:rsid w:val="00BB676A"/>
    <w:rsid w:val="00C03AFB"/>
    <w:rsid w:val="00C33157"/>
    <w:rsid w:val="00C35830"/>
    <w:rsid w:val="00C474E4"/>
    <w:rsid w:val="00C608F5"/>
    <w:rsid w:val="00C61B8F"/>
    <w:rsid w:val="00C644A7"/>
    <w:rsid w:val="00C771B3"/>
    <w:rsid w:val="00C803DA"/>
    <w:rsid w:val="00C82CA3"/>
    <w:rsid w:val="00CC076E"/>
    <w:rsid w:val="00CC1B30"/>
    <w:rsid w:val="00CC4504"/>
    <w:rsid w:val="00CC4FF5"/>
    <w:rsid w:val="00CC517F"/>
    <w:rsid w:val="00CD0083"/>
    <w:rsid w:val="00CD517A"/>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6F52"/>
    <w:rsid w:val="00DA3C2B"/>
    <w:rsid w:val="00DD15FE"/>
    <w:rsid w:val="00DE2065"/>
    <w:rsid w:val="00DE20E0"/>
    <w:rsid w:val="00DE5904"/>
    <w:rsid w:val="00DE6773"/>
    <w:rsid w:val="00DF29E5"/>
    <w:rsid w:val="00DF2E83"/>
    <w:rsid w:val="00DF43D8"/>
    <w:rsid w:val="00E01C5E"/>
    <w:rsid w:val="00E04E74"/>
    <w:rsid w:val="00E11187"/>
    <w:rsid w:val="00E147FF"/>
    <w:rsid w:val="00E17924"/>
    <w:rsid w:val="00E17B11"/>
    <w:rsid w:val="00E23D75"/>
    <w:rsid w:val="00E32B10"/>
    <w:rsid w:val="00E34083"/>
    <w:rsid w:val="00E503CC"/>
    <w:rsid w:val="00E5794A"/>
    <w:rsid w:val="00E60E90"/>
    <w:rsid w:val="00E70025"/>
    <w:rsid w:val="00E83029"/>
    <w:rsid w:val="00E9213F"/>
    <w:rsid w:val="00E9293D"/>
    <w:rsid w:val="00E92A8B"/>
    <w:rsid w:val="00E97D8C"/>
    <w:rsid w:val="00EA3654"/>
    <w:rsid w:val="00EA36FC"/>
    <w:rsid w:val="00EB1DF2"/>
    <w:rsid w:val="00EB5768"/>
    <w:rsid w:val="00EB656D"/>
    <w:rsid w:val="00EB6777"/>
    <w:rsid w:val="00EC3DDF"/>
    <w:rsid w:val="00ED0D2B"/>
    <w:rsid w:val="00EE6568"/>
    <w:rsid w:val="00F01B58"/>
    <w:rsid w:val="00F11FE4"/>
    <w:rsid w:val="00F132AE"/>
    <w:rsid w:val="00F2583E"/>
    <w:rsid w:val="00F32E83"/>
    <w:rsid w:val="00F95E5A"/>
    <w:rsid w:val="00F975EB"/>
    <w:rsid w:val="00FA278B"/>
    <w:rsid w:val="00FA354D"/>
    <w:rsid w:val="00FA3B89"/>
    <w:rsid w:val="00FB1979"/>
    <w:rsid w:val="00FD29E0"/>
    <w:rsid w:val="00FD5EC9"/>
    <w:rsid w:val="00FE0E90"/>
    <w:rsid w:val="00FE32CC"/>
    <w:rsid w:val="00FF60EC"/>
    <w:rsid w:val="00FF6368"/>
    <w:rsid w:val="00FF7FED"/>
    <w:rsid w:val="02263797"/>
    <w:rsid w:val="067A6028"/>
    <w:rsid w:val="068F47B3"/>
    <w:rsid w:val="08EC3843"/>
    <w:rsid w:val="0A0925FF"/>
    <w:rsid w:val="0C97247A"/>
    <w:rsid w:val="0CAA2951"/>
    <w:rsid w:val="0D1A7920"/>
    <w:rsid w:val="0D2269B3"/>
    <w:rsid w:val="0DB3098E"/>
    <w:rsid w:val="10C83D1A"/>
    <w:rsid w:val="13FB007C"/>
    <w:rsid w:val="16B036C0"/>
    <w:rsid w:val="1A705E7F"/>
    <w:rsid w:val="1E491A3B"/>
    <w:rsid w:val="1F1F7406"/>
    <w:rsid w:val="1F8F5205"/>
    <w:rsid w:val="206D0602"/>
    <w:rsid w:val="22430342"/>
    <w:rsid w:val="23977FB1"/>
    <w:rsid w:val="245C3447"/>
    <w:rsid w:val="25B931E9"/>
    <w:rsid w:val="28263441"/>
    <w:rsid w:val="2828673B"/>
    <w:rsid w:val="290B705B"/>
    <w:rsid w:val="29981D60"/>
    <w:rsid w:val="2B2339AC"/>
    <w:rsid w:val="2C57797E"/>
    <w:rsid w:val="2E7330BF"/>
    <w:rsid w:val="2F877985"/>
    <w:rsid w:val="304075B1"/>
    <w:rsid w:val="30FB5E2B"/>
    <w:rsid w:val="31931AC3"/>
    <w:rsid w:val="31B270BC"/>
    <w:rsid w:val="32A700C6"/>
    <w:rsid w:val="3328400E"/>
    <w:rsid w:val="351512FA"/>
    <w:rsid w:val="35EB1587"/>
    <w:rsid w:val="39A3581F"/>
    <w:rsid w:val="39D21CE1"/>
    <w:rsid w:val="3A841EE9"/>
    <w:rsid w:val="3A9F1A72"/>
    <w:rsid w:val="3ACF1B11"/>
    <w:rsid w:val="3B7D1841"/>
    <w:rsid w:val="3BA35A87"/>
    <w:rsid w:val="3BA6547C"/>
    <w:rsid w:val="3E1946A6"/>
    <w:rsid w:val="3F383632"/>
    <w:rsid w:val="3F9A18CA"/>
    <w:rsid w:val="3FF84E58"/>
    <w:rsid w:val="4052753A"/>
    <w:rsid w:val="42DC038C"/>
    <w:rsid w:val="45D833CA"/>
    <w:rsid w:val="464E5AFF"/>
    <w:rsid w:val="4DB628F2"/>
    <w:rsid w:val="4E0D4F31"/>
    <w:rsid w:val="4EFF051F"/>
    <w:rsid w:val="528E6F80"/>
    <w:rsid w:val="53516268"/>
    <w:rsid w:val="55924F68"/>
    <w:rsid w:val="55EE43AE"/>
    <w:rsid w:val="56C47F55"/>
    <w:rsid w:val="5EA31F07"/>
    <w:rsid w:val="5F193B70"/>
    <w:rsid w:val="61E31A71"/>
    <w:rsid w:val="62283DE4"/>
    <w:rsid w:val="63E33020"/>
    <w:rsid w:val="656229B9"/>
    <w:rsid w:val="658856FB"/>
    <w:rsid w:val="67DC7D34"/>
    <w:rsid w:val="68E97589"/>
    <w:rsid w:val="6BE248E5"/>
    <w:rsid w:val="6CCB135B"/>
    <w:rsid w:val="6EAF555B"/>
    <w:rsid w:val="6EDB6140"/>
    <w:rsid w:val="6F2C7111"/>
    <w:rsid w:val="714A36AC"/>
    <w:rsid w:val="72162360"/>
    <w:rsid w:val="72746F20"/>
    <w:rsid w:val="73543105"/>
    <w:rsid w:val="73A85115"/>
    <w:rsid w:val="759E1500"/>
    <w:rsid w:val="7C1C38B8"/>
    <w:rsid w:val="7D1C2D3E"/>
    <w:rsid w:val="7EAD5634"/>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footer"/>
    <w:basedOn w:val="1"/>
    <w:link w:val="9"/>
    <w:autoRedefine/>
    <w:unhideWhenUsed/>
    <w:qFormat/>
    <w:uiPriority w:val="99"/>
    <w:pPr>
      <w:tabs>
        <w:tab w:val="center" w:pos="4153"/>
        <w:tab w:val="right" w:pos="8306"/>
      </w:tabs>
      <w:snapToGrid w:val="0"/>
      <w:jc w:val="left"/>
    </w:pPr>
    <w:rPr>
      <w:sz w:val="18"/>
      <w:szCs w:val="18"/>
    </w:rPr>
  </w:style>
  <w:style w:type="paragraph" w:styleId="4">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autoRedefine/>
    <w:qFormat/>
    <w:uiPriority w:val="0"/>
    <w:rPr>
      <w:color w:val="0000FF"/>
      <w:u w:val="single"/>
    </w:rPr>
  </w:style>
  <w:style w:type="character" w:customStyle="1" w:styleId="8">
    <w:name w:val="页眉 Char"/>
    <w:basedOn w:val="6"/>
    <w:link w:val="4"/>
    <w:autoRedefine/>
    <w:qFormat/>
    <w:uiPriority w:val="99"/>
    <w:rPr>
      <w:sz w:val="18"/>
      <w:szCs w:val="18"/>
    </w:rPr>
  </w:style>
  <w:style w:type="character" w:customStyle="1" w:styleId="9">
    <w:name w:val="页脚 Char"/>
    <w:basedOn w:val="6"/>
    <w:link w:val="3"/>
    <w:autoRedefine/>
    <w:qFormat/>
    <w:uiPriority w:val="99"/>
    <w:rPr>
      <w:sz w:val="18"/>
      <w:szCs w:val="18"/>
    </w:rPr>
  </w:style>
  <w:style w:type="character" w:customStyle="1" w:styleId="10">
    <w:name w:val="row_tree_level_3"/>
    <w:basedOn w:val="6"/>
    <w:autoRedefine/>
    <w:qFormat/>
    <w:uiPriority w:val="0"/>
  </w:style>
  <w:style w:type="character" w:customStyle="1" w:styleId="11">
    <w:name w:val="row_tree_level_4"/>
    <w:basedOn w:val="6"/>
    <w:autoRedefine/>
    <w:qFormat/>
    <w:uiPriority w:val="0"/>
  </w:style>
  <w:style w:type="paragraph" w:customStyle="1" w:styleId="12">
    <w:name w:val="p0"/>
    <w:basedOn w:val="1"/>
    <w:autoRedefine/>
    <w:qFormat/>
    <w:uiPriority w:val="0"/>
    <w:pPr>
      <w:widowControl/>
    </w:pPr>
    <w:rPr>
      <w:rFonts w:ascii="Times New Roman" w:hAnsi="Times New Roman" w:eastAsia="宋体" w:cs="Times New Roman"/>
      <w:kern w:val="0"/>
      <w:szCs w:val="21"/>
    </w:rPr>
  </w:style>
  <w:style w:type="character" w:customStyle="1" w:styleId="13">
    <w:name w:val="15"/>
    <w:basedOn w:val="6"/>
    <w:autoRedefine/>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14</Pages>
  <Words>5814</Words>
  <Characters>6263</Characters>
  <Lines>62</Lines>
  <Paragraphs>17</Paragraphs>
  <TotalTime>1</TotalTime>
  <ScaleCrop>false</ScaleCrop>
  <LinksUpToDate>false</LinksUpToDate>
  <CharactersWithSpaces>6294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胡莉燕</cp:lastModifiedBy>
  <dcterms:modified xsi:type="dcterms:W3CDTF">2025-01-06T07:19:43Z</dcterms:modified>
  <cp:revision>157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71ECD1639C7F45DE85E3DE8D80F2018C</vt:lpwstr>
  </property>
  <property fmtid="{D5CDD505-2E9C-101B-9397-08002B2CF9AE}" pid="4" name="KSOTemplateDocerSaveRecord">
    <vt:lpwstr>eyJoZGlkIjoiYjRmY2U1ZjVhZjk5NDI5OGY2OGJlZjRlMTRiNDY3MTMifQ==</vt:lpwstr>
  </property>
</Properties>
</file>