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ind w:left="2648" w:leftChars="209" w:hanging="2209" w:hangingChars="500"/>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rPr>
        <w:t>庐山市市政公用设施管护中心</w:t>
      </w:r>
      <w:r>
        <w:rPr>
          <w:rFonts w:hint="eastAsia" w:ascii="黑体" w:hAnsi="黑体" w:eastAsia="黑体" w:cs="Times New Roman"/>
          <w:b/>
          <w:bCs/>
          <w:color w:val="000000"/>
          <w:kern w:val="0"/>
          <w:sz w:val="44"/>
          <w:szCs w:val="44"/>
          <w:lang w:val="en-US" w:eastAsia="zh-CN"/>
        </w:rPr>
        <w:t xml:space="preserve">      </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hAnsi="仿宋_GB2312" w:eastAsia="仿宋_GB2312" w:cs="仿宋_GB2312"/>
          <w:b/>
          <w:bCs/>
          <w:color w:val="000000"/>
          <w:sz w:val="32"/>
          <w:szCs w:val="32"/>
        </w:rPr>
        <w:t>庐山市市政公用设施管护中心</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hAnsi="仿宋_GB2312" w:eastAsia="仿宋_GB2312" w:cs="仿宋_GB2312"/>
          <w:b/>
          <w:bCs/>
          <w:color w:val="000000"/>
          <w:sz w:val="32"/>
          <w:szCs w:val="32"/>
        </w:rPr>
        <w:t>庐山市市政公用设施管护中心</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hAnsi="仿宋_GB2312" w:eastAsia="仿宋_GB2312" w:cs="仿宋_GB2312"/>
          <w:b/>
          <w:bCs/>
          <w:color w:val="000000"/>
          <w:sz w:val="32"/>
          <w:szCs w:val="32"/>
        </w:rPr>
        <w:t>庐山市市政公用设施管护中心</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hAnsi="仿宋_GB2312" w:eastAsia="仿宋_GB2312" w:cs="仿宋_GB2312"/>
          <w:b/>
          <w:bCs/>
          <w:color w:val="000000"/>
          <w:sz w:val="32"/>
          <w:szCs w:val="32"/>
        </w:rPr>
        <w:t>庐山市市政公用设施管护中心</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1E0FE411">
      <w:pPr>
        <w:ind w:firstLine="640" w:firstLineChars="200"/>
        <w:rPr>
          <w:rFonts w:ascii="Adobe 仿宋 Std R" w:hAnsi="Adobe 仿宋 Std R" w:eastAsia="Adobe 仿宋 Std R"/>
          <w:sz w:val="32"/>
          <w:szCs w:val="30"/>
        </w:rPr>
      </w:pPr>
      <w:r>
        <w:rPr>
          <w:rFonts w:hint="eastAsia" w:ascii="Adobe 仿宋 Std R" w:hAnsi="Adobe 仿宋 Std R" w:eastAsia="Adobe 仿宋 Std R"/>
          <w:sz w:val="32"/>
          <w:szCs w:val="30"/>
        </w:rPr>
        <w:t>市政公用设施管护中心贯彻落实党中央、省委、九江市委关于市政公用设施管护工作的方针政策和决策部署，在履行过程中坚持和加强党对市政公用设施管护工作的集中统一领导。主要职责包括负责市本级管辖范围内公园绿地、广场、生产绿地、风景林地、河湖水面、主次干道及城市快速路等园林设施和道路、桥涵、排水、人行道、公共照明、公建亮化</w:t>
      </w:r>
      <w:r>
        <w:rPr>
          <w:rFonts w:hint="eastAsia" w:ascii="Adobe 仿宋 Std R" w:hAnsi="Adobe 仿宋 Std R" w:eastAsia="Adobe 仿宋 Std R"/>
          <w:sz w:val="32"/>
          <w:szCs w:val="30"/>
          <w:lang w:eastAsia="zh-CN"/>
        </w:rPr>
        <w:t>、</w:t>
      </w:r>
      <w:r>
        <w:rPr>
          <w:rFonts w:hint="eastAsia" w:ascii="Adobe 仿宋 Std R" w:hAnsi="Adobe 仿宋 Std R" w:eastAsia="Adobe 仿宋 Std R"/>
          <w:sz w:val="32"/>
          <w:szCs w:val="30"/>
          <w:lang w:val="en-US" w:eastAsia="zh-CN"/>
        </w:rPr>
        <w:t>城乡环境卫生</w:t>
      </w:r>
      <w:r>
        <w:rPr>
          <w:rFonts w:hint="eastAsia" w:ascii="Adobe 仿宋 Std R" w:hAnsi="Adobe 仿宋 Std R" w:eastAsia="Adobe 仿宋 Std R"/>
          <w:sz w:val="32"/>
          <w:szCs w:val="30"/>
        </w:rPr>
        <w:t>等市政共用设施的养护、管理、应急处理工作，以及承办主管部门交办的其他工作。</w:t>
      </w:r>
    </w:p>
    <w:p w14:paraId="6A2A716D">
      <w:pPr>
        <w:rPr>
          <w:b/>
          <w:sz w:val="36"/>
          <w:szCs w:val="36"/>
        </w:rPr>
      </w:pPr>
      <w:r>
        <w:rPr>
          <w:rFonts w:hint="eastAsia"/>
          <w:b/>
          <w:sz w:val="36"/>
          <w:szCs w:val="36"/>
        </w:rPr>
        <w:t>二、机构设置及人员情况</w:t>
      </w:r>
    </w:p>
    <w:p w14:paraId="223A1AD5">
      <w:pPr>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年市政公用设施管护中心内设处室</w:t>
      </w:r>
      <w:r>
        <w:rPr>
          <w:rFonts w:hint="eastAsia" w:ascii="仿宋" w:hAnsi="仿宋" w:eastAsia="仿宋"/>
          <w:sz w:val="32"/>
          <w:szCs w:val="32"/>
          <w:lang w:val="en-US" w:eastAsia="zh-CN"/>
        </w:rPr>
        <w:t>4</w:t>
      </w:r>
      <w:r>
        <w:rPr>
          <w:rFonts w:hint="eastAsia" w:ascii="仿宋" w:hAnsi="仿宋" w:eastAsia="仿宋"/>
          <w:sz w:val="32"/>
          <w:szCs w:val="32"/>
        </w:rPr>
        <w:t>个，</w:t>
      </w:r>
      <w:r>
        <w:rPr>
          <w:rFonts w:ascii="仿宋" w:hAnsi="仿宋" w:eastAsia="仿宋"/>
          <w:sz w:val="32"/>
          <w:szCs w:val="32"/>
        </w:rPr>
        <w:t>包括</w:t>
      </w:r>
      <w:r>
        <w:rPr>
          <w:rFonts w:hint="eastAsia" w:ascii="仿宋" w:hAnsi="仿宋" w:eastAsia="仿宋"/>
          <w:sz w:val="32"/>
          <w:szCs w:val="32"/>
        </w:rPr>
        <w:t>：市政设施股、园林绿化股、路灯管护股</w:t>
      </w:r>
      <w:r>
        <w:rPr>
          <w:rFonts w:hint="eastAsia" w:ascii="仿宋" w:hAnsi="仿宋" w:eastAsia="仿宋"/>
          <w:sz w:val="32"/>
          <w:szCs w:val="32"/>
          <w:lang w:eastAsia="zh-CN"/>
        </w:rPr>
        <w:t>、</w:t>
      </w:r>
      <w:r>
        <w:rPr>
          <w:rFonts w:hint="eastAsia" w:ascii="仿宋" w:hAnsi="仿宋" w:eastAsia="仿宋"/>
          <w:sz w:val="32"/>
          <w:szCs w:val="32"/>
          <w:lang w:val="en-US" w:eastAsia="zh-CN"/>
        </w:rPr>
        <w:t>环卫股</w:t>
      </w:r>
      <w:r>
        <w:rPr>
          <w:rFonts w:hint="eastAsia" w:ascii="仿宋" w:hAnsi="仿宋" w:eastAsia="仿宋"/>
          <w:sz w:val="32"/>
          <w:szCs w:val="32"/>
        </w:rPr>
        <w:t>。</w:t>
      </w:r>
    </w:p>
    <w:p w14:paraId="39A9BC6F">
      <w:pPr>
        <w:ind w:firstLine="640" w:firstLineChars="200"/>
        <w:rPr>
          <w:rFonts w:ascii="仿宋_GB2312" w:eastAsia="仿宋_GB2312"/>
          <w:b/>
          <w:szCs w:val="30"/>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16</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hint="eastAsia" w:ascii="仿宋" w:hAnsi="仿宋" w:eastAsia="仿宋"/>
          <w:sz w:val="32"/>
          <w:szCs w:val="32"/>
        </w:rPr>
        <w:t>事业</w:t>
      </w:r>
      <w:r>
        <w:rPr>
          <w:rFonts w:ascii="仿宋" w:hAnsi="仿宋" w:eastAsia="仿宋"/>
          <w:sz w:val="32"/>
          <w:szCs w:val="32"/>
        </w:rPr>
        <w:t>编制人数</w:t>
      </w:r>
      <w:r>
        <w:rPr>
          <w:rFonts w:hint="eastAsia" w:ascii="仿宋" w:hAnsi="仿宋" w:eastAsia="仿宋"/>
          <w:sz w:val="32"/>
          <w:szCs w:val="32"/>
          <w:lang w:val="en-US" w:eastAsia="zh-CN"/>
        </w:rPr>
        <w:t>16</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15</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15</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hint="eastAsia" w:ascii="仿宋" w:hAnsi="仿宋" w:eastAsia="仿宋"/>
          <w:sz w:val="32"/>
          <w:szCs w:val="32"/>
        </w:rPr>
        <w:t>事业</w:t>
      </w:r>
      <w:r>
        <w:rPr>
          <w:rFonts w:ascii="仿宋" w:hAnsi="仿宋" w:eastAsia="仿宋"/>
          <w:sz w:val="32"/>
          <w:szCs w:val="32"/>
        </w:rPr>
        <w:t>在职人数</w:t>
      </w:r>
      <w:r>
        <w:rPr>
          <w:rFonts w:hint="eastAsia" w:ascii="仿宋" w:hAnsi="仿宋" w:eastAsia="仿宋"/>
          <w:sz w:val="32"/>
          <w:szCs w:val="32"/>
          <w:lang w:val="en-US" w:eastAsia="zh-CN"/>
        </w:rPr>
        <w:t>15</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rPr>
        <w:t>0</w:t>
      </w:r>
      <w:r>
        <w:rPr>
          <w:rFonts w:ascii="仿宋" w:hAnsi="仿宋" w:eastAsia="仿宋"/>
          <w:sz w:val="32"/>
          <w:szCs w:val="32"/>
        </w:rPr>
        <w:t>人,退休人数小计</w:t>
      </w:r>
      <w:r>
        <w:rPr>
          <w:rFonts w:hint="eastAsia" w:ascii="仿宋" w:hAnsi="仿宋" w:eastAsia="仿宋"/>
          <w:sz w:val="32"/>
          <w:szCs w:val="32"/>
          <w:lang w:val="en-US" w:eastAsia="zh-CN"/>
        </w:rPr>
        <w:t>23</w:t>
      </w:r>
      <w:r>
        <w:rPr>
          <w:rFonts w:ascii="仿宋" w:hAnsi="仿宋" w:eastAsia="仿宋"/>
          <w:sz w:val="32"/>
          <w:szCs w:val="32"/>
        </w:rPr>
        <w:t>人,遗属人数</w:t>
      </w:r>
      <w:r>
        <w:rPr>
          <w:rFonts w:hint="eastAsia" w:ascii="仿宋" w:hAnsi="仿宋" w:eastAsia="仿宋"/>
          <w:sz w:val="32"/>
          <w:szCs w:val="32"/>
        </w:rPr>
        <w:t>0</w:t>
      </w:r>
      <w:r>
        <w:rPr>
          <w:rFonts w:ascii="仿宋" w:hAnsi="仿宋" w:eastAsia="仿宋"/>
          <w:sz w:val="32"/>
          <w:szCs w:val="32"/>
        </w:rPr>
        <w:t>人。</w:t>
      </w:r>
      <w:r>
        <w:fldChar w:fldCharType="end"/>
      </w:r>
    </w:p>
    <w:p w14:paraId="55F38885">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hAnsi="仿宋_GB2312" w:eastAsia="仿宋_GB2312" w:cs="仿宋_GB2312"/>
          <w:b/>
          <w:bCs/>
          <w:color w:val="000000"/>
          <w:sz w:val="32"/>
          <w:szCs w:val="32"/>
        </w:rPr>
        <w:t>庐山市市政公用设施管护中心</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hint="eastAsia" w:ascii="仿宋" w:hAnsi="仿宋" w:eastAsia="仿宋"/>
          <w:bCs/>
          <w:sz w:val="32"/>
          <w:szCs w:val="32"/>
          <w:lang w:eastAsia="zh-CN"/>
        </w:rPr>
      </w:pPr>
      <w:r>
        <w:rPr>
          <w:rStyle w:val="11"/>
          <w:rFonts w:hint="eastAsia" w:ascii="仿宋" w:hAnsi="仿宋" w:eastAsia="仿宋"/>
          <w:bCs/>
          <w:sz w:val="32"/>
          <w:szCs w:val="32"/>
          <w:lang w:eastAsia="zh-CN"/>
        </w:rPr>
        <w:drawing>
          <wp:inline distT="0" distB="0" distL="114300" distR="114300">
            <wp:extent cx="5265420" cy="4403725"/>
            <wp:effectExtent l="0" t="0" r="11430" b="15875"/>
            <wp:docPr id="1" name="图片 1" descr="1736147425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36147425874"/>
                    <pic:cNvPicPr>
                      <a:picLocks noChangeAspect="1"/>
                    </pic:cNvPicPr>
                  </pic:nvPicPr>
                  <pic:blipFill>
                    <a:blip r:embed="rId5"/>
                    <a:stretch>
                      <a:fillRect/>
                    </a:stretch>
                  </pic:blipFill>
                  <pic:spPr>
                    <a:xfrm>
                      <a:off x="0" y="0"/>
                      <a:ext cx="5265420" cy="4403725"/>
                    </a:xfrm>
                    <a:prstGeom prst="rect">
                      <a:avLst/>
                    </a:prstGeom>
                  </pic:spPr>
                </pic:pic>
              </a:graphicData>
            </a:graphic>
          </wp:inline>
        </w:drawing>
      </w: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hint="eastAsia" w:ascii="仿宋" w:hAnsi="仿宋" w:eastAsia="仿宋"/>
          <w:bCs/>
          <w:sz w:val="32"/>
          <w:szCs w:val="32"/>
          <w:lang w:eastAsia="zh-CN"/>
        </w:rPr>
      </w:pPr>
      <w:r>
        <w:rPr>
          <w:rStyle w:val="11"/>
          <w:rFonts w:hint="eastAsia" w:ascii="仿宋" w:hAnsi="仿宋" w:eastAsia="仿宋"/>
          <w:bCs/>
          <w:sz w:val="32"/>
          <w:szCs w:val="32"/>
          <w:lang w:eastAsia="zh-CN"/>
        </w:rPr>
        <w:drawing>
          <wp:inline distT="0" distB="0" distL="114300" distR="114300">
            <wp:extent cx="5263515" cy="2523490"/>
            <wp:effectExtent l="0" t="0" r="13335" b="10160"/>
            <wp:docPr id="2" name="图片 2" descr="1736147527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36147527075"/>
                    <pic:cNvPicPr>
                      <a:picLocks noChangeAspect="1"/>
                    </pic:cNvPicPr>
                  </pic:nvPicPr>
                  <pic:blipFill>
                    <a:blip r:embed="rId6"/>
                    <a:stretch>
                      <a:fillRect/>
                    </a:stretch>
                  </pic:blipFill>
                  <pic:spPr>
                    <a:xfrm>
                      <a:off x="0" y="0"/>
                      <a:ext cx="5263515" cy="2523490"/>
                    </a:xfrm>
                    <a:prstGeom prst="rect">
                      <a:avLst/>
                    </a:prstGeom>
                  </pic:spPr>
                </pic:pic>
              </a:graphicData>
            </a:graphic>
          </wp:inline>
        </w:drawing>
      </w:r>
      <w:r>
        <w:rPr>
          <w:rStyle w:val="11"/>
          <w:rFonts w:hint="eastAsia" w:ascii="仿宋" w:hAnsi="仿宋" w:eastAsia="仿宋"/>
          <w:bCs/>
          <w:sz w:val="32"/>
          <w:szCs w:val="32"/>
          <w:lang w:eastAsia="zh-CN"/>
        </w:rPr>
        <w:drawing>
          <wp:inline distT="0" distB="0" distL="114300" distR="114300">
            <wp:extent cx="5273675" cy="2439670"/>
            <wp:effectExtent l="0" t="0" r="3175" b="17780"/>
            <wp:docPr id="3" name="图片 3" descr="1736147587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36147587420"/>
                    <pic:cNvPicPr>
                      <a:picLocks noChangeAspect="1"/>
                    </pic:cNvPicPr>
                  </pic:nvPicPr>
                  <pic:blipFill>
                    <a:blip r:embed="rId7"/>
                    <a:stretch>
                      <a:fillRect/>
                    </a:stretch>
                  </pic:blipFill>
                  <pic:spPr>
                    <a:xfrm>
                      <a:off x="0" y="0"/>
                      <a:ext cx="5273675" cy="2439670"/>
                    </a:xfrm>
                    <a:prstGeom prst="rect">
                      <a:avLst/>
                    </a:prstGeom>
                  </pic:spPr>
                </pic:pic>
              </a:graphicData>
            </a:graphic>
          </wp:inline>
        </w:drawing>
      </w:r>
      <w:r>
        <w:rPr>
          <w:rStyle w:val="11"/>
          <w:rFonts w:hint="eastAsia" w:ascii="仿宋" w:hAnsi="仿宋" w:eastAsia="仿宋"/>
          <w:bCs/>
          <w:sz w:val="32"/>
          <w:szCs w:val="32"/>
          <w:lang w:eastAsia="zh-CN"/>
        </w:rPr>
        <w:drawing>
          <wp:inline distT="0" distB="0" distL="114300" distR="114300">
            <wp:extent cx="5265420" cy="4015740"/>
            <wp:effectExtent l="0" t="0" r="11430" b="3810"/>
            <wp:docPr id="4" name="图片 4" descr="1736147653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36147653582"/>
                    <pic:cNvPicPr>
                      <a:picLocks noChangeAspect="1"/>
                    </pic:cNvPicPr>
                  </pic:nvPicPr>
                  <pic:blipFill>
                    <a:blip r:embed="rId8"/>
                    <a:stretch>
                      <a:fillRect/>
                    </a:stretch>
                  </pic:blipFill>
                  <pic:spPr>
                    <a:xfrm>
                      <a:off x="0" y="0"/>
                      <a:ext cx="5265420" cy="4015740"/>
                    </a:xfrm>
                    <a:prstGeom prst="rect">
                      <a:avLst/>
                    </a:prstGeom>
                  </pic:spPr>
                </pic:pic>
              </a:graphicData>
            </a:graphic>
          </wp:inline>
        </w:drawing>
      </w:r>
      <w:r>
        <w:rPr>
          <w:rStyle w:val="11"/>
          <w:rFonts w:hint="eastAsia" w:ascii="仿宋" w:hAnsi="仿宋" w:eastAsia="仿宋"/>
          <w:bCs/>
          <w:sz w:val="32"/>
          <w:szCs w:val="32"/>
          <w:lang w:eastAsia="zh-CN"/>
        </w:rPr>
        <w:drawing>
          <wp:inline distT="0" distB="0" distL="114300" distR="114300">
            <wp:extent cx="5273040" cy="2628900"/>
            <wp:effectExtent l="0" t="0" r="3810" b="0"/>
            <wp:docPr id="5" name="图片 5" descr="1736147695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736147695778"/>
                    <pic:cNvPicPr>
                      <a:picLocks noChangeAspect="1"/>
                    </pic:cNvPicPr>
                  </pic:nvPicPr>
                  <pic:blipFill>
                    <a:blip r:embed="rId9"/>
                    <a:stretch>
                      <a:fillRect/>
                    </a:stretch>
                  </pic:blipFill>
                  <pic:spPr>
                    <a:xfrm>
                      <a:off x="0" y="0"/>
                      <a:ext cx="5273040" cy="2628900"/>
                    </a:xfrm>
                    <a:prstGeom prst="rect">
                      <a:avLst/>
                    </a:prstGeom>
                  </pic:spPr>
                </pic:pic>
              </a:graphicData>
            </a:graphic>
          </wp:inline>
        </w:drawing>
      </w:r>
      <w:r>
        <w:rPr>
          <w:rStyle w:val="11"/>
          <w:rFonts w:hint="eastAsia" w:ascii="仿宋" w:hAnsi="仿宋" w:eastAsia="仿宋"/>
          <w:bCs/>
          <w:sz w:val="32"/>
          <w:szCs w:val="32"/>
          <w:lang w:eastAsia="zh-CN"/>
        </w:rPr>
        <w:drawing>
          <wp:inline distT="0" distB="0" distL="114300" distR="114300">
            <wp:extent cx="5271135" cy="2000250"/>
            <wp:effectExtent l="0" t="0" r="5715" b="0"/>
            <wp:docPr id="6" name="图片 6" descr="1736147740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736147740474"/>
                    <pic:cNvPicPr>
                      <a:picLocks noChangeAspect="1"/>
                    </pic:cNvPicPr>
                  </pic:nvPicPr>
                  <pic:blipFill>
                    <a:blip r:embed="rId10"/>
                    <a:stretch>
                      <a:fillRect/>
                    </a:stretch>
                  </pic:blipFill>
                  <pic:spPr>
                    <a:xfrm>
                      <a:off x="0" y="0"/>
                      <a:ext cx="5271135" cy="2000250"/>
                    </a:xfrm>
                    <a:prstGeom prst="rect">
                      <a:avLst/>
                    </a:prstGeom>
                  </pic:spPr>
                </pic:pic>
              </a:graphicData>
            </a:graphic>
          </wp:inline>
        </w:drawing>
      </w:r>
      <w:r>
        <w:rPr>
          <w:rStyle w:val="11"/>
          <w:rFonts w:hint="eastAsia" w:ascii="仿宋" w:hAnsi="仿宋" w:eastAsia="仿宋"/>
          <w:bCs/>
          <w:sz w:val="32"/>
          <w:szCs w:val="32"/>
          <w:lang w:eastAsia="zh-CN"/>
        </w:rPr>
        <w:drawing>
          <wp:inline distT="0" distB="0" distL="114300" distR="114300">
            <wp:extent cx="5273040" cy="1523365"/>
            <wp:effectExtent l="0" t="0" r="3810" b="635"/>
            <wp:docPr id="7" name="图片 7" descr="1736147774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736147774845"/>
                    <pic:cNvPicPr>
                      <a:picLocks noChangeAspect="1"/>
                    </pic:cNvPicPr>
                  </pic:nvPicPr>
                  <pic:blipFill>
                    <a:blip r:embed="rId11"/>
                    <a:stretch>
                      <a:fillRect/>
                    </a:stretch>
                  </pic:blipFill>
                  <pic:spPr>
                    <a:xfrm>
                      <a:off x="0" y="0"/>
                      <a:ext cx="5273040" cy="1523365"/>
                    </a:xfrm>
                    <a:prstGeom prst="rect">
                      <a:avLst/>
                    </a:prstGeom>
                  </pic:spPr>
                </pic:pic>
              </a:graphicData>
            </a:graphic>
          </wp:inline>
        </w:drawing>
      </w:r>
      <w:r>
        <w:rPr>
          <w:rStyle w:val="11"/>
          <w:rFonts w:hint="eastAsia" w:ascii="仿宋" w:hAnsi="仿宋" w:eastAsia="仿宋"/>
          <w:bCs/>
          <w:sz w:val="32"/>
          <w:szCs w:val="32"/>
          <w:lang w:eastAsia="zh-CN"/>
        </w:rPr>
        <w:drawing>
          <wp:inline distT="0" distB="0" distL="114300" distR="114300">
            <wp:extent cx="5266055" cy="1709420"/>
            <wp:effectExtent l="0" t="0" r="10795" b="5080"/>
            <wp:docPr id="8" name="图片 8" descr="1736147807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736147807521"/>
                    <pic:cNvPicPr>
                      <a:picLocks noChangeAspect="1"/>
                    </pic:cNvPicPr>
                  </pic:nvPicPr>
                  <pic:blipFill>
                    <a:blip r:embed="rId12"/>
                    <a:stretch>
                      <a:fillRect/>
                    </a:stretch>
                  </pic:blipFill>
                  <pic:spPr>
                    <a:xfrm>
                      <a:off x="0" y="0"/>
                      <a:ext cx="5266055" cy="1709420"/>
                    </a:xfrm>
                    <a:prstGeom prst="rect">
                      <a:avLst/>
                    </a:prstGeom>
                  </pic:spPr>
                </pic:pic>
              </a:graphicData>
            </a:graphic>
          </wp:inline>
        </w:drawing>
      </w:r>
      <w:r>
        <w:rPr>
          <w:rStyle w:val="11"/>
          <w:rFonts w:hint="eastAsia" w:ascii="仿宋" w:hAnsi="仿宋" w:eastAsia="仿宋"/>
          <w:bCs/>
          <w:sz w:val="32"/>
          <w:szCs w:val="32"/>
          <w:lang w:eastAsia="zh-CN"/>
        </w:rPr>
        <w:drawing>
          <wp:inline distT="0" distB="0" distL="114300" distR="114300">
            <wp:extent cx="5273675" cy="1185545"/>
            <wp:effectExtent l="0" t="0" r="3175" b="14605"/>
            <wp:docPr id="9" name="图片 9" descr="1736147849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736147849201"/>
                    <pic:cNvPicPr>
                      <a:picLocks noChangeAspect="1"/>
                    </pic:cNvPicPr>
                  </pic:nvPicPr>
                  <pic:blipFill>
                    <a:blip r:embed="rId13"/>
                    <a:stretch>
                      <a:fillRect/>
                    </a:stretch>
                  </pic:blipFill>
                  <pic:spPr>
                    <a:xfrm>
                      <a:off x="0" y="0"/>
                      <a:ext cx="5273675" cy="1185545"/>
                    </a:xfrm>
                    <a:prstGeom prst="rect">
                      <a:avLst/>
                    </a:prstGeom>
                  </pic:spPr>
                </pic:pic>
              </a:graphicData>
            </a:graphic>
          </wp:inline>
        </w:drawing>
      </w:r>
      <w:r>
        <w:rPr>
          <w:rStyle w:val="11"/>
          <w:rFonts w:hint="eastAsia" w:ascii="仿宋" w:hAnsi="仿宋" w:eastAsia="仿宋"/>
          <w:bCs/>
          <w:sz w:val="32"/>
          <w:szCs w:val="32"/>
          <w:lang w:eastAsia="zh-CN"/>
        </w:rPr>
        <w:drawing>
          <wp:inline distT="0" distB="0" distL="114300" distR="114300">
            <wp:extent cx="5272405" cy="6729095"/>
            <wp:effectExtent l="0" t="0" r="4445" b="14605"/>
            <wp:docPr id="10" name="图片 10" descr="1736153464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736153464232"/>
                    <pic:cNvPicPr>
                      <a:picLocks noChangeAspect="1"/>
                    </pic:cNvPicPr>
                  </pic:nvPicPr>
                  <pic:blipFill>
                    <a:blip r:embed="rId14"/>
                    <a:stretch>
                      <a:fillRect/>
                    </a:stretch>
                  </pic:blipFill>
                  <pic:spPr>
                    <a:xfrm>
                      <a:off x="0" y="0"/>
                      <a:ext cx="5272405" cy="6729095"/>
                    </a:xfrm>
                    <a:prstGeom prst="rect">
                      <a:avLst/>
                    </a:prstGeom>
                  </pic:spPr>
                </pic:pic>
              </a:graphicData>
            </a:graphic>
          </wp:inline>
        </w:drawing>
      </w:r>
      <w:r>
        <w:rPr>
          <w:rStyle w:val="11"/>
          <w:rFonts w:hint="eastAsia" w:ascii="仿宋" w:hAnsi="仿宋" w:eastAsia="仿宋"/>
          <w:bCs/>
          <w:sz w:val="32"/>
          <w:szCs w:val="32"/>
          <w:lang w:eastAsia="zh-CN"/>
        </w:rPr>
        <w:drawing>
          <wp:inline distT="0" distB="0" distL="114300" distR="114300">
            <wp:extent cx="3743325" cy="7315200"/>
            <wp:effectExtent l="0" t="0" r="9525" b="0"/>
            <wp:docPr id="11" name="图片 11" descr="173630211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736302111888"/>
                    <pic:cNvPicPr>
                      <a:picLocks noChangeAspect="1"/>
                    </pic:cNvPicPr>
                  </pic:nvPicPr>
                  <pic:blipFill>
                    <a:blip r:embed="rId15"/>
                    <a:stretch>
                      <a:fillRect/>
                    </a:stretch>
                  </pic:blipFill>
                  <pic:spPr>
                    <a:xfrm>
                      <a:off x="0" y="0"/>
                      <a:ext cx="3743325" cy="7315200"/>
                    </a:xfrm>
                    <a:prstGeom prst="rect">
                      <a:avLst/>
                    </a:prstGeom>
                  </pic:spPr>
                </pic:pic>
              </a:graphicData>
            </a:graphic>
          </wp:inline>
        </w:drawing>
      </w:r>
      <w:r>
        <w:rPr>
          <w:rStyle w:val="11"/>
          <w:rFonts w:hint="eastAsia" w:ascii="仿宋" w:hAnsi="仿宋" w:eastAsia="仿宋"/>
          <w:bCs/>
          <w:sz w:val="32"/>
          <w:szCs w:val="32"/>
          <w:lang w:eastAsia="zh-CN"/>
        </w:rPr>
        <w:drawing>
          <wp:inline distT="0" distB="0" distL="114300" distR="114300">
            <wp:extent cx="5191125" cy="8001000"/>
            <wp:effectExtent l="0" t="0" r="9525" b="0"/>
            <wp:docPr id="12" name="图片 12" descr="1736302180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736302180233"/>
                    <pic:cNvPicPr>
                      <a:picLocks noChangeAspect="1"/>
                    </pic:cNvPicPr>
                  </pic:nvPicPr>
                  <pic:blipFill>
                    <a:blip r:embed="rId16"/>
                    <a:stretch>
                      <a:fillRect/>
                    </a:stretch>
                  </pic:blipFill>
                  <pic:spPr>
                    <a:xfrm>
                      <a:off x="0" y="0"/>
                      <a:ext cx="5191125" cy="8001000"/>
                    </a:xfrm>
                    <a:prstGeom prst="rect">
                      <a:avLst/>
                    </a:prstGeom>
                  </pic:spPr>
                </pic:pic>
              </a:graphicData>
            </a:graphic>
          </wp:inline>
        </w:drawing>
      </w:r>
      <w:r>
        <w:drawing>
          <wp:inline distT="0" distB="0" distL="114300" distR="114300">
            <wp:extent cx="5272405" cy="7295515"/>
            <wp:effectExtent l="0" t="0" r="4445" b="635"/>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17"/>
                    <a:stretch>
                      <a:fillRect/>
                    </a:stretch>
                  </pic:blipFill>
                  <pic:spPr>
                    <a:xfrm>
                      <a:off x="0" y="0"/>
                      <a:ext cx="5272405" cy="7295515"/>
                    </a:xfrm>
                    <a:prstGeom prst="rect">
                      <a:avLst/>
                    </a:prstGeom>
                    <a:noFill/>
                    <a:ln>
                      <a:noFill/>
                    </a:ln>
                  </pic:spPr>
                </pic:pic>
              </a:graphicData>
            </a:graphic>
          </wp:inline>
        </w:drawing>
      </w:r>
      <w:r>
        <w:drawing>
          <wp:inline distT="0" distB="0" distL="114300" distR="114300">
            <wp:extent cx="5219700" cy="7115175"/>
            <wp:effectExtent l="0" t="0" r="0" b="9525"/>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18"/>
                    <a:stretch>
                      <a:fillRect/>
                    </a:stretch>
                  </pic:blipFill>
                  <pic:spPr>
                    <a:xfrm>
                      <a:off x="0" y="0"/>
                      <a:ext cx="5219700" cy="7115175"/>
                    </a:xfrm>
                    <a:prstGeom prst="rect">
                      <a:avLst/>
                    </a:prstGeom>
                    <a:noFill/>
                    <a:ln>
                      <a:noFill/>
                    </a:ln>
                  </pic:spPr>
                </pic:pic>
              </a:graphicData>
            </a:graphic>
          </wp:inline>
        </w:drawing>
      </w:r>
      <w:r>
        <w:drawing>
          <wp:inline distT="0" distB="0" distL="114300" distR="114300">
            <wp:extent cx="5181600" cy="7019925"/>
            <wp:effectExtent l="0" t="0" r="0" b="9525"/>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19"/>
                    <a:stretch>
                      <a:fillRect/>
                    </a:stretch>
                  </pic:blipFill>
                  <pic:spPr>
                    <a:xfrm>
                      <a:off x="0" y="0"/>
                      <a:ext cx="5181600" cy="7019925"/>
                    </a:xfrm>
                    <a:prstGeom prst="rect">
                      <a:avLst/>
                    </a:prstGeom>
                    <a:noFill/>
                    <a:ln>
                      <a:noFill/>
                    </a:ln>
                  </pic:spPr>
                </pic:pic>
              </a:graphicData>
            </a:graphic>
          </wp:inline>
        </w:drawing>
      </w:r>
      <w:r>
        <w:drawing>
          <wp:inline distT="0" distB="0" distL="114300" distR="114300">
            <wp:extent cx="5057775" cy="7334250"/>
            <wp:effectExtent l="0" t="0" r="9525" b="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20"/>
                    <a:stretch>
                      <a:fillRect/>
                    </a:stretch>
                  </pic:blipFill>
                  <pic:spPr>
                    <a:xfrm>
                      <a:off x="0" y="0"/>
                      <a:ext cx="5057775" cy="7334250"/>
                    </a:xfrm>
                    <a:prstGeom prst="rect">
                      <a:avLst/>
                    </a:prstGeom>
                    <a:noFill/>
                    <a:ln>
                      <a:noFill/>
                    </a:ln>
                  </pic:spPr>
                </pic:pic>
              </a:graphicData>
            </a:graphic>
          </wp:inline>
        </w:drawing>
      </w:r>
      <w:r>
        <w:drawing>
          <wp:inline distT="0" distB="0" distL="114300" distR="114300">
            <wp:extent cx="4905375" cy="6991350"/>
            <wp:effectExtent l="0" t="0" r="9525" b="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pic:cNvPicPr>
                  </pic:nvPicPr>
                  <pic:blipFill>
                    <a:blip r:embed="rId21"/>
                    <a:stretch>
                      <a:fillRect/>
                    </a:stretch>
                  </pic:blipFill>
                  <pic:spPr>
                    <a:xfrm>
                      <a:off x="0" y="0"/>
                      <a:ext cx="4905375" cy="6991350"/>
                    </a:xfrm>
                    <a:prstGeom prst="rect">
                      <a:avLst/>
                    </a:prstGeom>
                    <a:noFill/>
                    <a:ln>
                      <a:noFill/>
                    </a:ln>
                  </pic:spPr>
                </pic:pic>
              </a:graphicData>
            </a:graphic>
          </wp:inline>
        </w:drawing>
      </w:r>
      <w:r>
        <w:drawing>
          <wp:inline distT="0" distB="0" distL="114300" distR="114300">
            <wp:extent cx="4457700" cy="7581900"/>
            <wp:effectExtent l="0" t="0" r="0" b="0"/>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pic:cNvPicPr>
                  </pic:nvPicPr>
                  <pic:blipFill>
                    <a:blip r:embed="rId22"/>
                    <a:stretch>
                      <a:fillRect/>
                    </a:stretch>
                  </pic:blipFill>
                  <pic:spPr>
                    <a:xfrm>
                      <a:off x="0" y="0"/>
                      <a:ext cx="4457700" cy="7581900"/>
                    </a:xfrm>
                    <a:prstGeom prst="rect">
                      <a:avLst/>
                    </a:prstGeom>
                    <a:noFill/>
                    <a:ln>
                      <a:noFill/>
                    </a:ln>
                  </pic:spPr>
                </pic:pic>
              </a:graphicData>
            </a:graphic>
          </wp:inline>
        </w:drawing>
      </w:r>
      <w:r>
        <w:drawing>
          <wp:inline distT="0" distB="0" distL="114300" distR="114300">
            <wp:extent cx="5153025" cy="7038975"/>
            <wp:effectExtent l="0" t="0" r="9525" b="9525"/>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
                    <pic:cNvPicPr>
                      <a:picLocks noChangeAspect="1"/>
                    </pic:cNvPicPr>
                  </pic:nvPicPr>
                  <pic:blipFill>
                    <a:blip r:embed="rId23"/>
                    <a:stretch>
                      <a:fillRect/>
                    </a:stretch>
                  </pic:blipFill>
                  <pic:spPr>
                    <a:xfrm>
                      <a:off x="0" y="0"/>
                      <a:ext cx="5153025" cy="7038975"/>
                    </a:xfrm>
                    <a:prstGeom prst="rect">
                      <a:avLst/>
                    </a:prstGeom>
                    <a:noFill/>
                    <a:ln>
                      <a:noFill/>
                    </a:ln>
                  </pic:spPr>
                </pic:pic>
              </a:graphicData>
            </a:graphic>
          </wp:inline>
        </w:drawing>
      </w:r>
      <w:r>
        <w:drawing>
          <wp:inline distT="0" distB="0" distL="114300" distR="114300">
            <wp:extent cx="5269865" cy="6860540"/>
            <wp:effectExtent l="0" t="0" r="6985" b="16510"/>
            <wp:docPr id="2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
                    <pic:cNvPicPr>
                      <a:picLocks noChangeAspect="1"/>
                    </pic:cNvPicPr>
                  </pic:nvPicPr>
                  <pic:blipFill>
                    <a:blip r:embed="rId24"/>
                    <a:stretch>
                      <a:fillRect/>
                    </a:stretch>
                  </pic:blipFill>
                  <pic:spPr>
                    <a:xfrm>
                      <a:off x="0" y="0"/>
                      <a:ext cx="5269865" cy="6860540"/>
                    </a:xfrm>
                    <a:prstGeom prst="rect">
                      <a:avLst/>
                    </a:prstGeom>
                    <a:noFill/>
                    <a:ln>
                      <a:noFill/>
                    </a:ln>
                  </pic:spPr>
                </pic:pic>
              </a:graphicData>
            </a:graphic>
          </wp:inline>
        </w:drawing>
      </w:r>
      <w:r>
        <w:drawing>
          <wp:inline distT="0" distB="0" distL="114300" distR="114300">
            <wp:extent cx="5271135" cy="7166610"/>
            <wp:effectExtent l="0" t="0" r="5715" b="1524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pic:cNvPicPr>
                  </pic:nvPicPr>
                  <pic:blipFill>
                    <a:blip r:embed="rId25"/>
                    <a:stretch>
                      <a:fillRect/>
                    </a:stretch>
                  </pic:blipFill>
                  <pic:spPr>
                    <a:xfrm>
                      <a:off x="0" y="0"/>
                      <a:ext cx="5271135" cy="7166610"/>
                    </a:xfrm>
                    <a:prstGeom prst="rect">
                      <a:avLst/>
                    </a:prstGeom>
                    <a:noFill/>
                    <a:ln>
                      <a:noFill/>
                    </a:ln>
                  </pic:spPr>
                </pic:pic>
              </a:graphicData>
            </a:graphic>
          </wp:inline>
        </w:drawing>
      </w:r>
      <w:r>
        <w:drawing>
          <wp:inline distT="0" distB="0" distL="114300" distR="114300">
            <wp:extent cx="5273675" cy="6949440"/>
            <wp:effectExtent l="0" t="0" r="3175" b="3810"/>
            <wp:docPr id="2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0"/>
                    <pic:cNvPicPr>
                      <a:picLocks noChangeAspect="1"/>
                    </pic:cNvPicPr>
                  </pic:nvPicPr>
                  <pic:blipFill>
                    <a:blip r:embed="rId26"/>
                    <a:stretch>
                      <a:fillRect/>
                    </a:stretch>
                  </pic:blipFill>
                  <pic:spPr>
                    <a:xfrm>
                      <a:off x="0" y="0"/>
                      <a:ext cx="5273675" cy="6949440"/>
                    </a:xfrm>
                    <a:prstGeom prst="rect">
                      <a:avLst/>
                    </a:prstGeom>
                    <a:noFill/>
                    <a:ln>
                      <a:noFill/>
                    </a:ln>
                  </pic:spPr>
                </pic:pic>
              </a:graphicData>
            </a:graphic>
          </wp:inline>
        </w:drawing>
      </w:r>
      <w:r>
        <w:drawing>
          <wp:inline distT="0" distB="0" distL="114300" distR="114300">
            <wp:extent cx="5269230" cy="6837680"/>
            <wp:effectExtent l="0" t="0" r="7620" b="1270"/>
            <wp:docPr id="2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1"/>
                    <pic:cNvPicPr>
                      <a:picLocks noChangeAspect="1"/>
                    </pic:cNvPicPr>
                  </pic:nvPicPr>
                  <pic:blipFill>
                    <a:blip r:embed="rId27"/>
                    <a:stretch>
                      <a:fillRect/>
                    </a:stretch>
                  </pic:blipFill>
                  <pic:spPr>
                    <a:xfrm>
                      <a:off x="0" y="0"/>
                      <a:ext cx="5269230" cy="6837680"/>
                    </a:xfrm>
                    <a:prstGeom prst="rect">
                      <a:avLst/>
                    </a:prstGeom>
                    <a:noFill/>
                    <a:ln>
                      <a:noFill/>
                    </a:ln>
                  </pic:spPr>
                </pic:pic>
              </a:graphicData>
            </a:graphic>
          </wp:inline>
        </w:drawing>
      </w:r>
      <w:r>
        <w:drawing>
          <wp:inline distT="0" distB="0" distL="114300" distR="114300">
            <wp:extent cx="5271770" cy="7241540"/>
            <wp:effectExtent l="0" t="0" r="5080" b="16510"/>
            <wp:docPr id="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2"/>
                    <pic:cNvPicPr>
                      <a:picLocks noChangeAspect="1"/>
                    </pic:cNvPicPr>
                  </pic:nvPicPr>
                  <pic:blipFill>
                    <a:blip r:embed="rId28"/>
                    <a:stretch>
                      <a:fillRect/>
                    </a:stretch>
                  </pic:blipFill>
                  <pic:spPr>
                    <a:xfrm>
                      <a:off x="0" y="0"/>
                      <a:ext cx="5271770" cy="7241540"/>
                    </a:xfrm>
                    <a:prstGeom prst="rect">
                      <a:avLst/>
                    </a:prstGeom>
                    <a:noFill/>
                    <a:ln>
                      <a:noFill/>
                    </a:ln>
                  </pic:spPr>
                </pic:pic>
              </a:graphicData>
            </a:graphic>
          </wp:inline>
        </w:drawing>
      </w:r>
      <w:bookmarkStart w:id="0" w:name="_GoBack"/>
      <w:bookmarkEnd w:id="0"/>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hAnsi="仿宋_GB2312" w:eastAsia="仿宋_GB2312" w:cs="仿宋_GB2312"/>
          <w:b/>
          <w:bCs/>
          <w:color w:val="000000"/>
          <w:sz w:val="32"/>
          <w:szCs w:val="32"/>
        </w:rPr>
        <w:t>庐山市市政公用设施管护中心</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val="en-US" w:eastAsia="zh-CN"/>
        </w:rPr>
        <w:t>庐山市市政公用设施管护中心</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8695.11</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6907.27</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8695.11</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6907.27</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增加变化原因为2025年原预计纳入政府预算项目全部纳入单位特定项目预算。</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仿宋" w:hAnsi="仿宋" w:eastAsia="仿宋" w:cs="Times New Roman"/>
          <w:kern w:val="0"/>
          <w:sz w:val="32"/>
          <w:szCs w:val="32"/>
          <w:lang w:val="en-US" w:eastAsia="zh-CN"/>
        </w:rPr>
        <w:t>庐山市市政公用设施管护中心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Fonts w:hint="eastAsia" w:ascii="仿宋" w:hAnsi="仿宋" w:eastAsia="仿宋" w:cs="Times New Roman"/>
          <w:kern w:val="0"/>
          <w:sz w:val="32"/>
          <w:szCs w:val="32"/>
          <w:lang w:val="en-US" w:eastAsia="zh-CN"/>
        </w:rPr>
        <w:t>8695.11</w:t>
      </w:r>
      <w:r>
        <w:rPr>
          <w:rStyle w:val="11"/>
          <w:rFonts w:ascii="仿宋" w:hAnsi="仿宋" w:eastAsia="仿宋"/>
          <w:sz w:val="32"/>
          <w:szCs w:val="32"/>
        </w:rPr>
        <w:t>万元,较上年预算安排增加</w:t>
      </w:r>
      <w:r>
        <w:rPr>
          <w:rFonts w:ascii="仿宋" w:hAnsi="仿宋" w:eastAsia="仿宋" w:cs="Times New Roman"/>
          <w:kern w:val="0"/>
          <w:sz w:val="32"/>
          <w:szCs w:val="32"/>
        </w:rPr>
        <w:t>增加</w:t>
      </w:r>
      <w:r>
        <w:rPr>
          <w:rFonts w:hint="eastAsia" w:ascii="仿宋" w:hAnsi="仿宋" w:eastAsia="仿宋" w:cs="Times New Roman"/>
          <w:kern w:val="0"/>
          <w:sz w:val="32"/>
          <w:szCs w:val="32"/>
          <w:lang w:val="en-US" w:eastAsia="zh-CN"/>
        </w:rPr>
        <w:t>6907.27</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增加变化原因为2025年原预计纳入政府预算项目全部纳入单位特定项目预算。</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FF0000"/>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300.61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38.59</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223.65</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21.56</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55.4</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8394.5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6868.67</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8371.3</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6.2万元，</w:t>
      </w:r>
      <w:r>
        <w:rPr>
          <w:rStyle w:val="11"/>
          <w:rFonts w:ascii="仿宋" w:hAnsi="仿宋" w:eastAsia="仿宋"/>
          <w:sz w:val="32"/>
          <w:szCs w:val="32"/>
        </w:rPr>
        <w:t>资本性支出</w:t>
      </w:r>
      <w:r>
        <w:rPr>
          <w:rStyle w:val="11"/>
          <w:rFonts w:hint="eastAsia" w:ascii="仿宋" w:hAnsi="仿宋" w:eastAsia="仿宋"/>
          <w:sz w:val="32"/>
          <w:szCs w:val="32"/>
          <w:lang w:val="en-US" w:eastAsia="zh-CN"/>
        </w:rPr>
        <w:t>17</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FF0000"/>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hint="eastAsia" w:ascii="仿宋" w:hAnsi="仿宋" w:eastAsia="仿宋"/>
          <w:sz w:val="32"/>
          <w:szCs w:val="32"/>
          <w:lang w:val="en-US" w:eastAsia="zh-CN"/>
        </w:rPr>
        <w:t>城乡社区</w:t>
      </w:r>
      <w:r>
        <w:rPr>
          <w:rStyle w:val="11"/>
          <w:rFonts w:ascii="仿宋" w:hAnsi="仿宋" w:eastAsia="仿宋"/>
          <w:sz w:val="32"/>
          <w:szCs w:val="32"/>
        </w:rPr>
        <w:t>支出</w:t>
      </w:r>
      <w:r>
        <w:rPr>
          <w:rStyle w:val="11"/>
          <w:rFonts w:hint="eastAsia" w:ascii="仿宋" w:hAnsi="仿宋" w:eastAsia="仿宋"/>
          <w:sz w:val="32"/>
          <w:szCs w:val="32"/>
          <w:lang w:val="en-US" w:eastAsia="zh-CN"/>
        </w:rPr>
        <w:t>8627.9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6897.8</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33.65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4.64</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14.93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2.13</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18.63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2.69</w:t>
      </w:r>
      <w:r>
        <w:rPr>
          <w:rStyle w:val="11"/>
          <w:rFonts w:ascii="仿宋" w:hAnsi="仿宋" w:eastAsia="仿宋"/>
          <w:sz w:val="32"/>
          <w:szCs w:val="32"/>
        </w:rPr>
        <w:t>万元。</w:t>
      </w:r>
      <w: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olor w:val="FF0000"/>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223.65</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20.19</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8392.86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7070.86</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61.6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58.22</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201.63</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仿宋" w:hAnsi="仿宋" w:eastAsia="仿宋" w:cs="Times New Roman"/>
          <w:kern w:val="0"/>
          <w:sz w:val="32"/>
          <w:szCs w:val="32"/>
          <w:lang w:val="en-US" w:eastAsia="zh-CN"/>
        </w:rPr>
        <w:t>庐山市市政公用设施管护中心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8695.11</w:t>
      </w:r>
      <w:r>
        <w:rPr>
          <w:rStyle w:val="11"/>
          <w:rFonts w:ascii="仿宋" w:hAnsi="仿宋" w:eastAsia="仿宋"/>
          <w:sz w:val="32"/>
          <w:szCs w:val="32"/>
        </w:rPr>
        <w:t>万元,较上年预算安排增加</w:t>
      </w:r>
      <w:r>
        <w:rPr>
          <w:rFonts w:hint="eastAsia" w:ascii="仿宋" w:hAnsi="仿宋" w:eastAsia="仿宋" w:cs="Times New Roman"/>
          <w:kern w:val="0"/>
          <w:sz w:val="32"/>
          <w:szCs w:val="32"/>
          <w:lang w:val="en-US" w:eastAsia="zh-CN"/>
        </w:rPr>
        <w:t>6907.27</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增加变化原因为2025年原预计纳入政府预算项目全部纳入单位特定项目预算。</w:t>
      </w:r>
    </w:p>
    <w:p w14:paraId="719B4DEA">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FF0000"/>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hint="eastAsia" w:ascii="仿宋" w:hAnsi="仿宋" w:eastAsia="仿宋"/>
          <w:sz w:val="32"/>
          <w:szCs w:val="32"/>
          <w:lang w:val="en-US" w:eastAsia="zh-CN"/>
        </w:rPr>
        <w:t>城乡社区</w:t>
      </w:r>
      <w:r>
        <w:rPr>
          <w:rStyle w:val="11"/>
          <w:rFonts w:ascii="仿宋" w:hAnsi="仿宋" w:eastAsia="仿宋"/>
          <w:sz w:val="32"/>
          <w:szCs w:val="32"/>
        </w:rPr>
        <w:t>支出</w:t>
      </w:r>
      <w:r>
        <w:rPr>
          <w:rStyle w:val="11"/>
          <w:rFonts w:hint="eastAsia" w:ascii="仿宋" w:hAnsi="仿宋" w:eastAsia="仿宋"/>
          <w:sz w:val="32"/>
          <w:szCs w:val="32"/>
          <w:lang w:val="en-US" w:eastAsia="zh-CN"/>
        </w:rPr>
        <w:t>8627.9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6897.8</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33.65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4.64</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14.93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2.13</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18.63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2.69</w:t>
      </w:r>
      <w:r>
        <w:rPr>
          <w:rStyle w:val="11"/>
          <w:rFonts w:ascii="仿宋" w:hAnsi="仿宋" w:eastAsia="仿宋"/>
          <w:sz w:val="32"/>
          <w:szCs w:val="32"/>
        </w:rPr>
        <w:t>万元。</w:t>
      </w:r>
      <w:r>
        <w:fldChar w:fldCharType="end"/>
      </w:r>
    </w:p>
    <w:p w14:paraId="67F1E0BD">
      <w:pPr>
        <w:ind w:firstLine="640" w:firstLineChars="200"/>
        <w:rPr>
          <w:rStyle w:val="11"/>
          <w:rFonts w:ascii="仿宋" w:hAnsi="仿宋" w:eastAsia="仿宋"/>
          <w:sz w:val="32"/>
          <w:szCs w:val="32"/>
        </w:rPr>
      </w:pPr>
    </w:p>
    <w:p w14:paraId="64E81F8C">
      <w:pPr>
        <w:ind w:firstLine="640" w:firstLineChars="200"/>
      </w:pPr>
      <w:r>
        <w:rPr>
          <w:rStyle w:val="11"/>
          <w:rFonts w:hint="eastAsia" w:ascii="仿宋" w:hAnsi="仿宋" w:eastAsia="仿宋"/>
          <w:sz w:val="32"/>
          <w:szCs w:val="32"/>
        </w:rPr>
        <w:t>按</w:t>
      </w:r>
      <w:r>
        <w:rPr>
          <w:rStyle w:val="11"/>
          <w:rFonts w:hint="eastAsia" w:ascii="仿宋" w:hAnsi="仿宋" w:eastAsia="仿宋"/>
          <w:color w:val="FF0000"/>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300.61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38.59</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223.65</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21.56</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55.4</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8394.5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6868.67</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8371.3</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6.2万元，</w:t>
      </w:r>
      <w:r>
        <w:rPr>
          <w:rStyle w:val="11"/>
          <w:rFonts w:ascii="仿宋" w:hAnsi="仿宋" w:eastAsia="仿宋"/>
          <w:sz w:val="32"/>
          <w:szCs w:val="32"/>
        </w:rPr>
        <w:t>资本性支出</w:t>
      </w:r>
      <w:r>
        <w:rPr>
          <w:rStyle w:val="11"/>
          <w:rFonts w:hint="eastAsia" w:ascii="仿宋" w:hAnsi="仿宋" w:eastAsia="仿宋"/>
          <w:sz w:val="32"/>
          <w:szCs w:val="32"/>
          <w:lang w:val="en-US" w:eastAsia="zh-CN"/>
        </w:rPr>
        <w:t>17</w:t>
      </w:r>
      <w:r>
        <w:rPr>
          <w:rStyle w:val="11"/>
          <w:rFonts w:ascii="仿宋" w:hAnsi="仿宋" w:eastAsia="仿宋"/>
          <w:sz w:val="32"/>
          <w:szCs w:val="32"/>
        </w:rPr>
        <w:t>万元。</w:t>
      </w:r>
      <w:r>
        <w:fldChar w:fldCharType="end"/>
      </w: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1C5337DD">
      <w:pPr>
        <w:ind w:firstLine="640" w:firstLineChars="200"/>
        <w:rPr>
          <w:rFonts w:hint="eastAsia" w:ascii="Adobe 仿宋 Std R" w:hAnsi="Adobe 仿宋 Std R" w:eastAsia="Adobe 仿宋 Std R"/>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仿宋" w:hAnsi="仿宋" w:eastAsia="仿宋" w:cs="Times New Roman"/>
          <w:kern w:val="0"/>
          <w:sz w:val="32"/>
          <w:szCs w:val="32"/>
          <w:lang w:val="en-US" w:eastAsia="zh-CN"/>
        </w:rPr>
        <w:t>庐山市市政公用设施管护中心</w:t>
      </w:r>
      <w:r>
        <w:rPr>
          <w:rFonts w:ascii="Adobe 仿宋 Std R" w:hAnsi="Adobe 仿宋 Std R" w:eastAsia="Adobe 仿宋 Std R"/>
          <w:sz w:val="32"/>
          <w:szCs w:val="32"/>
        </w:rPr>
        <w:t>政府性基金支出预算</w:t>
      </w:r>
      <w:r>
        <w:rPr>
          <w:rFonts w:hint="eastAsia" w:ascii="Adobe 仿宋 Std R" w:hAnsi="Adobe 仿宋 Std R" w:eastAsia="Adobe 仿宋 Std R"/>
          <w:sz w:val="32"/>
          <w:szCs w:val="32"/>
        </w:rPr>
        <w:t>为</w:t>
      </w:r>
      <w:r>
        <w:rPr>
          <w:rFonts w:hint="eastAsia" w:ascii="Adobe 仿宋 Std R" w:hAnsi="Adobe 仿宋 Std R" w:eastAsia="Adobe 仿宋 Std R"/>
          <w:sz w:val="32"/>
          <w:szCs w:val="32"/>
          <w:lang w:val="en-US" w:eastAsia="zh-CN"/>
        </w:rPr>
        <w:t>7740.5万元。</w:t>
      </w:r>
    </w:p>
    <w:p w14:paraId="44024A2A">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FF0000"/>
          <w:sz w:val="32"/>
          <w:szCs w:val="32"/>
        </w:rPr>
        <w:t>支出项目</w:t>
      </w:r>
      <w:r>
        <w:rPr>
          <w:rStyle w:val="11"/>
          <w:rFonts w:hint="eastAsia" w:ascii="仿宋" w:hAnsi="仿宋" w:eastAsia="仿宋"/>
          <w:sz w:val="32"/>
          <w:szCs w:val="32"/>
        </w:rPr>
        <w:t>类别划分：</w:t>
      </w:r>
      <w:r>
        <w:rPr>
          <w:rStyle w:val="11"/>
          <w:rFonts w:hint="eastAsia" w:ascii="仿宋" w:hAnsi="仿宋" w:eastAsia="仿宋"/>
          <w:sz w:val="32"/>
          <w:szCs w:val="32"/>
          <w:lang w:val="en-US" w:eastAsia="zh-CN"/>
        </w:rPr>
        <w:t>项目支出7740.5万元，其中：商品和服务支出7740.5万元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0D50A51A">
      <w:pPr>
        <w:ind w:firstLine="640" w:firstLineChars="200"/>
        <w:rPr>
          <w:rStyle w:val="11"/>
          <w:rFonts w:hint="default" w:ascii="仿宋" w:hAnsi="仿宋" w:eastAsia="仿宋"/>
          <w:sz w:val="32"/>
          <w:szCs w:val="32"/>
          <w:lang w:val="en-US" w:eastAsia="zh-CN"/>
        </w:rPr>
      </w:pPr>
      <w:r>
        <w:rPr>
          <w:rStyle w:val="11"/>
          <w:rFonts w:hint="eastAsia" w:ascii="仿宋" w:hAnsi="仿宋" w:eastAsia="仿宋"/>
          <w:sz w:val="32"/>
          <w:szCs w:val="32"/>
        </w:rPr>
        <w:t>按</w:t>
      </w:r>
      <w:r>
        <w:rPr>
          <w:rStyle w:val="11"/>
          <w:rFonts w:hint="eastAsia" w:ascii="仿宋" w:hAnsi="仿宋" w:eastAsia="仿宋"/>
          <w:color w:val="FF0000"/>
          <w:sz w:val="32"/>
          <w:szCs w:val="32"/>
        </w:rPr>
        <w:t>支出项目</w:t>
      </w:r>
      <w:r>
        <w:rPr>
          <w:rStyle w:val="11"/>
          <w:rFonts w:hint="eastAsia" w:ascii="仿宋" w:hAnsi="仿宋" w:eastAsia="仿宋"/>
          <w:sz w:val="32"/>
          <w:szCs w:val="32"/>
        </w:rPr>
        <w:t>类别划分：</w:t>
      </w:r>
      <w:r>
        <w:rPr>
          <w:rStyle w:val="11"/>
          <w:rFonts w:hint="eastAsia" w:ascii="仿宋" w:hAnsi="仿宋" w:eastAsia="仿宋"/>
          <w:sz w:val="32"/>
          <w:szCs w:val="32"/>
          <w:lang w:val="en-US" w:eastAsia="zh-CN"/>
        </w:rPr>
        <w:t>本单位没有使用国有资本经营预算拨款安排的支出</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870BCA7">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22.5</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4.5</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 xml:space="preserve">25 </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增长变化原因为2024年新进人员4人，退休1人，故按1.5万元/人/年计算增加4.5万元。</w:t>
      </w:r>
    </w:p>
    <w:p w14:paraId="2058FC9E">
      <w:pPr>
        <w:widowControl/>
        <w:spacing w:line="580" w:lineRule="exact"/>
        <w:ind w:firstLine="636"/>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4万元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 xml:space="preserve"> 0.19万元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 xml:space="preserve"> 2.5万元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 xml:space="preserve"> 0万元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 xml:space="preserve"> 8万元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 xml:space="preserve"> 0万元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 xml:space="preserve"> 0万元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 xml:space="preserve"> 0.31万元</w:t>
      </w:r>
      <w:r>
        <w:rPr>
          <w:rFonts w:hint="eastAsia" w:ascii="Adobe 仿宋 Std R" w:hAnsi="Adobe 仿宋 Std R" w:eastAsia="Adobe 仿宋 Std R"/>
          <w:color w:val="000000" w:themeColor="text1"/>
          <w:sz w:val="32"/>
          <w:szCs w:val="32"/>
        </w:rPr>
        <w:t>、办公用房取暖费</w:t>
      </w:r>
      <w:r>
        <w:rPr>
          <w:rFonts w:hint="eastAsia" w:ascii="Adobe 仿宋 Std R" w:hAnsi="Adobe 仿宋 Std R" w:eastAsia="Adobe 仿宋 Std R"/>
          <w:color w:val="000000" w:themeColor="text1"/>
          <w:sz w:val="32"/>
          <w:szCs w:val="32"/>
          <w:lang w:val="en-US" w:eastAsia="zh-CN"/>
        </w:rPr>
        <w:t>0 万元</w:t>
      </w:r>
      <w:r>
        <w:rPr>
          <w:rFonts w:hint="eastAsia" w:ascii="Adobe 仿宋 Std R" w:hAnsi="Adobe 仿宋 Std R" w:eastAsia="Adobe 仿宋 Std R"/>
          <w:color w:val="000000" w:themeColor="text1"/>
          <w:sz w:val="32"/>
          <w:szCs w:val="32"/>
        </w:rPr>
        <w:t>、办公用房物业管理费</w:t>
      </w:r>
      <w:r>
        <w:rPr>
          <w:rFonts w:hint="eastAsia" w:ascii="Adobe 仿宋 Std R" w:hAnsi="Adobe 仿宋 Std R" w:eastAsia="Adobe 仿宋 Std R"/>
          <w:color w:val="000000" w:themeColor="text1"/>
          <w:sz w:val="32"/>
          <w:szCs w:val="32"/>
          <w:lang w:val="en-US" w:eastAsia="zh-CN"/>
        </w:rPr>
        <w:t xml:space="preserve"> 0万元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1.2 万元、办公设备购置1.125万元、</w:t>
      </w:r>
      <w:r>
        <w:rPr>
          <w:rFonts w:hint="eastAsia" w:ascii="Adobe 仿宋 Std R" w:hAnsi="Adobe 仿宋 Std R" w:eastAsia="Adobe 仿宋 Std R"/>
          <w:color w:val="000000" w:themeColor="text1"/>
          <w:sz w:val="32"/>
          <w:szCs w:val="32"/>
        </w:rPr>
        <w:t>其他商品和服务支出</w:t>
      </w:r>
      <w:r>
        <w:rPr>
          <w:rFonts w:hint="eastAsia" w:ascii="Adobe 仿宋 Std R" w:hAnsi="Adobe 仿宋 Std R" w:eastAsia="Adobe 仿宋 Std R"/>
          <w:color w:val="000000" w:themeColor="text1"/>
          <w:sz w:val="32"/>
          <w:szCs w:val="32"/>
          <w:lang w:val="en-US" w:eastAsia="zh-CN"/>
        </w:rPr>
        <w:t>0.975</w:t>
      </w:r>
      <w:r>
        <w:rPr>
          <w:rFonts w:hint="eastAsia" w:ascii="Adobe 仿宋 Std R" w:hAnsi="Adobe 仿宋 Std R" w:eastAsia="Adobe 仿宋 Std R"/>
          <w:color w:val="000000" w:themeColor="text1"/>
          <w:sz w:val="32"/>
          <w:szCs w:val="32"/>
        </w:rPr>
        <w:t>万元以及工会经费</w:t>
      </w:r>
      <w:r>
        <w:rPr>
          <w:rFonts w:hint="eastAsia" w:ascii="Adobe 仿宋 Std R" w:hAnsi="Adobe 仿宋 Std R" w:eastAsia="Adobe 仿宋 Std R"/>
          <w:color w:val="000000" w:themeColor="text1"/>
          <w:sz w:val="32"/>
          <w:szCs w:val="32"/>
          <w:lang w:val="en-US" w:eastAsia="zh-CN"/>
        </w:rPr>
        <w:t>4.2</w:t>
      </w:r>
      <w:r>
        <w:rPr>
          <w:rFonts w:hint="eastAsia" w:ascii="Adobe 仿宋 Std R" w:hAnsi="Adobe 仿宋 Std R" w:eastAsia="Adobe 仿宋 Std R"/>
          <w:color w:val="000000" w:themeColor="text1"/>
          <w:sz w:val="32"/>
          <w:szCs w:val="32"/>
        </w:rPr>
        <w:t>万元</w:t>
      </w:r>
      <w:r>
        <w:rPr>
          <w:rFonts w:hint="eastAsia" w:ascii="Adobe 仿宋 Std R" w:hAnsi="Adobe 仿宋 Std R" w:eastAsia="Adobe 仿宋 Std R"/>
          <w:color w:val="000000" w:themeColor="text1"/>
          <w:sz w:val="32"/>
          <w:szCs w:val="32"/>
          <w:lang w:eastAsia="zh-CN"/>
        </w:rPr>
        <w:t>。</w:t>
      </w: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19</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w:t>
      </w:r>
      <w:r>
        <w:fldChar w:fldCharType="end"/>
      </w:r>
    </w:p>
    <w:p w14:paraId="4400133E">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w:t>
      </w:r>
      <w:r>
        <w:rPr>
          <w:rFonts w:hint="eastAsia" w:ascii="Adobe 仿宋 Std R" w:hAnsi="Adobe 仿宋 Std R" w:eastAsia="Adobe 仿宋 Std R"/>
          <w:sz w:val="32"/>
          <w:szCs w:val="32"/>
          <w:lang w:val="en-US" w:eastAsia="zh-CN"/>
        </w:rPr>
        <w:t>无</w:t>
      </w:r>
      <w:r>
        <w:rPr>
          <w:rFonts w:hint="eastAsia" w:ascii="Adobe 仿宋 Std R" w:hAnsi="Adobe 仿宋 Std R" w:eastAsia="Adobe 仿宋 Std R"/>
          <w:sz w:val="32"/>
          <w:szCs w:val="32"/>
        </w:rPr>
        <w:t>安排购置单位价值200万元以上大型设备</w:t>
      </w:r>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（九）项目情况说明</w:t>
      </w:r>
    </w:p>
    <w:p w14:paraId="3FC0200D">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1、一般非税收入安排的支出项目</w:t>
      </w:r>
    </w:p>
    <w:p w14:paraId="3ADF5418">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：非税收入用于日常经费支出，保障</w:t>
      </w:r>
      <w:r>
        <w:rPr>
          <w:rFonts w:hint="eastAsia" w:ascii="Adobe 仿宋 Std R" w:hAnsi="Adobe 仿宋 Std R" w:eastAsia="Adobe 仿宋 Std R"/>
          <w:sz w:val="32"/>
          <w:szCs w:val="32"/>
          <w:lang w:val="en-US" w:eastAsia="zh-CN"/>
        </w:rPr>
        <w:t>市政公用设施管护</w:t>
      </w:r>
      <w:r>
        <w:rPr>
          <w:rFonts w:hint="eastAsia" w:ascii="Adobe 仿宋 Std R" w:hAnsi="Adobe 仿宋 Std R" w:eastAsia="Adobe 仿宋 Std R"/>
          <w:sz w:val="32"/>
          <w:szCs w:val="32"/>
          <w:lang w:eastAsia="zh-CN"/>
        </w:rPr>
        <w:t>中心工作运转。</w:t>
      </w:r>
    </w:p>
    <w:p w14:paraId="492951DE">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：非税收入测算表</w:t>
      </w:r>
    </w:p>
    <w:p w14:paraId="15A94C67">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庐山市市政公用设施管护中心</w:t>
      </w:r>
    </w:p>
    <w:p w14:paraId="72D8FFC6">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：按日常支出编制预算，按政府经济分类支出。</w:t>
      </w:r>
    </w:p>
    <w:p w14:paraId="66DD6BCB">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一年</w:t>
      </w:r>
    </w:p>
    <w:p w14:paraId="3214BB6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98万元</w:t>
      </w:r>
    </w:p>
    <w:p w14:paraId="67B283D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2.城乡环卫一体化</w:t>
      </w:r>
    </w:p>
    <w:p w14:paraId="06F2CD03">
      <w:pPr>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：庐山市城乡环卫一体化项目全年服务费，保障</w:t>
      </w:r>
      <w:r>
        <w:rPr>
          <w:rFonts w:hint="eastAsia" w:ascii="Adobe 仿宋 Std R" w:hAnsi="Adobe 仿宋 Std R" w:eastAsia="Adobe 仿宋 Std R"/>
          <w:sz w:val="32"/>
          <w:szCs w:val="32"/>
          <w:lang w:val="en-US" w:eastAsia="zh-CN"/>
        </w:rPr>
        <w:t>城市环卫保洁</w:t>
      </w:r>
      <w:r>
        <w:rPr>
          <w:rFonts w:hint="eastAsia" w:ascii="Adobe 仿宋 Std R" w:hAnsi="Adobe 仿宋 Std R" w:eastAsia="Adobe 仿宋 Std R"/>
          <w:sz w:val="32"/>
          <w:szCs w:val="32"/>
          <w:lang w:eastAsia="zh-CN"/>
        </w:rPr>
        <w:t>工作</w:t>
      </w:r>
      <w:r>
        <w:rPr>
          <w:rFonts w:hint="eastAsia" w:ascii="Adobe 仿宋 Std R" w:hAnsi="Adobe 仿宋 Std R" w:eastAsia="Adobe 仿宋 Std R"/>
          <w:sz w:val="32"/>
          <w:szCs w:val="32"/>
          <w:lang w:val="en-US" w:eastAsia="zh-CN"/>
        </w:rPr>
        <w:t>正常开展</w:t>
      </w:r>
      <w:r>
        <w:rPr>
          <w:rFonts w:hint="eastAsia" w:ascii="Adobe 仿宋 Std R" w:hAnsi="Adobe 仿宋 Std R" w:eastAsia="Adobe 仿宋 Std R"/>
          <w:sz w:val="32"/>
          <w:szCs w:val="32"/>
          <w:lang w:eastAsia="zh-CN"/>
        </w:rPr>
        <w:t>。</w:t>
      </w:r>
    </w:p>
    <w:p w14:paraId="5D959C7A">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：庐山市城乡环卫一体化服务外包项目采购编号: JYZX2023-JJ-ZB009-2</w:t>
      </w:r>
    </w:p>
    <w:p w14:paraId="5066EAE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庐山市市政公用设施管护中心</w:t>
      </w:r>
    </w:p>
    <w:p w14:paraId="38A7F629">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：按</w:t>
      </w:r>
      <w:r>
        <w:rPr>
          <w:rFonts w:hint="eastAsia" w:ascii="Adobe 仿宋 Std R" w:hAnsi="Adobe 仿宋 Std R" w:eastAsia="Adobe 仿宋 Std R"/>
          <w:sz w:val="32"/>
          <w:szCs w:val="32"/>
          <w:lang w:val="en-US" w:eastAsia="zh-CN"/>
        </w:rPr>
        <w:t>年度合同金额</w:t>
      </w:r>
      <w:r>
        <w:rPr>
          <w:rFonts w:hint="eastAsia" w:ascii="Adobe 仿宋 Std R" w:hAnsi="Adobe 仿宋 Std R" w:eastAsia="Adobe 仿宋 Std R"/>
          <w:sz w:val="32"/>
          <w:szCs w:val="32"/>
          <w:lang w:eastAsia="zh-CN"/>
        </w:rPr>
        <w:t>编制预算，</w:t>
      </w:r>
      <w:r>
        <w:rPr>
          <w:rFonts w:hint="eastAsia" w:ascii="Adobe 仿宋 Std R" w:hAnsi="Adobe 仿宋 Std R" w:eastAsia="Adobe 仿宋 Std R"/>
          <w:sz w:val="32"/>
          <w:szCs w:val="32"/>
          <w:lang w:val="en-US" w:eastAsia="zh-CN"/>
        </w:rPr>
        <w:t>按季考核评分并扣除相关服务费，</w:t>
      </w:r>
      <w:r>
        <w:rPr>
          <w:rFonts w:hint="eastAsia" w:ascii="Adobe 仿宋 Std R" w:hAnsi="Adobe 仿宋 Std R" w:eastAsia="Adobe 仿宋 Std R"/>
          <w:sz w:val="32"/>
          <w:szCs w:val="32"/>
          <w:lang w:eastAsia="zh-CN"/>
        </w:rPr>
        <w:t>按政府经济分类支出。</w:t>
      </w:r>
    </w:p>
    <w:p w14:paraId="73D9EEC8">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一年</w:t>
      </w:r>
    </w:p>
    <w:p w14:paraId="139CBC4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4825万元</w:t>
      </w:r>
    </w:p>
    <w:p w14:paraId="6AB7EED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3.玉禾田城乡环卫非服务范围增项</w:t>
      </w:r>
    </w:p>
    <w:p w14:paraId="7600FE55">
      <w:pPr>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：城乡环卫一体化</w:t>
      </w:r>
      <w:r>
        <w:rPr>
          <w:rFonts w:hint="eastAsia" w:ascii="Adobe 仿宋 Std R" w:hAnsi="Adobe 仿宋 Std R" w:eastAsia="Adobe 仿宋 Std R"/>
          <w:sz w:val="32"/>
          <w:szCs w:val="32"/>
          <w:lang w:val="en-US" w:eastAsia="zh-CN"/>
        </w:rPr>
        <w:t>范围外</w:t>
      </w:r>
      <w:r>
        <w:rPr>
          <w:rFonts w:hint="eastAsia" w:ascii="Adobe 仿宋 Std R" w:hAnsi="Adobe 仿宋 Std R" w:eastAsia="Adobe 仿宋 Std R"/>
          <w:sz w:val="32"/>
          <w:szCs w:val="32"/>
          <w:lang w:eastAsia="zh-CN"/>
        </w:rPr>
        <w:t>增项</w:t>
      </w:r>
      <w:r>
        <w:rPr>
          <w:rFonts w:hint="eastAsia" w:ascii="Adobe 仿宋 Std R" w:hAnsi="Adobe 仿宋 Std R" w:eastAsia="Adobe 仿宋 Std R"/>
          <w:sz w:val="32"/>
          <w:szCs w:val="32"/>
          <w:lang w:val="en-US" w:eastAsia="zh-CN"/>
        </w:rPr>
        <w:t>全</w:t>
      </w:r>
      <w:r>
        <w:rPr>
          <w:rFonts w:hint="eastAsia" w:ascii="Adobe 仿宋 Std R" w:hAnsi="Adobe 仿宋 Std R" w:eastAsia="Adobe 仿宋 Std R"/>
          <w:sz w:val="32"/>
          <w:szCs w:val="32"/>
          <w:lang w:eastAsia="zh-CN"/>
        </w:rPr>
        <w:t>年服务费，保障</w:t>
      </w:r>
      <w:r>
        <w:rPr>
          <w:rFonts w:hint="eastAsia" w:ascii="Adobe 仿宋 Std R" w:hAnsi="Adobe 仿宋 Std R" w:eastAsia="Adobe 仿宋 Std R"/>
          <w:sz w:val="32"/>
          <w:szCs w:val="32"/>
          <w:lang w:val="en-US" w:eastAsia="zh-CN"/>
        </w:rPr>
        <w:t>新增保洁服务范围的环卫保洁</w:t>
      </w:r>
      <w:r>
        <w:rPr>
          <w:rFonts w:hint="eastAsia" w:ascii="Adobe 仿宋 Std R" w:hAnsi="Adobe 仿宋 Std R" w:eastAsia="Adobe 仿宋 Std R"/>
          <w:sz w:val="32"/>
          <w:szCs w:val="32"/>
          <w:lang w:eastAsia="zh-CN"/>
        </w:rPr>
        <w:t>工作</w:t>
      </w:r>
      <w:r>
        <w:rPr>
          <w:rFonts w:hint="eastAsia" w:ascii="Adobe 仿宋 Std R" w:hAnsi="Adobe 仿宋 Std R" w:eastAsia="Adobe 仿宋 Std R"/>
          <w:sz w:val="32"/>
          <w:szCs w:val="32"/>
          <w:lang w:val="en-US" w:eastAsia="zh-CN"/>
        </w:rPr>
        <w:t>正常开展</w:t>
      </w:r>
      <w:r>
        <w:rPr>
          <w:rFonts w:hint="eastAsia" w:ascii="Adobe 仿宋 Std R" w:hAnsi="Adobe 仿宋 Std R" w:eastAsia="Adobe 仿宋 Std R"/>
          <w:sz w:val="32"/>
          <w:szCs w:val="32"/>
          <w:lang w:eastAsia="zh-CN"/>
        </w:rPr>
        <w:t>。</w:t>
      </w:r>
    </w:p>
    <w:p w14:paraId="5F3B6C3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：庐山市城乡环卫一体化服务外包项目采购编号: JYZX2023-JJ-ZB009-2 、城乡环卫一体化补充合同</w:t>
      </w:r>
    </w:p>
    <w:p w14:paraId="3C97BC2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庐山市市政公用设施管护中心</w:t>
      </w:r>
    </w:p>
    <w:p w14:paraId="7626AD12">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：按</w:t>
      </w:r>
      <w:r>
        <w:rPr>
          <w:rFonts w:hint="eastAsia" w:ascii="Adobe 仿宋 Std R" w:hAnsi="Adobe 仿宋 Std R" w:eastAsia="Adobe 仿宋 Std R"/>
          <w:sz w:val="32"/>
          <w:szCs w:val="32"/>
          <w:lang w:val="en-US" w:eastAsia="zh-CN"/>
        </w:rPr>
        <w:t>年度合同金额</w:t>
      </w:r>
      <w:r>
        <w:rPr>
          <w:rFonts w:hint="eastAsia" w:ascii="Adobe 仿宋 Std R" w:hAnsi="Adobe 仿宋 Std R" w:eastAsia="Adobe 仿宋 Std R"/>
          <w:sz w:val="32"/>
          <w:szCs w:val="32"/>
          <w:lang w:eastAsia="zh-CN"/>
        </w:rPr>
        <w:t>编制预算，</w:t>
      </w:r>
      <w:r>
        <w:rPr>
          <w:rFonts w:hint="eastAsia" w:ascii="Adobe 仿宋 Std R" w:hAnsi="Adobe 仿宋 Std R" w:eastAsia="Adobe 仿宋 Std R"/>
          <w:sz w:val="32"/>
          <w:szCs w:val="32"/>
          <w:lang w:val="en-US" w:eastAsia="zh-CN"/>
        </w:rPr>
        <w:t>按季考核评分并扣除相关服务费，</w:t>
      </w:r>
      <w:r>
        <w:rPr>
          <w:rFonts w:hint="eastAsia" w:ascii="Adobe 仿宋 Std R" w:hAnsi="Adobe 仿宋 Std R" w:eastAsia="Adobe 仿宋 Std R"/>
          <w:sz w:val="32"/>
          <w:szCs w:val="32"/>
          <w:lang w:eastAsia="zh-CN"/>
        </w:rPr>
        <w:t>按政府经济分类支出。</w:t>
      </w:r>
    </w:p>
    <w:p w14:paraId="71C015EF">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一年</w:t>
      </w:r>
    </w:p>
    <w:p w14:paraId="0E3FB24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400万元</w:t>
      </w:r>
    </w:p>
    <w:p w14:paraId="7994243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4.港口街道保洁服务费用</w:t>
      </w:r>
    </w:p>
    <w:p w14:paraId="0853654E">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：港口街道保洁服务费用庐山市应分摊费用，保障</w:t>
      </w:r>
      <w:r>
        <w:rPr>
          <w:rFonts w:hint="eastAsia" w:ascii="Adobe 仿宋 Std R" w:hAnsi="Adobe 仿宋 Std R" w:eastAsia="Adobe 仿宋 Std R"/>
          <w:sz w:val="32"/>
          <w:szCs w:val="32"/>
          <w:lang w:val="en-US" w:eastAsia="zh-CN"/>
        </w:rPr>
        <w:t>港口街道环卫保洁</w:t>
      </w:r>
      <w:r>
        <w:rPr>
          <w:rFonts w:hint="eastAsia" w:ascii="Adobe 仿宋 Std R" w:hAnsi="Adobe 仿宋 Std R" w:eastAsia="Adobe 仿宋 Std R"/>
          <w:sz w:val="32"/>
          <w:szCs w:val="32"/>
          <w:lang w:eastAsia="zh-CN"/>
        </w:rPr>
        <w:t>工作</w:t>
      </w:r>
      <w:r>
        <w:rPr>
          <w:rFonts w:hint="eastAsia" w:ascii="Adobe 仿宋 Std R" w:hAnsi="Adobe 仿宋 Std R" w:eastAsia="Adobe 仿宋 Std R"/>
          <w:sz w:val="32"/>
          <w:szCs w:val="32"/>
          <w:lang w:val="en-US" w:eastAsia="zh-CN"/>
        </w:rPr>
        <w:t>正常开展</w:t>
      </w:r>
      <w:r>
        <w:rPr>
          <w:rFonts w:hint="eastAsia" w:ascii="Adobe 仿宋 Std R" w:hAnsi="Adobe 仿宋 Std R" w:eastAsia="Adobe 仿宋 Std R"/>
          <w:sz w:val="32"/>
          <w:szCs w:val="32"/>
          <w:lang w:eastAsia="zh-CN"/>
        </w:rPr>
        <w:t>。</w:t>
      </w:r>
    </w:p>
    <w:p w14:paraId="4F93F86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：九垃分字（2024）11号</w:t>
      </w:r>
    </w:p>
    <w:p w14:paraId="614E883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庐山市市政公用设施管护中心</w:t>
      </w:r>
    </w:p>
    <w:p w14:paraId="4ADF2DF9">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：按</w:t>
      </w:r>
      <w:r>
        <w:rPr>
          <w:rFonts w:hint="eastAsia" w:ascii="Adobe 仿宋 Std R" w:hAnsi="Adobe 仿宋 Std R" w:eastAsia="Adobe 仿宋 Std R"/>
          <w:sz w:val="32"/>
          <w:szCs w:val="32"/>
          <w:lang w:val="en-US" w:eastAsia="zh-CN"/>
        </w:rPr>
        <w:t>年度实际应分摊金额</w:t>
      </w:r>
      <w:r>
        <w:rPr>
          <w:rFonts w:hint="eastAsia" w:ascii="Adobe 仿宋 Std R" w:hAnsi="Adobe 仿宋 Std R" w:eastAsia="Adobe 仿宋 Std R"/>
          <w:sz w:val="32"/>
          <w:szCs w:val="32"/>
          <w:lang w:eastAsia="zh-CN"/>
        </w:rPr>
        <w:t>编制预算，按政府经济分类支出。</w:t>
      </w:r>
    </w:p>
    <w:p w14:paraId="0216684B">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一年</w:t>
      </w:r>
    </w:p>
    <w:p w14:paraId="46572607">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6万元</w:t>
      </w:r>
    </w:p>
    <w:p w14:paraId="550FCF4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5.飞灰处理费</w:t>
      </w:r>
    </w:p>
    <w:p w14:paraId="0AA039FB">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：根据庐山市运送至九江生活垃圾焚烧发电厂处理的生活垃圾数量，按比例支付相应的飞灰处理费用。</w:t>
      </w:r>
    </w:p>
    <w:p w14:paraId="4A2942BF">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：九江市飞灰处置服务项目，招标文件编号：JXCH2023-1001</w:t>
      </w:r>
    </w:p>
    <w:p w14:paraId="2396069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庐山市市政公用设施管护中心</w:t>
      </w:r>
    </w:p>
    <w:p w14:paraId="3670B1D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：按</w:t>
      </w:r>
      <w:r>
        <w:rPr>
          <w:rFonts w:hint="eastAsia" w:ascii="Adobe 仿宋 Std R" w:hAnsi="Adobe 仿宋 Std R" w:eastAsia="Adobe 仿宋 Std R"/>
          <w:sz w:val="32"/>
          <w:szCs w:val="32"/>
          <w:lang w:val="en-US" w:eastAsia="zh-CN"/>
        </w:rPr>
        <w:t>年度实际应分摊金额</w:t>
      </w:r>
      <w:r>
        <w:rPr>
          <w:rFonts w:hint="eastAsia" w:ascii="Adobe 仿宋 Std R" w:hAnsi="Adobe 仿宋 Std R" w:eastAsia="Adobe 仿宋 Std R"/>
          <w:sz w:val="32"/>
          <w:szCs w:val="32"/>
          <w:lang w:eastAsia="zh-CN"/>
        </w:rPr>
        <w:t>编制预算，按政府经济分类支出。</w:t>
      </w:r>
    </w:p>
    <w:p w14:paraId="53CCEA04">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一年</w:t>
      </w:r>
    </w:p>
    <w:p w14:paraId="15FB15B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293万元</w:t>
      </w:r>
    </w:p>
    <w:p w14:paraId="41130501">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6.垃圾分类工作相关费用</w:t>
      </w:r>
    </w:p>
    <w:p w14:paraId="66C1CA1F">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：垃圾分类宣传物料、增添垃圾分类基础设施及垃圾分类宣传培训费用。</w:t>
      </w:r>
    </w:p>
    <w:p w14:paraId="7E138D86">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2025年其他运转和特定项目汇总表</w:t>
      </w:r>
    </w:p>
    <w:p w14:paraId="214C456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庐山市市政公用设施管护中心</w:t>
      </w:r>
    </w:p>
    <w:p w14:paraId="32CAD83B">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：按</w:t>
      </w:r>
      <w:r>
        <w:rPr>
          <w:rFonts w:hint="eastAsia" w:ascii="Adobe 仿宋 Std R" w:hAnsi="Adobe 仿宋 Std R" w:eastAsia="Adobe 仿宋 Std R"/>
          <w:sz w:val="32"/>
          <w:szCs w:val="32"/>
          <w:lang w:val="en-US" w:eastAsia="zh-CN"/>
        </w:rPr>
        <w:t>年度实际发生费用金额</w:t>
      </w:r>
      <w:r>
        <w:rPr>
          <w:rFonts w:hint="eastAsia" w:ascii="Adobe 仿宋 Std R" w:hAnsi="Adobe 仿宋 Std R" w:eastAsia="Adobe 仿宋 Std R"/>
          <w:sz w:val="32"/>
          <w:szCs w:val="32"/>
          <w:lang w:eastAsia="zh-CN"/>
        </w:rPr>
        <w:t>编制预算，按政府经济分类支出。</w:t>
      </w:r>
    </w:p>
    <w:p w14:paraId="2142E45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一年</w:t>
      </w:r>
    </w:p>
    <w:p w14:paraId="12DBA844">
      <w:pPr>
        <w:ind w:firstLine="1280" w:firstLineChars="400"/>
        <w:rPr>
          <w:rFonts w:hint="eastAsia"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20万元</w:t>
      </w:r>
    </w:p>
    <w:p w14:paraId="26EB5E69">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7.路灯照明费</w:t>
      </w:r>
    </w:p>
    <w:p w14:paraId="7E298056">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：庐山市全年路灯照明及景观亮化电费，</w:t>
      </w:r>
      <w:r>
        <w:rPr>
          <w:rFonts w:hint="eastAsia" w:ascii="Adobe 仿宋 Std R" w:hAnsi="Adobe 仿宋 Std R" w:eastAsia="Adobe 仿宋 Std R"/>
          <w:sz w:val="32"/>
          <w:szCs w:val="32"/>
          <w:lang w:val="en-US" w:eastAsia="zh-CN"/>
        </w:rPr>
        <w:t>保障庐山市路灯照明设施正常运转</w:t>
      </w:r>
      <w:r>
        <w:rPr>
          <w:rFonts w:hint="eastAsia" w:ascii="Adobe 仿宋 Std R" w:hAnsi="Adobe 仿宋 Std R" w:eastAsia="Adobe 仿宋 Std R"/>
          <w:sz w:val="32"/>
          <w:szCs w:val="32"/>
          <w:lang w:eastAsia="zh-CN"/>
        </w:rPr>
        <w:t>。</w:t>
      </w:r>
    </w:p>
    <w:p w14:paraId="0A0B883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2025年其他运转和特定项目汇总表</w:t>
      </w:r>
    </w:p>
    <w:p w14:paraId="6C64299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庐山市市政公用设施管护中心</w:t>
      </w:r>
    </w:p>
    <w:p w14:paraId="09F69850">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：按</w:t>
      </w:r>
      <w:r>
        <w:rPr>
          <w:rFonts w:hint="eastAsia" w:ascii="Adobe 仿宋 Std R" w:hAnsi="Adobe 仿宋 Std R" w:eastAsia="Adobe 仿宋 Std R"/>
          <w:sz w:val="32"/>
          <w:szCs w:val="32"/>
          <w:lang w:val="en-US" w:eastAsia="zh-CN"/>
        </w:rPr>
        <w:t>年度实际发生电费金额</w:t>
      </w:r>
      <w:r>
        <w:rPr>
          <w:rFonts w:hint="eastAsia" w:ascii="Adobe 仿宋 Std R" w:hAnsi="Adobe 仿宋 Std R" w:eastAsia="Adobe 仿宋 Std R"/>
          <w:sz w:val="32"/>
          <w:szCs w:val="32"/>
          <w:lang w:eastAsia="zh-CN"/>
        </w:rPr>
        <w:t>编制预算，按政府经济分类支出。</w:t>
      </w:r>
    </w:p>
    <w:p w14:paraId="167BD2B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一年</w:t>
      </w:r>
    </w:p>
    <w:p w14:paraId="040CB4D5">
      <w:pPr>
        <w:ind w:firstLine="1280" w:firstLineChars="400"/>
        <w:rPr>
          <w:rFonts w:hint="eastAsia"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700万</w:t>
      </w:r>
    </w:p>
    <w:p w14:paraId="4CCB007B">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8.市政零星维修费用</w:t>
      </w:r>
    </w:p>
    <w:p w14:paraId="232997F9">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：庐山市全年市政基础设施零星维修及更换费用，保障</w:t>
      </w:r>
      <w:r>
        <w:rPr>
          <w:rFonts w:hint="eastAsia" w:ascii="Adobe 仿宋 Std R" w:hAnsi="Adobe 仿宋 Std R" w:eastAsia="Adobe 仿宋 Std R"/>
          <w:sz w:val="32"/>
          <w:szCs w:val="32"/>
          <w:lang w:val="en-US" w:eastAsia="zh-CN"/>
        </w:rPr>
        <w:t>庐山市市政公用设施正常</w:t>
      </w:r>
      <w:r>
        <w:rPr>
          <w:rFonts w:hint="eastAsia" w:ascii="Adobe 仿宋 Std R" w:hAnsi="Adobe 仿宋 Std R" w:eastAsia="Adobe 仿宋 Std R"/>
          <w:sz w:val="32"/>
          <w:szCs w:val="32"/>
          <w:lang w:eastAsia="zh-CN"/>
        </w:rPr>
        <w:t>运转。</w:t>
      </w:r>
    </w:p>
    <w:p w14:paraId="460EF51E">
      <w:pPr>
        <w:ind w:left="1587" w:leftChars="608" w:hanging="310" w:hangingChars="97"/>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2025年其他运转和特定项目汇总表</w:t>
      </w:r>
      <w:r>
        <w:rPr>
          <w:rFonts w:hint="eastAsia" w:ascii="Adobe 仿宋 Std R" w:hAnsi="Adobe 仿宋 Std R" w:eastAsia="Adobe 仿宋 Std R"/>
          <w:sz w:val="32"/>
          <w:szCs w:val="32"/>
        </w:rPr>
        <w:t xml:space="preserve">   </w:t>
      </w:r>
    </w:p>
    <w:p w14:paraId="5451BEA4">
      <w:pPr>
        <w:ind w:left="1587" w:leftChars="608" w:hanging="310" w:hangingChars="97"/>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庐山市市政公用设施管护中心</w:t>
      </w:r>
    </w:p>
    <w:p w14:paraId="48AD6D3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：按</w:t>
      </w:r>
      <w:r>
        <w:rPr>
          <w:rFonts w:hint="eastAsia" w:ascii="Adobe 仿宋 Std R" w:hAnsi="Adobe 仿宋 Std R" w:eastAsia="Adobe 仿宋 Std R"/>
          <w:sz w:val="32"/>
          <w:szCs w:val="32"/>
          <w:lang w:val="en-US" w:eastAsia="zh-CN"/>
        </w:rPr>
        <w:t>年度实际发生市政零星维修费用</w:t>
      </w:r>
      <w:r>
        <w:rPr>
          <w:rFonts w:hint="eastAsia" w:ascii="Adobe 仿宋 Std R" w:hAnsi="Adobe 仿宋 Std R" w:eastAsia="Adobe 仿宋 Std R"/>
          <w:sz w:val="32"/>
          <w:szCs w:val="32"/>
          <w:lang w:eastAsia="zh-CN"/>
        </w:rPr>
        <w:t>编制预算，按政府经济分类支出。</w:t>
      </w:r>
    </w:p>
    <w:p w14:paraId="41D3C2BD">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一年</w:t>
      </w:r>
    </w:p>
    <w:p w14:paraId="6BCFEC5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1000万元</w:t>
      </w:r>
    </w:p>
    <w:p w14:paraId="357354D0">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9.园林绿地管护市场化</w:t>
      </w:r>
    </w:p>
    <w:p w14:paraId="0EBFA09C">
      <w:pPr>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：庐山市园林绿地管护市场化项目全年服务费，保障</w:t>
      </w:r>
      <w:r>
        <w:rPr>
          <w:rFonts w:hint="eastAsia" w:ascii="Adobe 仿宋 Std R" w:hAnsi="Adobe 仿宋 Std R" w:eastAsia="Adobe 仿宋 Std R"/>
          <w:sz w:val="32"/>
          <w:szCs w:val="32"/>
          <w:lang w:val="en-US" w:eastAsia="zh-CN"/>
        </w:rPr>
        <w:t>城市园林绿地管护</w:t>
      </w:r>
      <w:r>
        <w:rPr>
          <w:rFonts w:hint="eastAsia" w:ascii="Adobe 仿宋 Std R" w:hAnsi="Adobe 仿宋 Std R" w:eastAsia="Adobe 仿宋 Std R"/>
          <w:sz w:val="32"/>
          <w:szCs w:val="32"/>
          <w:lang w:eastAsia="zh-CN"/>
        </w:rPr>
        <w:t>工作</w:t>
      </w:r>
      <w:r>
        <w:rPr>
          <w:rFonts w:hint="eastAsia" w:ascii="Adobe 仿宋 Std R" w:hAnsi="Adobe 仿宋 Std R" w:eastAsia="Adobe 仿宋 Std R"/>
          <w:sz w:val="32"/>
          <w:szCs w:val="32"/>
          <w:lang w:val="en-US" w:eastAsia="zh-CN"/>
        </w:rPr>
        <w:t>正常开展</w:t>
      </w:r>
      <w:r>
        <w:rPr>
          <w:rFonts w:hint="eastAsia" w:ascii="Adobe 仿宋 Std R" w:hAnsi="Adobe 仿宋 Std R" w:eastAsia="Adobe 仿宋 Std R"/>
          <w:sz w:val="32"/>
          <w:szCs w:val="32"/>
          <w:lang w:eastAsia="zh-CN"/>
        </w:rPr>
        <w:t>。</w:t>
      </w:r>
    </w:p>
    <w:p w14:paraId="1AB38BBB">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：庐山市园林绿化养护管理采购项目，采购编号: JXHZ2024-GK-0207</w:t>
      </w:r>
    </w:p>
    <w:p w14:paraId="12060FD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庐山市市政公用设施管护中心</w:t>
      </w:r>
    </w:p>
    <w:p w14:paraId="51DD6DAE">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：按</w:t>
      </w:r>
      <w:r>
        <w:rPr>
          <w:rFonts w:hint="eastAsia" w:ascii="Adobe 仿宋 Std R" w:hAnsi="Adobe 仿宋 Std R" w:eastAsia="Adobe 仿宋 Std R"/>
          <w:sz w:val="32"/>
          <w:szCs w:val="32"/>
          <w:lang w:val="en-US" w:eastAsia="zh-CN"/>
        </w:rPr>
        <w:t>年度合同金额</w:t>
      </w:r>
      <w:r>
        <w:rPr>
          <w:rFonts w:hint="eastAsia" w:ascii="Adobe 仿宋 Std R" w:hAnsi="Adobe 仿宋 Std R" w:eastAsia="Adobe 仿宋 Std R"/>
          <w:sz w:val="32"/>
          <w:szCs w:val="32"/>
          <w:lang w:eastAsia="zh-CN"/>
        </w:rPr>
        <w:t>编制预算，</w:t>
      </w:r>
      <w:r>
        <w:rPr>
          <w:rFonts w:hint="eastAsia" w:ascii="Adobe 仿宋 Std R" w:hAnsi="Adobe 仿宋 Std R" w:eastAsia="Adobe 仿宋 Std R"/>
          <w:sz w:val="32"/>
          <w:szCs w:val="32"/>
          <w:lang w:val="en-US" w:eastAsia="zh-CN"/>
        </w:rPr>
        <w:t>按季考核评分并扣除相关服务费，</w:t>
      </w:r>
      <w:r>
        <w:rPr>
          <w:rFonts w:hint="eastAsia" w:ascii="Adobe 仿宋 Std R" w:hAnsi="Adobe 仿宋 Std R" w:eastAsia="Adobe 仿宋 Std R"/>
          <w:sz w:val="32"/>
          <w:szCs w:val="32"/>
          <w:lang w:eastAsia="zh-CN"/>
        </w:rPr>
        <w:t>按政府经济分类支出。</w:t>
      </w:r>
    </w:p>
    <w:p w14:paraId="5FBFB826">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一年</w:t>
      </w:r>
    </w:p>
    <w:p w14:paraId="789A717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791.5万元</w:t>
      </w:r>
    </w:p>
    <w:p w14:paraId="2E100BA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10.公园和广场科教及健康宣传费用</w:t>
      </w:r>
    </w:p>
    <w:p w14:paraId="1E372145">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：公园和广场（约10个）科教及健康宣传2025年费用。</w:t>
      </w:r>
    </w:p>
    <w:p w14:paraId="77345810">
      <w:pPr>
        <w:ind w:left="1587" w:leftChars="608" w:hanging="310" w:hangingChars="97"/>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2025年其他运转和特定项目汇总表</w:t>
      </w:r>
      <w:r>
        <w:rPr>
          <w:rFonts w:hint="eastAsia" w:ascii="Adobe 仿宋 Std R" w:hAnsi="Adobe 仿宋 Std R" w:eastAsia="Adobe 仿宋 Std R"/>
          <w:sz w:val="32"/>
          <w:szCs w:val="32"/>
        </w:rPr>
        <w:t xml:space="preserve"> </w:t>
      </w:r>
    </w:p>
    <w:p w14:paraId="6BA1AA43">
      <w:pPr>
        <w:ind w:left="1587" w:leftChars="608" w:hanging="310" w:hangingChars="97"/>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庐山市市政公用设施管护中心</w:t>
      </w:r>
    </w:p>
    <w:p w14:paraId="6B43A01E">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：按</w:t>
      </w:r>
      <w:r>
        <w:rPr>
          <w:rFonts w:hint="eastAsia" w:ascii="Adobe 仿宋 Std R" w:hAnsi="Adobe 仿宋 Std R" w:eastAsia="Adobe 仿宋 Std R"/>
          <w:sz w:val="32"/>
          <w:szCs w:val="32"/>
          <w:lang w:val="en-US" w:eastAsia="zh-CN"/>
        </w:rPr>
        <w:t>年度实际发生费用金额</w:t>
      </w:r>
      <w:r>
        <w:rPr>
          <w:rFonts w:hint="eastAsia" w:ascii="Adobe 仿宋 Std R" w:hAnsi="Adobe 仿宋 Std R" w:eastAsia="Adobe 仿宋 Std R"/>
          <w:sz w:val="32"/>
          <w:szCs w:val="32"/>
          <w:lang w:eastAsia="zh-CN"/>
        </w:rPr>
        <w:t>编制预算，按政府经济分类支出。</w:t>
      </w:r>
    </w:p>
    <w:p w14:paraId="4E34AFC7">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一年</w:t>
      </w:r>
    </w:p>
    <w:p w14:paraId="0099023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5万元</w:t>
      </w:r>
    </w:p>
    <w:p w14:paraId="2DD877D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11.庐山市城区绿化补植提升项目</w:t>
      </w:r>
    </w:p>
    <w:p w14:paraId="4A5A14B8">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：城区绿化补植2025年费用。</w:t>
      </w:r>
    </w:p>
    <w:p w14:paraId="4196F17A">
      <w:pPr>
        <w:ind w:left="1587" w:leftChars="608" w:hanging="310" w:hangingChars="97"/>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2025年其他运转和特定项目汇总表</w:t>
      </w:r>
      <w:r>
        <w:rPr>
          <w:rFonts w:hint="eastAsia" w:ascii="Adobe 仿宋 Std R" w:hAnsi="Adobe 仿宋 Std R" w:eastAsia="Adobe 仿宋 Std R"/>
          <w:sz w:val="32"/>
          <w:szCs w:val="32"/>
        </w:rPr>
        <w:t xml:space="preserve"> </w:t>
      </w:r>
    </w:p>
    <w:p w14:paraId="78584AEC">
      <w:pPr>
        <w:ind w:left="1587" w:leftChars="608" w:hanging="310" w:hangingChars="97"/>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庐山市市政公用设施管护中心</w:t>
      </w:r>
    </w:p>
    <w:p w14:paraId="73593BB7">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：按</w:t>
      </w:r>
      <w:r>
        <w:rPr>
          <w:rFonts w:hint="eastAsia" w:ascii="Adobe 仿宋 Std R" w:hAnsi="Adobe 仿宋 Std R" w:eastAsia="Adobe 仿宋 Std R"/>
          <w:sz w:val="32"/>
          <w:szCs w:val="32"/>
          <w:lang w:val="en-US" w:eastAsia="zh-CN"/>
        </w:rPr>
        <w:t>年度实际发生费用金额</w:t>
      </w:r>
      <w:r>
        <w:rPr>
          <w:rFonts w:hint="eastAsia" w:ascii="Adobe 仿宋 Std R" w:hAnsi="Adobe 仿宋 Std R" w:eastAsia="Adobe 仿宋 Std R"/>
          <w:sz w:val="32"/>
          <w:szCs w:val="32"/>
          <w:lang w:eastAsia="zh-CN"/>
        </w:rPr>
        <w:t>编制预算，按政府经济分类支出。</w:t>
      </w:r>
    </w:p>
    <w:p w14:paraId="63BDA04F">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一年</w:t>
      </w:r>
    </w:p>
    <w:p w14:paraId="1CB149A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60万元</w:t>
      </w:r>
    </w:p>
    <w:p w14:paraId="6D4BB4C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12.移动公厕采购及安装项目</w:t>
      </w:r>
    </w:p>
    <w:p w14:paraId="48EA1461">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：采购及安装约4个移动公厕费用。</w:t>
      </w:r>
    </w:p>
    <w:p w14:paraId="0A9B2214">
      <w:pPr>
        <w:ind w:left="1587" w:leftChars="608" w:hanging="310" w:hangingChars="97"/>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2025年其他运转和特定项目汇总表</w:t>
      </w:r>
      <w:r>
        <w:rPr>
          <w:rFonts w:hint="eastAsia" w:ascii="Adobe 仿宋 Std R" w:hAnsi="Adobe 仿宋 Std R" w:eastAsia="Adobe 仿宋 Std R"/>
          <w:sz w:val="32"/>
          <w:szCs w:val="32"/>
        </w:rPr>
        <w:t xml:space="preserve"> </w:t>
      </w:r>
    </w:p>
    <w:p w14:paraId="3927FFBC">
      <w:pPr>
        <w:ind w:left="1587" w:leftChars="608" w:hanging="310" w:hangingChars="97"/>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庐山市市政公用设施管护中心</w:t>
      </w:r>
    </w:p>
    <w:p w14:paraId="78BE8115">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：按</w:t>
      </w:r>
      <w:r>
        <w:rPr>
          <w:rFonts w:hint="eastAsia" w:ascii="Adobe 仿宋 Std R" w:hAnsi="Adobe 仿宋 Std R" w:eastAsia="Adobe 仿宋 Std R"/>
          <w:sz w:val="32"/>
          <w:szCs w:val="32"/>
          <w:lang w:val="en-US" w:eastAsia="zh-CN"/>
        </w:rPr>
        <w:t>采购及安装实际发生费用金额</w:t>
      </w:r>
      <w:r>
        <w:rPr>
          <w:rFonts w:hint="eastAsia" w:ascii="Adobe 仿宋 Std R" w:hAnsi="Adobe 仿宋 Std R" w:eastAsia="Adobe 仿宋 Std R"/>
          <w:sz w:val="32"/>
          <w:szCs w:val="32"/>
          <w:lang w:eastAsia="zh-CN"/>
        </w:rPr>
        <w:t>编制预算，按政府经济分类支出。</w:t>
      </w:r>
    </w:p>
    <w:p w14:paraId="2B14AAF9">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一年</w:t>
      </w:r>
    </w:p>
    <w:p w14:paraId="2BAC5E6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36万元</w:t>
      </w:r>
    </w:p>
    <w:p w14:paraId="3A63D5AC">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13.路灯管护劳务费</w:t>
      </w:r>
    </w:p>
    <w:p w14:paraId="2D845610">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：路灯管护及维修劳务外包全年费用，</w:t>
      </w:r>
      <w:r>
        <w:rPr>
          <w:rFonts w:hint="eastAsia" w:ascii="Adobe 仿宋 Std R" w:hAnsi="Adobe 仿宋 Std R" w:eastAsia="Adobe 仿宋 Std R"/>
          <w:sz w:val="32"/>
          <w:szCs w:val="32"/>
          <w:lang w:val="en-US" w:eastAsia="zh-CN"/>
        </w:rPr>
        <w:t>保障庐山市路灯照明设施正常运转</w:t>
      </w:r>
      <w:r>
        <w:rPr>
          <w:rFonts w:hint="eastAsia" w:ascii="Adobe 仿宋 Std R" w:hAnsi="Adobe 仿宋 Std R" w:eastAsia="Adobe 仿宋 Std R"/>
          <w:sz w:val="32"/>
          <w:szCs w:val="32"/>
          <w:lang w:eastAsia="zh-CN"/>
        </w:rPr>
        <w:t>。</w:t>
      </w:r>
    </w:p>
    <w:p w14:paraId="314E1F0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2025年其他运转和特定项目汇总表</w:t>
      </w:r>
    </w:p>
    <w:p w14:paraId="4EC7521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庐山市市政公用设施管护中心</w:t>
      </w:r>
    </w:p>
    <w:p w14:paraId="23A7D034">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：按</w:t>
      </w:r>
      <w:r>
        <w:rPr>
          <w:rFonts w:hint="eastAsia" w:ascii="Adobe 仿宋 Std R" w:hAnsi="Adobe 仿宋 Std R" w:eastAsia="Adobe 仿宋 Std R"/>
          <w:sz w:val="32"/>
          <w:szCs w:val="32"/>
          <w:lang w:val="en-US" w:eastAsia="zh-CN"/>
        </w:rPr>
        <w:t>年度实际发生劳务外包服务费金额</w:t>
      </w:r>
      <w:r>
        <w:rPr>
          <w:rFonts w:hint="eastAsia" w:ascii="Adobe 仿宋 Std R" w:hAnsi="Adobe 仿宋 Std R" w:eastAsia="Adobe 仿宋 Std R"/>
          <w:sz w:val="32"/>
          <w:szCs w:val="32"/>
          <w:lang w:eastAsia="zh-CN"/>
        </w:rPr>
        <w:t>编制预算，按政府经济分类支出。</w:t>
      </w:r>
    </w:p>
    <w:p w14:paraId="4BB4765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一年</w:t>
      </w:r>
    </w:p>
    <w:p w14:paraId="2622207B">
      <w:pPr>
        <w:ind w:firstLine="1280" w:firstLineChars="400"/>
        <w:rPr>
          <w:rFonts w:hint="eastAsia"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45万</w:t>
      </w:r>
    </w:p>
    <w:p w14:paraId="52C80ABC">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14.路灯材料采购</w:t>
      </w:r>
    </w:p>
    <w:p w14:paraId="33859A65">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：路灯管护及维修材料采购全年预计费用，</w:t>
      </w:r>
      <w:r>
        <w:rPr>
          <w:rFonts w:hint="eastAsia" w:ascii="Adobe 仿宋 Std R" w:hAnsi="Adobe 仿宋 Std R" w:eastAsia="Adobe 仿宋 Std R"/>
          <w:sz w:val="32"/>
          <w:szCs w:val="32"/>
          <w:lang w:val="en-US" w:eastAsia="zh-CN"/>
        </w:rPr>
        <w:t>保障庐山市路灯照明设施正常运转</w:t>
      </w:r>
      <w:r>
        <w:rPr>
          <w:rFonts w:hint="eastAsia" w:ascii="Adobe 仿宋 Std R" w:hAnsi="Adobe 仿宋 Std R" w:eastAsia="Adobe 仿宋 Std R"/>
          <w:sz w:val="32"/>
          <w:szCs w:val="32"/>
          <w:lang w:eastAsia="zh-CN"/>
        </w:rPr>
        <w:t>。</w:t>
      </w:r>
    </w:p>
    <w:p w14:paraId="5ED5FF5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2025年其他运转和特定项目汇总表</w:t>
      </w:r>
    </w:p>
    <w:p w14:paraId="0DC781B7">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庐山市市政公用设施管护中心</w:t>
      </w:r>
    </w:p>
    <w:p w14:paraId="697E160B">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：按</w:t>
      </w:r>
      <w:r>
        <w:rPr>
          <w:rFonts w:hint="eastAsia" w:ascii="Adobe 仿宋 Std R" w:hAnsi="Adobe 仿宋 Std R" w:eastAsia="Adobe 仿宋 Std R"/>
          <w:sz w:val="32"/>
          <w:szCs w:val="32"/>
          <w:lang w:val="en-US" w:eastAsia="zh-CN"/>
        </w:rPr>
        <w:t>年度实际发生材料采购金额</w:t>
      </w:r>
      <w:r>
        <w:rPr>
          <w:rFonts w:hint="eastAsia" w:ascii="Adobe 仿宋 Std R" w:hAnsi="Adobe 仿宋 Std R" w:eastAsia="Adobe 仿宋 Std R"/>
          <w:sz w:val="32"/>
          <w:szCs w:val="32"/>
          <w:lang w:eastAsia="zh-CN"/>
        </w:rPr>
        <w:t>编制预算，按政府经济分类支出。</w:t>
      </w:r>
    </w:p>
    <w:p w14:paraId="33313480">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一年</w:t>
      </w:r>
    </w:p>
    <w:p w14:paraId="318499E2">
      <w:pPr>
        <w:ind w:firstLine="1280" w:firstLineChars="400"/>
        <w:rPr>
          <w:rFonts w:hint="eastAsia"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80万</w:t>
      </w:r>
    </w:p>
    <w:p w14:paraId="2E846DF0">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15.城市外围主干道路灯设施故障线路统一修复费用</w:t>
      </w:r>
    </w:p>
    <w:p w14:paraId="795FE012">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：城市外围主干道路灯设施故障线路统一修复跟换电缆1790米费用，</w:t>
      </w:r>
      <w:r>
        <w:rPr>
          <w:rFonts w:hint="eastAsia" w:ascii="Adobe 仿宋 Std R" w:hAnsi="Adobe 仿宋 Std R" w:eastAsia="Adobe 仿宋 Std R"/>
          <w:sz w:val="32"/>
          <w:szCs w:val="32"/>
          <w:lang w:val="en-US" w:eastAsia="zh-CN"/>
        </w:rPr>
        <w:t>保障庐山市路灯照明设施正常运转</w:t>
      </w:r>
      <w:r>
        <w:rPr>
          <w:rFonts w:hint="eastAsia" w:ascii="Adobe 仿宋 Std R" w:hAnsi="Adobe 仿宋 Std R" w:eastAsia="Adobe 仿宋 Std R"/>
          <w:sz w:val="32"/>
          <w:szCs w:val="32"/>
          <w:lang w:eastAsia="zh-CN"/>
        </w:rPr>
        <w:t>。</w:t>
      </w:r>
    </w:p>
    <w:p w14:paraId="65063B2E">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2025年其他运转和特定项目汇总表</w:t>
      </w:r>
    </w:p>
    <w:p w14:paraId="31AE2C2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庐山市市政公用设施管护中心</w:t>
      </w:r>
    </w:p>
    <w:p w14:paraId="4013EF06">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：按</w:t>
      </w:r>
      <w:r>
        <w:rPr>
          <w:rFonts w:hint="eastAsia" w:ascii="Adobe 仿宋 Std R" w:hAnsi="Adobe 仿宋 Std R" w:eastAsia="Adobe 仿宋 Std R"/>
          <w:sz w:val="32"/>
          <w:szCs w:val="32"/>
          <w:lang w:val="en-US" w:eastAsia="zh-CN"/>
        </w:rPr>
        <w:t>年度实际发生金额</w:t>
      </w:r>
      <w:r>
        <w:rPr>
          <w:rFonts w:hint="eastAsia" w:ascii="Adobe 仿宋 Std R" w:hAnsi="Adobe 仿宋 Std R" w:eastAsia="Adobe 仿宋 Std R"/>
          <w:sz w:val="32"/>
          <w:szCs w:val="32"/>
          <w:lang w:eastAsia="zh-CN"/>
        </w:rPr>
        <w:t>编制预算，按政府经济分类支出。</w:t>
      </w:r>
    </w:p>
    <w:p w14:paraId="14C32027">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一年</w:t>
      </w:r>
    </w:p>
    <w:p w14:paraId="105B043A">
      <w:pPr>
        <w:ind w:firstLine="1280" w:firstLineChars="400"/>
        <w:rPr>
          <w:rFonts w:hint="eastAsia"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35万</w:t>
      </w:r>
    </w:p>
    <w:p w14:paraId="2AECE223">
      <w:pPr>
        <w:ind w:firstLine="640" w:firstLineChars="200"/>
        <w:rPr>
          <w:rFonts w:hint="default" w:ascii="Adobe 仿宋 Std R" w:hAnsi="Adobe 仿宋 Std R" w:eastAsia="Adobe 仿宋 Std R"/>
          <w:sz w:val="32"/>
          <w:szCs w:val="32"/>
          <w:lang w:val="en-US" w:eastAsia="zh-CN"/>
        </w:rPr>
      </w:pPr>
    </w:p>
    <w:p w14:paraId="3F149A3D">
      <w:pPr>
        <w:rPr>
          <w:rFonts w:hint="default" w:ascii="Adobe 仿宋 Std R" w:hAnsi="Adobe 仿宋 Std R" w:eastAsia="Adobe 仿宋 Std R"/>
          <w:sz w:val="32"/>
          <w:szCs w:val="32"/>
          <w:lang w:val="en-US" w:eastAsia="zh-CN"/>
        </w:rPr>
      </w:pPr>
    </w:p>
    <w:p w14:paraId="6CCD1C50">
      <w:pPr>
        <w:ind w:firstLine="640" w:firstLineChars="200"/>
        <w:rPr>
          <w:rFonts w:hint="default" w:ascii="Adobe 仿宋 Std R" w:hAnsi="Adobe 仿宋 Std R" w:eastAsia="Adobe 仿宋 Std R"/>
          <w:sz w:val="32"/>
          <w:szCs w:val="32"/>
          <w:lang w:val="en-US" w:eastAsia="zh-CN"/>
        </w:rPr>
      </w:pPr>
    </w:p>
    <w:p w14:paraId="07635576">
      <w:pPr>
        <w:ind w:firstLine="642"/>
        <w:rPr>
          <w:rFonts w:hint="eastAsia" w:ascii="Adobe 仿宋 Std R" w:hAnsi="Adobe 仿宋 Std R" w:eastAsia="Adobe 仿宋 Std R"/>
          <w:sz w:val="32"/>
          <w:szCs w:val="32"/>
          <w:lang w:val="en-US" w:eastAsia="zh-CN"/>
        </w:rPr>
      </w:pPr>
    </w:p>
    <w:p w14:paraId="0CD67A29">
      <w:pPr>
        <w:ind w:firstLine="642"/>
        <w:rPr>
          <w:rFonts w:hint="eastAsia" w:ascii="Adobe 仿宋 Std R" w:hAnsi="Adobe 仿宋 Std R" w:eastAsia="Adobe 仿宋 Std R"/>
          <w:sz w:val="32"/>
          <w:szCs w:val="32"/>
          <w:lang w:val="en-US" w:eastAsia="zh-CN"/>
        </w:rPr>
      </w:pPr>
    </w:p>
    <w:p w14:paraId="6920B6B8">
      <w:pPr>
        <w:ind w:firstLine="642"/>
        <w:rPr>
          <w:rFonts w:hint="default" w:ascii="Adobe 仿宋 Std R" w:hAnsi="Adobe 仿宋 Std R" w:eastAsia="Adobe 仿宋 Std R"/>
          <w:sz w:val="32"/>
          <w:szCs w:val="32"/>
          <w:lang w:val="en-US" w:eastAsia="zh-CN"/>
        </w:rPr>
      </w:pPr>
    </w:p>
    <w:p w14:paraId="31FCD841">
      <w:pPr>
        <w:ind w:firstLine="642"/>
        <w:rPr>
          <w:rFonts w:hint="default" w:ascii="Adobe 仿宋 Std R" w:hAnsi="Adobe 仿宋 Std R" w:eastAsia="Adobe 仿宋 Std R"/>
          <w:sz w:val="32"/>
          <w:szCs w:val="32"/>
          <w:lang w:val="en-US" w:eastAsia="zh-CN"/>
        </w:rPr>
      </w:pPr>
    </w:p>
    <w:p w14:paraId="64851668">
      <w:pPr>
        <w:widowControl/>
        <w:spacing w:line="580" w:lineRule="exact"/>
        <w:ind w:firstLine="636"/>
        <w:jc w:val="left"/>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cs="Times New Roman"/>
          <w:kern w:val="0"/>
          <w:sz w:val="32"/>
          <w:szCs w:val="32"/>
          <w:lang w:val="en-US" w:eastAsia="zh-CN"/>
        </w:rPr>
        <w:t>庐山市市政公用设施管护中心</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1.2</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_GB2312" w:hAnsi="仿宋_GB2312" w:eastAsia="仿宋_GB2312" w:cs="仿宋_GB2312"/>
          <w:sz w:val="32"/>
          <w:szCs w:val="32"/>
          <w:lang w:val="en-US" w:eastAsia="zh-CN"/>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_GB2312" w:hAnsi="仿宋_GB2312" w:eastAsia="仿宋_GB2312" w:cs="仿宋_GB2312"/>
          <w:sz w:val="32"/>
          <w:szCs w:val="32"/>
          <w:lang w:val="en-US" w:eastAsia="zh-CN"/>
        </w:rPr>
        <w:t>与上年安排保持一致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1.2</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本年实际在用公车数量未有变动</w:t>
      </w:r>
      <w:r>
        <w:rPr>
          <w:rFonts w:hint="eastAsia" w:ascii="仿宋_GB2312" w:hAnsi="仿宋_GB2312" w:eastAsia="仿宋_GB2312" w:cs="仿宋_GB2312"/>
          <w:sz w:val="32"/>
          <w:szCs w:val="32"/>
        </w:rPr>
        <w:t>，故较上年预算安排无增减</w:t>
      </w:r>
      <w:r>
        <w:rPr>
          <w:rFonts w:ascii="仿宋" w:hAnsi="仿宋" w:eastAsia="仿宋"/>
          <w:bCs/>
          <w:sz w:val="32"/>
          <w:szCs w:val="32"/>
        </w:rPr>
        <w:t>。</w:t>
      </w:r>
    </w:p>
    <w:p w14:paraId="4ABACB0E">
      <w:pPr>
        <w:ind w:firstLine="640" w:firstLineChars="200"/>
        <w:jc w:val="left"/>
        <w:rPr>
          <w:rStyle w:val="11"/>
          <w:rFonts w:hint="eastAsia" w:ascii="仿宋" w:hAnsi="仿宋" w:eastAsia="仿宋"/>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_GB2312" w:hAnsi="仿宋_GB2312" w:eastAsia="仿宋_GB2312" w:cs="仿宋_GB2312"/>
          <w:sz w:val="32"/>
          <w:szCs w:val="32"/>
          <w:lang w:val="en-US" w:eastAsia="zh-CN"/>
        </w:rPr>
        <w:t>与上年安排保持一致。</w:t>
      </w:r>
    </w:p>
    <w:p w14:paraId="490A3954">
      <w:pPr>
        <w:widowControl/>
        <w:spacing w:line="580" w:lineRule="exact"/>
        <w:ind w:firstLine="636"/>
        <w:jc w:val="left"/>
        <w:rPr>
          <w:rStyle w:val="11"/>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92E3025"/>
    <w:rsid w:val="0A0925FF"/>
    <w:rsid w:val="0C97247A"/>
    <w:rsid w:val="0D1A7920"/>
    <w:rsid w:val="0D2269B3"/>
    <w:rsid w:val="0DB3098E"/>
    <w:rsid w:val="12220323"/>
    <w:rsid w:val="13FB007C"/>
    <w:rsid w:val="16B036C0"/>
    <w:rsid w:val="1A705E7F"/>
    <w:rsid w:val="1ABF2D84"/>
    <w:rsid w:val="1E172FD7"/>
    <w:rsid w:val="1E491A3B"/>
    <w:rsid w:val="1F1F7406"/>
    <w:rsid w:val="206D0602"/>
    <w:rsid w:val="220B6C85"/>
    <w:rsid w:val="221707C2"/>
    <w:rsid w:val="22430342"/>
    <w:rsid w:val="22D66EA9"/>
    <w:rsid w:val="2359069F"/>
    <w:rsid w:val="23977FB1"/>
    <w:rsid w:val="245C3447"/>
    <w:rsid w:val="25B931E9"/>
    <w:rsid w:val="28263441"/>
    <w:rsid w:val="2828673B"/>
    <w:rsid w:val="290B705B"/>
    <w:rsid w:val="29981D60"/>
    <w:rsid w:val="2B2339AC"/>
    <w:rsid w:val="2C57797E"/>
    <w:rsid w:val="304075B1"/>
    <w:rsid w:val="310059F7"/>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C323617"/>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3702</Words>
  <Characters>4065</Characters>
  <Lines>53</Lines>
  <Paragraphs>15</Paragraphs>
  <TotalTime>60</TotalTime>
  <ScaleCrop>false</ScaleCrop>
  <LinksUpToDate>false</LinksUpToDate>
  <CharactersWithSpaces>4139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2025-01-08T02:51:53Z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eyJoZGlkIjoiODExMDUzZGZlOWM5Yzg3YmExOGYzZjhkMzJjYTNiZTQifQ==</vt:lpwstr>
  </property>
</Properties>
</file>