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庐山市发展和改革委员会</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3"/>
        <w:spacing w:line="600" w:lineRule="atLeast"/>
        <w:jc w:val="center"/>
        <w:rPr>
          <w:rFonts w:ascii="黑体" w:hAnsi="黑体" w:eastAsia="黑体"/>
          <w:color w:val="auto"/>
          <w:sz w:val="32"/>
          <w:szCs w:val="32"/>
        </w:rPr>
      </w:pPr>
    </w:p>
    <w:p w14:paraId="69E2A7D1">
      <w:pPr>
        <w:pStyle w:val="13"/>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3"/>
        <w:rPr>
          <w:rFonts w:ascii="宋体" w:hAnsi="宋体"/>
          <w:color w:val="auto"/>
        </w:rPr>
      </w:pPr>
    </w:p>
    <w:p w14:paraId="76C06260">
      <w:pPr>
        <w:pStyle w:val="13"/>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庐山市发展和改革委员会</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庐山市发展和改革委员会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庐山市发展和改革委员会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庐山市发展和改革委员会</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ind w:firstLine="643" w:firstLineChars="200"/>
        <w:jc w:val="left"/>
        <w:rPr>
          <w:rFonts w:asciiTheme="minorEastAsia" w:hAnsiTheme="minorEastAsia"/>
          <w:b/>
          <w:color w:val="auto"/>
          <w:sz w:val="32"/>
          <w:szCs w:val="32"/>
        </w:rPr>
      </w:pPr>
      <w:r>
        <w:rPr>
          <w:rFonts w:hint="eastAsia" w:asciiTheme="minorEastAsia" w:hAnsiTheme="minorEastAsia"/>
          <w:b/>
          <w:color w:val="auto"/>
          <w:sz w:val="32"/>
          <w:szCs w:val="32"/>
        </w:rPr>
        <w:t>一、单位主要职责</w:t>
      </w:r>
    </w:p>
    <w:p w14:paraId="718C8503">
      <w:pPr>
        <w:spacing w:line="560" w:lineRule="exact"/>
        <w:ind w:firstLine="480"/>
        <w:rPr>
          <w:rFonts w:ascii="仿宋" w:hAnsi="仿宋" w:eastAsia="仿宋" w:cs="仿宋_GB2312"/>
          <w:sz w:val="32"/>
          <w:szCs w:val="32"/>
        </w:rPr>
      </w:pPr>
      <w:r>
        <w:rPr>
          <w:rFonts w:hint="eastAsia" w:ascii="仿宋" w:hAnsi="仿宋" w:eastAsia="仿宋" w:cs="仿宋_GB2312"/>
          <w:sz w:val="32"/>
          <w:szCs w:val="32"/>
        </w:rPr>
        <w:t>庐山市发改委主要职责：（一）拟订并组织实施全市国民经济和社会发展战略、中长期规划和年度计划，统筹协调经济社会发展，研究分析国内外经济形势，提出全市国民经济发展、价格总水平调控和优化重大经济结构的目标、政策，提出综合运用各种经济手段和政策的建议，受市政府委托向市人大提交全市国民经济和社会发展计划报告。</w:t>
      </w:r>
    </w:p>
    <w:p w14:paraId="519E2528">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（二）负责监测全市宏观经济和社会发展态势，研究全市宏观经济运行、总量平衡、经济安全和总体产业安全等重要问题并提出宏观调控政策建议，负责协调解决经济运行中的重大问题，调节经济运行。</w:t>
      </w:r>
    </w:p>
    <w:p w14:paraId="5BCA029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承担指导推进和综合协调经济体制改革的有关工作，研究全市经济体制改革和对外开放的重大问题，组织拟订综合性经济体制改革方案，协调有关专项经济体制改革方案，会同有关部门搞好重要专项经济体制改革之间的衔接，指导经济体制改革试点和改革试验区工作。</w:t>
      </w:r>
    </w:p>
    <w:p w14:paraId="18D2695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四）承担规划全市重大建设项目和生产力布局的有关工作，拟订全社会固定资产投资总规模和投资结构的调控目标、政策及措施，衔接平衡需要安排中央、省、九江市和庐山市级财政性投资和涉及重大建设项目的专项规划。审查政府投资建设项目初步设计，核定工程概算，控制投资规模。按管理权限开展固定资产投资项目节能评估和审查工作。会同有关部门做好全市全口径外债的总量控制、结构优化和监测工作，指导和监督全市国外贷款建设资金的使用，引导民间投资的方向，会同有关部门研究提出全市利用外资和境外投资的战略、规划、总量平衡和结构优化的目标和政策。指导全市工程咨询业发展。</w:t>
      </w:r>
    </w:p>
    <w:p w14:paraId="3212B8B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五）推进经济结构战略性调整。组织拟订全市综合性产业政策，协调第一、二、三产业发展的重大问题并衔接平衡相关发展规划和重大政策，做好与全市国民经济和社会发展规划、计划的衔接平衡；配合有关部门协调全市农业和农村经济社会发展的重大问题，衔接农业、林业、水利、气象等专项规划和政策；会同有关部门拟定全市服务业发展战略和重大政策，会同有关部门组织拟订高技术产业发展、产业技术进步的战略、规划和重大政策，协调解决重大技术装备推广应用等方面的重大问题。</w:t>
      </w:r>
    </w:p>
    <w:p w14:paraId="1788128C">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六）组织拟订全市区域协调发展的战略、规划和重大政策研究提出全市城镇化发展战略和重大政策。安排以工代赈资金、组织实施以工代赈项目。负责全市地区经济协作的统筹协调。承担全市军民融合相关工作。</w:t>
      </w:r>
    </w:p>
    <w:p w14:paraId="56DB544D">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七）承担全市重要商品总量平衡和宏观调控的有关工作，会同有关部门编制外贸进出口发展规划和年度计划以及全市重要农产品、工业品和原材料进出口总量计划并监督执行，根据经济运行情况对进出口总量计划进行调整。</w:t>
      </w:r>
    </w:p>
    <w:p w14:paraId="3DCCE968">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八）负责全市社会发展与国民经济发展的政策衔接，组织拟订全市社会发展战略、总体规划和年度计划，参与拟订人口、科学技术、教育、文化、卫生、民政等发展政策，推进社会事业建设，研究提出促进就业、调整收入分配、完善社会保障与经济协调发展的政策建议，协调社会事业发展和改革中的重大问题及政策。</w:t>
      </w:r>
    </w:p>
    <w:p w14:paraId="079D8FD6">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九）推进全市可持续发展战略，组织拟订发展循环经济、全社会能源资源节约和综合利用规划及政策措施并协调实施。研究提出全市能源消费总量控制目标的建议，牵头制订能源消费总量控制工作方案并组织实施。参与编制生态建设、环境保护规划，协调生态文明试验区建设、能源资源节约和综合利用的重大问题，协调推进节能环保产业有关工作。承担能效标识管理职能。</w:t>
      </w:r>
    </w:p>
    <w:p w14:paraId="141D928B">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（十）起草全市国民经济和社会发展、经济体制改革和对外开放有关规范性文件。指导和协调全市招标投标工作。</w:t>
      </w:r>
    </w:p>
    <w:p w14:paraId="623E43BE">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一）组织编制全市国民经济动员规划、计划，研究国民经济动员与国民经济、国防建设的关系，协调相关重大问题，组织实施国民经济动员有关工作。研究拟订推进全市经济建设与国防建设协调发展的战略和规划，协调有关重大问题。</w:t>
      </w:r>
    </w:p>
    <w:p w14:paraId="277E9EC0">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二）研究全市交通运输发展状况，统筹交通运输发展规划与国民经济和社会发展规划、计划的衔接平衡，安排交通建设年度计划和重大交通投资项目，参与交通运输综合协调工作。负责全市铁路建设发展中长期规划和年度计划，负责铁路建设项目的规划研究、立项、可行性研究、初步设计等前期工作。</w:t>
      </w:r>
    </w:p>
    <w:p w14:paraId="3F5F5CF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三）研究提出能源发展战略的建议，拟订能源发展规划、产业政策并组织实施。推进能源体制改革，组织实施国家、省关于能源方面的规划、政策和改革方案，协调能源发展和改革中的重大问题。负责煤炭、成品油（石油）、天然气、电力（含核电）、新能源和可再生能源等能源的行业管理，不含成品油流通监督管理。组织实施有关能源行业标准，监测能源发展情况，衔接能源生产建设和供需平衡，指导协调农村能源发展工作。依法管理供电营业区划分工作。负责电力运行行政管理工作，加强电力需求侧管理。负责能源行政执法监督等工作。督促电力行业加强安全生产管理，主管石油、天然气长输管道建设和保护工作。督促供电企业落实对非法违法生产经营单位实施的停供电措施，协调供电企业参与有关安全生产事故应急救援的电力保障工作。</w:t>
      </w:r>
    </w:p>
    <w:p w14:paraId="6BF5F894">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十四）贯彻执行国家、省、九江市有关价格方面的法律、法规和方针、政策，研究提出全市价格政策、规定。负责国家、省、九江市下达的价格改革和价格调整方案在全市范围内实施。按照商品和服务的定价目录规定的定价权限和具体适用范围，会同有关部门拟订和调整政府定价、政府指导价。拟定全市价格总水平调控目标。指导、监督市政府各业务主管部门价格管理工作。开展全市市场重要商品和服务价格的监测、分析、预警，发布价格变化动态。开展重要农产品、重要商品和服务的成本调查和政府定价商品和服务价格的成本监审工作。开展全市涉案（刑事）、涉纪、涉税财物的价格认定，协调处理价格纠纷。对重要商品价格和收费标准调整组织价格听证。组织实施或停止全市社会救助和保障标准与物价上涨挂钩联动机制并督促检查贯彻执行情况。   （</w:t>
      </w:r>
      <w:r>
        <w:rPr>
          <w:rFonts w:hint="eastAsia" w:ascii="仿宋" w:hAnsi="仿宋" w:eastAsia="仿宋" w:cs="仿宋_GB2312"/>
          <w:sz w:val="32"/>
          <w:szCs w:val="32"/>
          <w:lang w:val="en-US" w:eastAsia="zh-CN"/>
        </w:rPr>
        <w:t>十五</w:t>
      </w:r>
      <w:r>
        <w:rPr>
          <w:rFonts w:hint="eastAsia" w:ascii="仿宋" w:hAnsi="仿宋" w:eastAsia="仿宋" w:cs="仿宋_GB2312"/>
          <w:sz w:val="32"/>
          <w:szCs w:val="32"/>
        </w:rPr>
        <w:t>）贯彻执行国防动员、人民防空和军事设施保护法律法规，组织拟订我市国防动员、人民防空和军事设施保护的政府规范性文件草案，拟订相关政策、规划、计划并组织实施。</w:t>
      </w:r>
    </w:p>
    <w:p w14:paraId="015AB4B8">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十六</w:t>
      </w:r>
      <w:r>
        <w:rPr>
          <w:rFonts w:hint="eastAsia" w:ascii="仿宋" w:hAnsi="仿宋" w:eastAsia="仿宋" w:cs="仿宋_GB2312"/>
          <w:sz w:val="32"/>
          <w:szCs w:val="32"/>
        </w:rPr>
        <w:t>)负责经济动员、人民防空、交通战备、科技动员、信息动员等综合协调。</w:t>
      </w:r>
    </w:p>
    <w:p w14:paraId="213ACBFC">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十七</w:t>
      </w:r>
      <w:r>
        <w:rPr>
          <w:rFonts w:hint="eastAsia" w:ascii="仿宋" w:hAnsi="仿宋" w:eastAsia="仿宋" w:cs="仿宋_GB2312"/>
          <w:sz w:val="32"/>
          <w:szCs w:val="32"/>
        </w:rPr>
        <w:t>)统筹指导各行业主管部门国防动员专业保障队伍、群众防空组织建设。</w:t>
      </w:r>
    </w:p>
    <w:p w14:paraId="18048675">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十八</w:t>
      </w:r>
      <w:r>
        <w:rPr>
          <w:rFonts w:hint="eastAsia" w:ascii="仿宋" w:hAnsi="仿宋" w:eastAsia="仿宋" w:cs="仿宋_GB2312"/>
          <w:sz w:val="32"/>
          <w:szCs w:val="32"/>
        </w:rPr>
        <w:t>)组织开展国防动员潜力统计调查·，统筹推进国防动员信息化建设。</w:t>
      </w:r>
    </w:p>
    <w:p w14:paraId="4ED40691">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十九</w:t>
      </w:r>
      <w:r>
        <w:rPr>
          <w:rFonts w:hint="eastAsia" w:ascii="仿宋" w:hAnsi="仿宋" w:eastAsia="仿宋" w:cs="仿宋_GB2312"/>
          <w:sz w:val="32"/>
          <w:szCs w:val="32"/>
        </w:rPr>
        <w:t>)组织指导协调军事设施保护，会同有关部门监督指导重要经济目标防护工作。</w:t>
      </w:r>
    </w:p>
    <w:p w14:paraId="5A48B060">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val="en-US" w:eastAsia="zh-CN"/>
        </w:rPr>
        <w:t>二十</w:t>
      </w:r>
      <w:r>
        <w:rPr>
          <w:rFonts w:hint="eastAsia" w:ascii="仿宋" w:hAnsi="仿宋" w:eastAsia="仿宋" w:cs="仿宋_GB2312"/>
          <w:sz w:val="32"/>
          <w:szCs w:val="32"/>
        </w:rPr>
        <w:t>)负责人民防空建设管理和组织实施，管理人民防空经费和国有资产。</w:t>
      </w:r>
    </w:p>
    <w:p w14:paraId="0483F0C4">
      <w:pPr>
        <w:pStyle w:val="3"/>
        <w:ind w:firstLine="640" w:firstLineChars="200"/>
        <w:rPr>
          <w:rFonts w:hint="eastAsia"/>
        </w:rPr>
      </w:pPr>
      <w:r>
        <w:rPr>
          <w:rFonts w:hint="eastAsia" w:ascii="仿宋" w:hAnsi="仿宋" w:eastAsia="仿宋" w:cs="仿宋_GB2312"/>
          <w:sz w:val="32"/>
          <w:szCs w:val="32"/>
          <w:lang w:val="en-US" w:eastAsia="zh-CN"/>
        </w:rPr>
        <w:t>（二十一</w:t>
      </w:r>
      <w:r>
        <w:rPr>
          <w:rFonts w:hint="eastAsia" w:ascii="仿宋" w:hAnsi="仿宋" w:eastAsia="仿宋" w:cs="仿宋_GB2312"/>
          <w:sz w:val="32"/>
          <w:szCs w:val="32"/>
        </w:rPr>
        <w:t>）承办市委、市政府交办的其他事项。</w:t>
      </w:r>
    </w:p>
    <w:p w14:paraId="6A2A716D">
      <w:pPr>
        <w:ind w:firstLine="643" w:firstLineChars="200"/>
        <w:rPr>
          <w:b/>
          <w:color w:val="auto"/>
          <w:sz w:val="32"/>
          <w:szCs w:val="32"/>
        </w:rPr>
      </w:pPr>
      <w:r>
        <w:rPr>
          <w:rFonts w:hint="eastAsia"/>
          <w:b/>
          <w:color w:val="auto"/>
          <w:sz w:val="32"/>
          <w:szCs w:val="32"/>
        </w:rPr>
        <w:t>二、机构设置及人员情况</w:t>
      </w:r>
    </w:p>
    <w:p w14:paraId="557CE64A">
      <w:pPr>
        <w:ind w:firstLine="640" w:firstLineChars="200"/>
        <w:rPr>
          <w:rStyle w:val="15"/>
          <w:color w:val="auto"/>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庐山市发展和改革委员会</w:t>
      </w:r>
      <w:r>
        <w:rPr>
          <w:color w:val="auto"/>
        </w:rPr>
        <w:fldChar w:fldCharType="end"/>
      </w:r>
      <w:r>
        <w:rPr>
          <w:rFonts w:hint="eastAsia" w:ascii="仿宋" w:hAnsi="仿宋" w:eastAsia="仿宋"/>
          <w:color w:val="auto"/>
          <w:sz w:val="32"/>
          <w:szCs w:val="32"/>
        </w:rPr>
        <w:t>内设</w:t>
      </w:r>
      <w:r>
        <w:rPr>
          <w:rFonts w:hint="eastAsia" w:ascii="仿宋" w:hAnsi="仿宋" w:eastAsia="仿宋"/>
          <w:color w:val="auto"/>
          <w:sz w:val="32"/>
          <w:szCs w:val="32"/>
          <w:lang w:val="en-US" w:eastAsia="zh-CN"/>
        </w:rPr>
        <w:t>股</w:t>
      </w:r>
      <w:r>
        <w:rPr>
          <w:rFonts w:hint="eastAsia" w:ascii="仿宋" w:hAnsi="仿宋" w:eastAsia="仿宋"/>
          <w:color w:val="auto"/>
          <w:sz w:val="32"/>
          <w:szCs w:val="32"/>
        </w:rPr>
        <w:t>室</w:t>
      </w:r>
      <w:r>
        <w:rPr>
          <w:rFonts w:hint="eastAsia" w:ascii="仿宋_GB2312" w:eastAsia="仿宋_GB2312"/>
          <w:color w:val="auto"/>
          <w:sz w:val="32"/>
          <w:szCs w:val="30"/>
          <w:u w:val="none"/>
          <w:lang w:val="en-US" w:eastAsia="zh-CN"/>
        </w:rPr>
        <w:t>6</w:t>
      </w:r>
      <w:r>
        <w:rPr>
          <w:rFonts w:hint="eastAsia" w:ascii="仿宋" w:hAnsi="仿宋" w:eastAsia="仿宋"/>
          <w:color w:val="auto"/>
          <w:sz w:val="32"/>
          <w:szCs w:val="32"/>
        </w:rPr>
        <w:t>个，</w:t>
      </w:r>
      <w:r>
        <w:rPr>
          <w:rFonts w:hint="eastAsia" w:ascii="仿宋" w:hAnsi="仿宋" w:eastAsia="仿宋" w:cs="仿宋_GB2312"/>
          <w:sz w:val="32"/>
          <w:szCs w:val="32"/>
          <w:lang w:val="en-US" w:eastAsia="zh-CN"/>
        </w:rPr>
        <w:t>包括：综合办公室、投资综合股（政务服务股）、生态环境股、社会发展股、价格和收费管理股、成本监测股</w:t>
      </w:r>
      <w:r>
        <w:rPr>
          <w:rFonts w:hint="eastAsia" w:ascii="仿宋" w:hAnsi="仿宋" w:eastAsia="仿宋" w:cs="仿宋_GB2312"/>
          <w:sz w:val="32"/>
          <w:szCs w:val="32"/>
        </w:rPr>
        <w:t>。</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45</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19</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60</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36</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18</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24</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庐山市发展和改革委员会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CDA4259">
      <w:pPr>
        <w:ind w:firstLine="640" w:firstLineChars="200"/>
        <w:jc w:val="left"/>
        <w:rPr>
          <w:rStyle w:val="12"/>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庐山市发展和改革委员会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ind w:firstLine="964" w:firstLineChars="300"/>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ind w:firstLine="964" w:firstLineChars="3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(一)收入预算情况</w:t>
      </w:r>
    </w:p>
    <w:p w14:paraId="53245BA8">
      <w:pPr>
        <w:widowControl/>
        <w:ind w:firstLine="960" w:firstLineChars="3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庐山市发展和改革委员会</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2794.79</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1248.25</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2479.95</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1248.25</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增加变化原因为：往年安排政府预算的项目前期费用2025年列入部门预算。</w:t>
      </w:r>
    </w:p>
    <w:p w14:paraId="45D45D83">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(二)支出预算情况</w:t>
      </w:r>
    </w:p>
    <w:p w14:paraId="61F69255">
      <w:pPr>
        <w:widowControl/>
        <w:ind w:firstLine="960" w:firstLineChars="3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庐山市发展和改革委员会</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支出预算总额为</w:t>
      </w:r>
      <w:r>
        <w:rPr>
          <w:rStyle w:val="12"/>
          <w:rFonts w:hint="eastAsia" w:ascii="仿宋" w:hAnsi="仿宋" w:eastAsia="仿宋"/>
          <w:color w:val="auto"/>
          <w:sz w:val="32"/>
          <w:szCs w:val="32"/>
          <w:lang w:val="en-US" w:eastAsia="zh-CN"/>
        </w:rPr>
        <w:t>2479.95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1248.25</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增加变化原因为：往年安排政府预算的项目前期费用2025年列入部门预算。</w:t>
      </w:r>
    </w:p>
    <w:p w14:paraId="347A5A02">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720.71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48.47</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584.86</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66.29</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69.57</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1759.24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1199.78</w:t>
      </w:r>
      <w:r>
        <w:rPr>
          <w:rStyle w:val="12"/>
          <w:rFonts w:ascii="仿宋" w:hAnsi="仿宋" w:eastAsia="仿宋"/>
          <w:color w:val="auto"/>
          <w:sz w:val="32"/>
          <w:szCs w:val="32"/>
        </w:rPr>
        <w:t>万元;其中：</w:t>
      </w:r>
      <w:r>
        <w:rPr>
          <w:rStyle w:val="12"/>
          <w:rFonts w:hint="eastAsia" w:ascii="仿宋" w:hAnsi="仿宋" w:eastAsia="仿宋"/>
          <w:color w:val="auto"/>
          <w:sz w:val="32"/>
          <w:szCs w:val="32"/>
          <w:lang w:val="en-US" w:eastAsia="zh-CN"/>
        </w:rPr>
        <w:t>工资福利服务支出8万元，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504.73</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对企事业单位的补贴36.64万元，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1209.87</w:t>
      </w:r>
      <w:r>
        <w:rPr>
          <w:rStyle w:val="12"/>
          <w:rFonts w:ascii="仿宋" w:hAnsi="仿宋" w:eastAsia="仿宋"/>
          <w:color w:val="auto"/>
          <w:sz w:val="32"/>
          <w:szCs w:val="32"/>
        </w:rPr>
        <w:t>万元。</w:t>
      </w:r>
      <w:r>
        <w:rPr>
          <w:color w:val="auto"/>
        </w:rPr>
        <w:fldChar w:fldCharType="end"/>
      </w:r>
    </w:p>
    <w:p w14:paraId="1F108E63">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859.31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减少257.93</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88.75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6.47</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36.29</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4.11</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城乡社区支出1446.64万元，较上年预算安排增加1446.64万元；</w:t>
      </w:r>
      <w:r>
        <w:rPr>
          <w:rStyle w:val="12"/>
          <w:rFonts w:ascii="仿宋" w:hAnsi="仿宋" w:eastAsia="仿宋"/>
          <w:color w:val="auto"/>
          <w:sz w:val="32"/>
          <w:szCs w:val="32"/>
        </w:rPr>
        <w:t>住房保障支出</w:t>
      </w:r>
      <w:r>
        <w:rPr>
          <w:rStyle w:val="12"/>
          <w:rFonts w:hint="eastAsia" w:ascii="仿宋" w:hAnsi="仿宋" w:eastAsia="仿宋"/>
          <w:color w:val="auto"/>
          <w:sz w:val="32"/>
          <w:szCs w:val="32"/>
          <w:lang w:val="en-US" w:eastAsia="zh-CN"/>
        </w:rPr>
        <w:t>48.96</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48.96</w:t>
      </w:r>
      <w:r>
        <w:rPr>
          <w:rStyle w:val="12"/>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592.86</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29.87</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571.02</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245.69</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69.57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69.39</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对企业补助36.64万元，较上年预算安排增加7.18万元；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1209.87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955.87</w:t>
      </w:r>
      <w:r>
        <w:rPr>
          <w:rStyle w:val="12"/>
          <w:rFonts w:ascii="仿宋" w:hAnsi="仿宋" w:eastAsia="仿宋"/>
          <w:color w:val="auto"/>
          <w:sz w:val="32"/>
          <w:szCs w:val="32"/>
        </w:rPr>
        <w:t>万元。</w:t>
      </w:r>
      <w:r>
        <w:rPr>
          <w:color w:val="auto"/>
        </w:rPr>
        <w:fldChar w:fldCharType="end"/>
      </w:r>
    </w:p>
    <w:p w14:paraId="1F9283F6">
      <w:pPr>
        <w:ind w:firstLine="321" w:firstLineChars="100"/>
        <w:rPr>
          <w:rStyle w:val="12"/>
          <w:rFonts w:hint="eastAsia" w:ascii="Adobe 仿宋 Std R" w:hAnsi="Adobe 仿宋 Std R" w:eastAsia="Adobe 仿宋 Std R"/>
          <w:b/>
          <w:color w:val="auto"/>
          <w:sz w:val="32"/>
          <w:szCs w:val="32"/>
          <w:lang w:eastAsia="zh-CN"/>
        </w:rPr>
      </w:pPr>
      <w:r>
        <w:rPr>
          <w:rStyle w:val="12"/>
          <w:rFonts w:hint="eastAsia" w:ascii="Adobe 仿宋 Std R" w:hAnsi="Adobe 仿宋 Std R" w:eastAsia="Adobe 仿宋 Std R"/>
          <w:b/>
          <w:color w:val="auto"/>
          <w:sz w:val="32"/>
          <w:szCs w:val="32"/>
        </w:rPr>
        <w:t xml:space="preserve"> (三)财政拨款支出情况</w:t>
      </w:r>
    </w:p>
    <w:p w14:paraId="087C15FB">
      <w:pPr>
        <w:widowControl/>
        <w:ind w:firstLine="960" w:firstLineChars="3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庐山市发展和改革委员会</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2479.95</w:t>
      </w:r>
      <w:r>
        <w:rPr>
          <w:rStyle w:val="12"/>
          <w:rFonts w:ascii="仿宋" w:hAnsi="仿宋" w:eastAsia="仿宋"/>
          <w:color w:val="auto"/>
          <w:sz w:val="32"/>
          <w:szCs w:val="32"/>
        </w:rPr>
        <w:t>万元,</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较上年预算安排增加</w:t>
      </w:r>
      <w:r>
        <w:rPr>
          <w:rStyle w:val="12"/>
          <w:rFonts w:hint="eastAsia" w:ascii="仿宋" w:hAnsi="仿宋" w:eastAsia="仿宋"/>
          <w:color w:val="auto"/>
          <w:sz w:val="32"/>
          <w:szCs w:val="32"/>
          <w:lang w:val="en-US" w:eastAsia="zh-CN"/>
        </w:rPr>
        <w:t>1248.25</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增加变化原因为：往年安排政府预算的项目前期费用2025年列入部门预算。</w:t>
      </w:r>
      <w:r>
        <w:rPr>
          <w:color w:val="auto"/>
        </w:rPr>
        <w:fldChar w:fldCharType="end"/>
      </w:r>
    </w:p>
    <w:p w14:paraId="53F56414">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859.31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减少257.93</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88.75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6.47</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36.29</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4.11</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城乡社区支出1446.64万元，较上年预算安排增加1446.64万元；</w:t>
      </w:r>
      <w:r>
        <w:rPr>
          <w:rStyle w:val="12"/>
          <w:rFonts w:ascii="仿宋" w:hAnsi="仿宋" w:eastAsia="仿宋"/>
          <w:color w:val="auto"/>
          <w:sz w:val="32"/>
          <w:szCs w:val="32"/>
        </w:rPr>
        <w:t>住房保障支出</w:t>
      </w:r>
      <w:r>
        <w:rPr>
          <w:rStyle w:val="12"/>
          <w:rFonts w:hint="eastAsia" w:ascii="仿宋" w:hAnsi="仿宋" w:eastAsia="仿宋"/>
          <w:color w:val="auto"/>
          <w:sz w:val="32"/>
          <w:szCs w:val="32"/>
          <w:lang w:val="en-US" w:eastAsia="zh-CN"/>
        </w:rPr>
        <w:t>48.96</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48.96</w:t>
      </w:r>
      <w:r>
        <w:rPr>
          <w:rStyle w:val="12"/>
          <w:rFonts w:ascii="仿宋" w:hAnsi="仿宋" w:eastAsia="仿宋"/>
          <w:color w:val="auto"/>
          <w:sz w:val="32"/>
          <w:szCs w:val="32"/>
        </w:rPr>
        <w:t>万元。</w:t>
      </w:r>
      <w:r>
        <w:rPr>
          <w:color w:val="auto"/>
        </w:rPr>
        <w:fldChar w:fldCharType="end"/>
      </w:r>
    </w:p>
    <w:p w14:paraId="64E81F8C">
      <w:pPr>
        <w:ind w:firstLine="640" w:firstLineChars="200"/>
        <w:rPr>
          <w:color w:val="auto"/>
        </w:rPr>
      </w:pPr>
      <w:r>
        <w:rPr>
          <w:rStyle w:val="12"/>
          <w:rFonts w:hint="eastAsia" w:ascii="仿宋" w:hAnsi="仿宋" w:eastAsia="仿宋"/>
          <w:color w:val="auto"/>
          <w:sz w:val="32"/>
          <w:szCs w:val="32"/>
        </w:rPr>
        <w:t>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720.71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48.47</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584.86</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66.29</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69.57</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1759.24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1199.78</w:t>
      </w:r>
      <w:r>
        <w:rPr>
          <w:rStyle w:val="12"/>
          <w:rFonts w:ascii="仿宋" w:hAnsi="仿宋" w:eastAsia="仿宋"/>
          <w:color w:val="auto"/>
          <w:sz w:val="32"/>
          <w:szCs w:val="32"/>
        </w:rPr>
        <w:t>万元;其中：</w:t>
      </w:r>
      <w:r>
        <w:rPr>
          <w:rStyle w:val="12"/>
          <w:rFonts w:hint="eastAsia" w:ascii="仿宋" w:hAnsi="仿宋" w:eastAsia="仿宋"/>
          <w:color w:val="auto"/>
          <w:sz w:val="32"/>
          <w:szCs w:val="32"/>
          <w:lang w:val="en-US" w:eastAsia="zh-CN"/>
        </w:rPr>
        <w:t>工资福利服务支出8万元，</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504.73</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对企事业单位的补贴36.64万元，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1209.87</w:t>
      </w:r>
      <w:r>
        <w:rPr>
          <w:rStyle w:val="12"/>
          <w:rFonts w:ascii="仿宋" w:hAnsi="仿宋" w:eastAsia="仿宋"/>
          <w:color w:val="auto"/>
          <w:sz w:val="32"/>
          <w:szCs w:val="32"/>
        </w:rPr>
        <w:t>万元。</w:t>
      </w:r>
      <w:r>
        <w:rPr>
          <w:color w:val="auto"/>
        </w:rPr>
        <w:fldChar w:fldCharType="end"/>
      </w:r>
    </w:p>
    <w:p w14:paraId="0B4F38DD">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(四)政府性基金情况</w:t>
      </w:r>
    </w:p>
    <w:p w14:paraId="6DEF29A3">
      <w:pPr>
        <w:ind w:firstLine="640" w:firstLineChars="200"/>
        <w:rPr>
          <w:rFonts w:hint="eastAsia" w:ascii="Adobe 仿宋 Std R" w:hAnsi="Adobe 仿宋 Std R" w:eastAsia="Adobe 仿宋 Std R"/>
          <w:color w:val="auto"/>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庐山市发展和改革委员会</w:t>
      </w:r>
      <w:r>
        <w:rPr>
          <w:color w:val="auto"/>
        </w:rPr>
        <w:fldChar w:fldCharType="end"/>
      </w:r>
      <w:r>
        <w:rPr>
          <w:rFonts w:ascii="Adobe 仿宋 Std R" w:hAnsi="Adobe 仿宋 Std R" w:eastAsia="Adobe 仿宋 Std R"/>
          <w:color w:val="auto"/>
          <w:sz w:val="32"/>
          <w:szCs w:val="32"/>
        </w:rPr>
        <w:t>政府性基金支出预算</w:t>
      </w:r>
      <w:r>
        <w:rPr>
          <w:rFonts w:hint="eastAsia" w:ascii="Adobe 仿宋 Std R" w:hAnsi="Adobe 仿宋 Std R" w:eastAsia="Adobe 仿宋 Std R"/>
          <w:color w:val="auto"/>
          <w:sz w:val="32"/>
          <w:szCs w:val="32"/>
        </w:rPr>
        <w:t>为</w:t>
      </w:r>
      <w:r>
        <w:rPr>
          <w:rFonts w:hint="eastAsia" w:ascii="Adobe 仿宋 Std R" w:hAnsi="Adobe 仿宋 Std R" w:eastAsia="Adobe 仿宋 Std R"/>
          <w:color w:val="auto"/>
          <w:sz w:val="32"/>
          <w:szCs w:val="32"/>
          <w:lang w:val="en-US" w:eastAsia="zh-CN"/>
        </w:rPr>
        <w:t>1446.64万元。</w:t>
      </w:r>
    </w:p>
    <w:p w14:paraId="44024A2A">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按支出项目类别划分：</w:t>
      </w:r>
      <w:r>
        <w:rPr>
          <w:rStyle w:val="12"/>
          <w:rFonts w:hint="eastAsia" w:ascii="仿宋" w:hAnsi="仿宋" w:eastAsia="仿宋"/>
          <w:color w:val="auto"/>
          <w:sz w:val="32"/>
          <w:szCs w:val="32"/>
          <w:lang w:val="en-US" w:eastAsia="zh-CN"/>
        </w:rPr>
        <w:t>基本支出</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r>
        <w:rPr>
          <w:rFonts w:hint="eastAsia"/>
          <w:color w:val="auto"/>
          <w:lang w:eastAsia="zh-CN"/>
        </w:rPr>
        <w:t>。</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1446.64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1446.64</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210</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对企业补助36.64万元，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1200</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${page540426799.ds357974894_REP_BGT_T_HC1100002019_DXQ02DW_JBZCQKJJ}</w:instrText>
      </w:r>
      <w:r>
        <w:rPr>
          <w:rStyle w:val="12"/>
          <w:rFonts w:ascii="仿宋" w:hAnsi="仿宋" w:eastAsia="仿宋"/>
          <w:color w:val="auto"/>
          <w:sz w:val="32"/>
          <w:szCs w:val="32"/>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${page540426799.ds357974894_REP_BGT_T_HC1100002019_DXQ02DW_XMZCQKJJ}</w:instrText>
      </w:r>
      <w:r>
        <w:rPr>
          <w:rStyle w:val="12"/>
          <w:rFonts w:ascii="仿宋" w:hAnsi="仿宋" w:eastAsia="仿宋"/>
          <w:color w:val="auto"/>
          <w:sz w:val="32"/>
          <w:szCs w:val="32"/>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${page400644146.ds215660413_REP_BGT_T_HC1100002019_DXQ02_JBZCQKJJ}</w:instrText>
      </w:r>
      <w:r>
        <w:rPr>
          <w:rStyle w:val="12"/>
          <w:rFonts w:ascii="仿宋" w:hAnsi="仿宋" w:eastAsia="仿宋"/>
          <w:color w:val="auto"/>
          <w:sz w:val="32"/>
          <w:szCs w:val="32"/>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${page400644146.ds215660413_REP_BGT_T_HC1100002019_DXQ02_XMZCQKJJ}</w:instrText>
      </w:r>
      <w:r>
        <w:rPr>
          <w:rStyle w:val="12"/>
          <w:rFonts w:ascii="仿宋" w:hAnsi="仿宋" w:eastAsia="仿宋"/>
          <w:color w:val="auto"/>
          <w:sz w:val="32"/>
          <w:szCs w:val="32"/>
        </w:rPr>
        <w:fldChar w:fldCharType="end"/>
      </w:r>
    </w:p>
    <w:p w14:paraId="6EE05F82">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（五）国有资本经营情况</w:t>
      </w:r>
    </w:p>
    <w:p w14:paraId="0A93763D">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单位</w:t>
      </w:r>
      <w:r>
        <w:rPr>
          <w:rStyle w:val="12"/>
          <w:rFonts w:hint="eastAsia" w:ascii="Adobe 仿宋 Std R" w:hAnsi="Adobe 仿宋 Std R" w:eastAsia="Adobe 仿宋 Std R"/>
          <w:color w:val="auto"/>
          <w:sz w:val="32"/>
          <w:szCs w:val="32"/>
        </w:rPr>
        <w:t>没有使用国有资本经营预算拨款安排的支出</w:t>
      </w:r>
      <w:r>
        <w:rPr>
          <w:rStyle w:val="12"/>
          <w:rFonts w:hint="eastAsia" w:ascii="Adobe 仿宋 Std R" w:hAnsi="Adobe 仿宋 Std R" w:eastAsia="Adobe 仿宋 Std R"/>
          <w:color w:val="auto"/>
          <w:sz w:val="32"/>
          <w:szCs w:val="32"/>
          <w:lang w:val="en-US" w:eastAsia="zh-CN"/>
        </w:rPr>
        <w:t>。</w:t>
      </w:r>
    </w:p>
    <w:p w14:paraId="76E34934">
      <w:pPr>
        <w:ind w:firstLine="321" w:firstLineChars="100"/>
        <w:rPr>
          <w:rStyle w:val="12"/>
          <w:rFonts w:ascii="Adobe 仿宋 Std R" w:hAnsi="Adobe 仿宋 Std R" w:eastAsia="Adobe 仿宋 Std R"/>
          <w:b/>
          <w:color w:val="auto"/>
          <w:sz w:val="32"/>
          <w:szCs w:val="32"/>
        </w:rPr>
      </w:pPr>
      <w:r>
        <w:rPr>
          <w:rStyle w:val="12"/>
          <w:rFonts w:hint="eastAsia" w:asciiTheme="majorEastAsia" w:hAnsiTheme="majorEastAsia" w:eastAsiaTheme="majorEastAsia"/>
          <w:b/>
          <w:color w:val="auto"/>
          <w:sz w:val="32"/>
          <w:szCs w:val="32"/>
        </w:rPr>
        <w:t xml:space="preserve"> </w:t>
      </w:r>
      <w:r>
        <w:rPr>
          <w:rStyle w:val="12"/>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u w:val="none"/>
          <w:lang w:val="en-US" w:eastAsia="zh-CN"/>
        </w:rPr>
      </w:pPr>
      <w:r>
        <w:rPr>
          <w:rStyle w:val="12"/>
          <w:rFonts w:hint="eastAsia" w:ascii="Adobe 仿宋 Std R" w:hAnsi="Adobe 仿宋 Std R" w:eastAsia="Adobe 仿宋 Std R"/>
          <w:color w:val="auto"/>
          <w:sz w:val="32"/>
          <w:szCs w:val="32"/>
          <w:u w:val="none"/>
        </w:rPr>
        <w:t>202</w:t>
      </w:r>
      <w:r>
        <w:rPr>
          <w:rStyle w:val="12"/>
          <w:rFonts w:hint="eastAsia" w:ascii="Adobe 仿宋 Std R" w:hAnsi="Adobe 仿宋 Std R" w:eastAsia="Adobe 仿宋 Std R"/>
          <w:color w:val="auto"/>
          <w:sz w:val="32"/>
          <w:szCs w:val="32"/>
          <w:u w:val="none"/>
          <w:lang w:val="en-US" w:eastAsia="zh-CN"/>
        </w:rPr>
        <w:t>5</w:t>
      </w:r>
      <w:r>
        <w:rPr>
          <w:rStyle w:val="12"/>
          <w:rFonts w:hint="eastAsia" w:ascii="Adobe 仿宋 Std R" w:hAnsi="Adobe 仿宋 Std R" w:eastAsia="Adobe 仿宋 Std R"/>
          <w:color w:val="auto"/>
          <w:sz w:val="32"/>
          <w:szCs w:val="32"/>
          <w:u w:val="none"/>
        </w:rPr>
        <w:t>年</w:t>
      </w:r>
      <w:r>
        <w:rPr>
          <w:rFonts w:hint="eastAsia" w:ascii="Adobe 仿宋 Std R" w:hAnsi="Adobe 仿宋 Std R" w:eastAsia="Adobe 仿宋 Std R"/>
          <w:color w:val="auto"/>
          <w:sz w:val="32"/>
          <w:szCs w:val="32"/>
          <w:u w:val="none"/>
        </w:rPr>
        <w:t>单位机关运行费预算</w:t>
      </w:r>
      <w:r>
        <w:rPr>
          <w:rFonts w:hint="eastAsia" w:ascii="仿宋_GB2312" w:eastAsia="仿宋_GB2312"/>
          <w:color w:val="auto"/>
          <w:sz w:val="32"/>
          <w:szCs w:val="30"/>
          <w:u w:val="none"/>
          <w:lang w:val="en-US" w:eastAsia="zh-CN"/>
        </w:rPr>
        <w:t>66.29</w:t>
      </w:r>
      <w:r>
        <w:rPr>
          <w:rFonts w:hint="eastAsia" w:ascii="Adobe 仿宋 Std R" w:hAnsi="Adobe 仿宋 Std R" w:eastAsia="Adobe 仿宋 Std R"/>
          <w:color w:val="auto"/>
          <w:sz w:val="32"/>
          <w:szCs w:val="32"/>
          <w:u w:val="none"/>
        </w:rPr>
        <w:t>万元，比202</w:t>
      </w:r>
      <w:r>
        <w:rPr>
          <w:rFonts w:hint="eastAsia" w:ascii="Adobe 仿宋 Std R" w:hAnsi="Adobe 仿宋 Std R" w:eastAsia="Adobe 仿宋 Std R"/>
          <w:color w:val="auto"/>
          <w:sz w:val="32"/>
          <w:szCs w:val="32"/>
          <w:u w:val="none"/>
          <w:lang w:val="en-US" w:eastAsia="zh-CN"/>
        </w:rPr>
        <w:t>4</w:t>
      </w:r>
      <w:r>
        <w:rPr>
          <w:rFonts w:hint="eastAsia" w:ascii="Adobe 仿宋 Std R" w:hAnsi="Adobe 仿宋 Std R" w:eastAsia="Adobe 仿宋 Std R"/>
          <w:color w:val="auto"/>
          <w:sz w:val="32"/>
          <w:szCs w:val="32"/>
          <w:u w:val="none"/>
        </w:rPr>
        <w:t>年预算增加</w:t>
      </w:r>
      <w:r>
        <w:rPr>
          <w:rFonts w:hint="eastAsia" w:ascii="Adobe 仿宋 Std R" w:hAnsi="Adobe 仿宋 Std R" w:eastAsia="Adobe 仿宋 Std R"/>
          <w:color w:val="auto"/>
          <w:sz w:val="32"/>
          <w:szCs w:val="32"/>
          <w:u w:val="none"/>
          <w:lang w:val="en-US" w:eastAsia="zh-CN"/>
        </w:rPr>
        <w:t>16.96</w:t>
      </w:r>
      <w:r>
        <w:rPr>
          <w:rFonts w:hint="eastAsia" w:ascii="Adobe 仿宋 Std R" w:hAnsi="Adobe 仿宋 Std R" w:eastAsia="Adobe 仿宋 Std R"/>
          <w:color w:val="auto"/>
          <w:sz w:val="32"/>
          <w:szCs w:val="32"/>
          <w:u w:val="none"/>
        </w:rPr>
        <w:t>万元，增长</w:t>
      </w:r>
      <w:r>
        <w:rPr>
          <w:rFonts w:hint="eastAsia" w:ascii="Adobe 仿宋 Std R" w:hAnsi="Adobe 仿宋 Std R" w:eastAsia="Adobe 仿宋 Std R"/>
          <w:color w:val="auto"/>
          <w:sz w:val="32"/>
          <w:szCs w:val="32"/>
          <w:u w:val="none"/>
          <w:lang w:val="en-US" w:eastAsia="zh-CN"/>
        </w:rPr>
        <w:t>34.38</w:t>
      </w:r>
      <w:r>
        <w:rPr>
          <w:rFonts w:hint="eastAsia" w:ascii="仿宋_GB2312" w:eastAsia="仿宋_GB2312"/>
          <w:color w:val="auto"/>
          <w:sz w:val="32"/>
          <w:szCs w:val="30"/>
          <w:u w:val="none"/>
        </w:rPr>
        <w:t xml:space="preserve"> </w:t>
      </w:r>
      <w:r>
        <w:rPr>
          <w:rFonts w:hint="eastAsia" w:ascii="Adobe 仿宋 Std R" w:hAnsi="Adobe 仿宋 Std R" w:eastAsia="Adobe 仿宋 Std R"/>
          <w:color w:val="auto"/>
          <w:sz w:val="32"/>
          <w:szCs w:val="32"/>
          <w:u w:val="none"/>
        </w:rPr>
        <w:t>%。</w:t>
      </w:r>
      <w:r>
        <w:rPr>
          <w:rFonts w:hint="eastAsia" w:ascii="仿宋" w:hAnsi="仿宋" w:eastAsia="仿宋" w:cs="Times New Roman"/>
          <w:color w:val="auto"/>
          <w:kern w:val="0"/>
          <w:sz w:val="32"/>
          <w:szCs w:val="32"/>
          <w:u w:val="none"/>
          <w:lang w:val="en-US" w:eastAsia="zh-CN"/>
        </w:rPr>
        <w:t>增长变化原因为：2024年新招录人员3人，本年度预算公务员车补列入机关运行科目其他交通费，往年列入其他工资福利支出，所以机关运行经费增长。</w:t>
      </w:r>
    </w:p>
    <w:p w14:paraId="2058FC9E">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w:t>
      </w:r>
      <w:r>
        <w:rPr>
          <w:rFonts w:hint="eastAsia" w:ascii="Adobe 仿宋 Std R" w:hAnsi="Adobe 仿宋 Std R" w:eastAsia="Adobe 仿宋 Std R"/>
          <w:color w:val="auto"/>
          <w:sz w:val="32"/>
          <w:szCs w:val="32"/>
          <w:lang w:val="en-US" w:eastAsia="zh-CN"/>
        </w:rPr>
        <w:t>水费0.03万元、电费0.5万元、邮电费5万元、差旅费2万元、劳务费6.31万元、工会经费19万元、福利费7万元、其他交通费用23.21万元、其他商品和服务支出3.24万元。</w:t>
      </w:r>
    </w:p>
    <w:p w14:paraId="13492D42">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(七)政府采购情况</w:t>
      </w:r>
    </w:p>
    <w:p w14:paraId="4E97F96A">
      <w:pPr>
        <w:widowControl/>
        <w:spacing w:line="580" w:lineRule="exact"/>
        <w:ind w:firstLine="636"/>
        <w:jc w:val="left"/>
        <w:rPr>
          <w:rFonts w:ascii="Adobe 仿宋 Std R" w:hAnsi="Adobe 仿宋 Std R" w:eastAsia="Adobe 仿宋 Std R"/>
          <w:color w:val="auto"/>
          <w:sz w:val="32"/>
          <w:szCs w:val="32"/>
        </w:rPr>
      </w:pPr>
      <w:r>
        <w:rPr>
          <w:rStyle w:val="12"/>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4.87</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4.87</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7C698E59">
      <w:pPr>
        <w:ind w:firstLine="320" w:firstLineChars="100"/>
        <w:rPr>
          <w:rStyle w:val="12"/>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w:t>
      </w:r>
      <w:r>
        <w:rPr>
          <w:rFonts w:hint="eastAsia" w:ascii="Adobe 仿宋 Std R" w:hAnsi="Adobe 仿宋 Std R" w:eastAsia="Adobe 仿宋 Std R"/>
          <w:color w:val="auto"/>
          <w:sz w:val="32"/>
          <w:szCs w:val="32"/>
          <w:u w:val="none"/>
        </w:rPr>
        <w:t>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u w:val="none"/>
        </w:rPr>
        <w:t>辆，</w:t>
      </w:r>
      <w:r>
        <w:rPr>
          <w:rFonts w:hint="eastAsia" w:ascii="Adobe 仿宋 Std R" w:hAnsi="Adobe 仿宋 Std R" w:eastAsia="Adobe 仿宋 Std R"/>
          <w:color w:val="auto"/>
          <w:sz w:val="32"/>
          <w:szCs w:val="32"/>
          <w:u w:val="none"/>
          <w:lang w:val="en-US" w:eastAsia="zh-CN"/>
        </w:rPr>
        <w:t>无预算</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14:paraId="310667B9">
      <w:pPr>
        <w:ind w:firstLine="321" w:firstLineChars="100"/>
        <w:rPr>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（九）</w:t>
      </w:r>
      <w:r>
        <w:rPr>
          <w:rStyle w:val="12"/>
          <w:rFonts w:hint="eastAsia" w:ascii="Adobe 仿宋 Std R" w:hAnsi="Adobe 仿宋 Std R" w:eastAsia="Adobe 仿宋 Std R"/>
          <w:b/>
          <w:color w:val="auto"/>
          <w:sz w:val="32"/>
          <w:szCs w:val="32"/>
          <w:lang w:val="en-US" w:eastAsia="zh-CN"/>
        </w:rPr>
        <w:t>特定</w:t>
      </w:r>
      <w:r>
        <w:rPr>
          <w:rStyle w:val="12"/>
          <w:rFonts w:hint="eastAsia" w:ascii="Adobe 仿宋 Std R" w:hAnsi="Adobe 仿宋 Std R" w:eastAsia="Adobe 仿宋 Std R"/>
          <w:b/>
          <w:color w:val="auto"/>
          <w:sz w:val="32"/>
          <w:szCs w:val="32"/>
        </w:rPr>
        <w:t>项目情况说明</w:t>
      </w:r>
    </w:p>
    <w:p w14:paraId="695FEFB8">
      <w:pPr>
        <w:widowControl/>
        <w:spacing w:line="580" w:lineRule="exact"/>
        <w:ind w:firstLine="643" w:firstLineChars="200"/>
        <w:jc w:val="left"/>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1、省级天然气管网建设经费</w:t>
      </w:r>
    </w:p>
    <w:p w14:paraId="1A9528A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1）项目概述：根据《江西省发展改革委江西省财政厅关于核缴省级天然气管网建设2023年度和2024年1月至8月财政补助资金的通知》文件精神，为落实“由受益县（市、区）对省级天然气管网企业地方政府债券资金利息及商业银行贷款利息给予80%的财政贴息”要求，支持省级天然气管网建设、保障省级天然气管网安全平稳运行。 </w:t>
      </w:r>
    </w:p>
    <w:p w14:paraId="3705209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19D3616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26885E8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4）实施方案：保障省级天然气管网安全平稳运行</w:t>
      </w:r>
      <w:r>
        <w:rPr>
          <w:rFonts w:hint="eastAsia" w:ascii="Adobe 仿宋 Std R" w:hAnsi="Adobe 仿宋 Std R" w:eastAsia="Adobe 仿宋 Std R"/>
          <w:sz w:val="32"/>
          <w:szCs w:val="32"/>
          <w:lang w:eastAsia="zh-CN"/>
        </w:rPr>
        <w:t>。</w:t>
      </w:r>
    </w:p>
    <w:p w14:paraId="285023D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1135CCE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6）年度预算安排：36.</w:t>
      </w:r>
      <w:r>
        <w:rPr>
          <w:rFonts w:hint="eastAsia" w:ascii="Adobe 仿宋 Std R" w:hAnsi="Adobe 仿宋 Std R" w:eastAsia="Adobe 仿宋 Std R"/>
          <w:sz w:val="32"/>
          <w:szCs w:val="32"/>
          <w:lang w:val="en-US" w:eastAsia="zh-CN"/>
        </w:rPr>
        <w:t>64</w:t>
      </w:r>
      <w:r>
        <w:rPr>
          <w:rFonts w:hint="eastAsia" w:ascii="Adobe 仿宋 Std R" w:hAnsi="Adobe 仿宋 Std R" w:eastAsia="Adobe 仿宋 Std R"/>
          <w:sz w:val="32"/>
          <w:szCs w:val="32"/>
        </w:rPr>
        <w:t>万元</w:t>
      </w:r>
    </w:p>
    <w:p w14:paraId="238E70B1">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2、项目前期工作经费</w:t>
      </w:r>
    </w:p>
    <w:p w14:paraId="43E88C8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1）项目概述：为了保障项目建设前期工作顺利开展，开展前期项目评审、包装制作需相关工作所需经费。</w:t>
      </w:r>
    </w:p>
    <w:p w14:paraId="4121111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48F656C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329754F4">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4）实施方案：谋划确定项目，贯彻执行有关项目前期工作准备，统筹安排相关经费推动项目建设。</w:t>
      </w:r>
    </w:p>
    <w:p w14:paraId="09613CD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AB0C8A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6）年度预算安排：210万元</w:t>
      </w:r>
    </w:p>
    <w:p w14:paraId="78D9A708">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3、营商办经费</w:t>
      </w:r>
    </w:p>
    <w:p w14:paraId="52BC656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1）项目概述：为进一步优化营商环境，推进营商环境工作。 </w:t>
      </w:r>
    </w:p>
    <w:p w14:paraId="42791B3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0C50303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0C54357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加强惠企政策宣传，完善问题化解机制，不断改善服务态度，提高服务质量，优化服务环境，规范服务行为，营造有利于营商工作发展的舆论环境和社会氛围，全面提升服务水平，着力为群众和企业做好事</w:t>
      </w:r>
    </w:p>
    <w:p w14:paraId="479B44A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35723454">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6）年度预算安排：39.6万元</w:t>
      </w:r>
    </w:p>
    <w:p w14:paraId="277597BB">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4、项目办经费</w:t>
      </w:r>
    </w:p>
    <w:p w14:paraId="588923A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1）项目概述：保障项目办在重点项目遴选、协调、检测、考核等工作的正常运转</w:t>
      </w:r>
    </w:p>
    <w:p w14:paraId="470EE80E">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1E09BC5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21B8F6D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4）实施方案：推动经济发展，促进发改工作顺利运行，顺利实施完成年度各项目标任务。</w:t>
      </w:r>
    </w:p>
    <w:p w14:paraId="43EBBDDB">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01D8E9E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6）年度预算安排：13.5万元</w:t>
      </w:r>
    </w:p>
    <w:p w14:paraId="2EBAE02C">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5、国动办工作经费</w:t>
      </w:r>
    </w:p>
    <w:p w14:paraId="4739DBA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该项目主要为贯彻执行国防动员、人民防空和军事设施保护法律法规，组织拟订我市国防动员、人民防空和军事设施保护的政府规范性文件草案，拟订相关政策、规划、计划并组织实施；负责经济动员、人民防空、交通战备、科技动员、信息动员等综合协调；统筹指导各行业主管部门国防动员专业保障队伍、群众防空组织建设；组织开展国防动员潜力统计调查·，统筹推进国防动员信息化建设组织指导协调军事设施保护，会同有关部门监督指导重要经济目标防护工作；负责人民防空建设管理和组织实施，管理人民防空国有资产。</w:t>
      </w:r>
    </w:p>
    <w:p w14:paraId="7932B36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5AA324DB">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044477AD">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4）实施方案：推动国动办相关工作正常运转。</w:t>
      </w:r>
    </w:p>
    <w:p w14:paraId="0D60BEB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A076D9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6）年度预算安排：90万元</w:t>
      </w:r>
    </w:p>
    <w:p w14:paraId="7B04EC7E">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6</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社会信用体系工作经费</w:t>
      </w:r>
    </w:p>
    <w:p w14:paraId="410E9799">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1）项目概述：社会信用体系作为社会信用工作、政府性诚信的一项重要性建设内容，在全国进行考核排位，且纳入县市区高质量考核体系。</w:t>
      </w:r>
    </w:p>
    <w:p w14:paraId="21D3943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7E0A6602">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4F2EC7C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4）实施方案：推动社会信用体系工作。</w:t>
      </w:r>
    </w:p>
    <w:p w14:paraId="63DC31D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19FE46E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6）年度预算安排：13.5万元</w:t>
      </w:r>
    </w:p>
    <w:p w14:paraId="74526A5D">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7</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省天然气管道改迁经费</w:t>
      </w:r>
    </w:p>
    <w:p w14:paraId="042BF90E">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1）项目概述：为确保管道安全和项目顺利实施，按照与省天然气签订项目改迁补偿合同进行支付</w:t>
      </w:r>
    </w:p>
    <w:p w14:paraId="0B2C705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5C73304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71A82A9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4）实施方案：推动社会信用体系工作。</w:t>
      </w:r>
    </w:p>
    <w:p w14:paraId="74457576">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52DAA7E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6）年度预算安排：1200万元</w:t>
      </w:r>
    </w:p>
    <w:p w14:paraId="356AD8A8">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8</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庐山市天然气储气任务经费</w:t>
      </w:r>
    </w:p>
    <w:p w14:paraId="498F6274">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1）项目概述：根据相关文件要求，各地方政府需保证五天的储气能力，避免用气高峰和应急调峰时出现气荒状况</w:t>
      </w:r>
    </w:p>
    <w:p w14:paraId="536019F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4D39384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4E7D14FD">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4）实施方案：完成五天储气任务。</w:t>
      </w:r>
    </w:p>
    <w:p w14:paraId="2A89D78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12968B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6）年度预算安排：12万元</w:t>
      </w:r>
    </w:p>
    <w:p w14:paraId="061DD6D2">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9</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2023-2024年重大项目先进个人奖励</w:t>
      </w:r>
    </w:p>
    <w:p w14:paraId="3FF8556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1）项目概述：2023年，全市上下坚持以习近平新时代中国特色社会主义思想为指导，深入学习贯彻习近平总书记考察江西重要讲话精神， 聚焦“走在前、勇争先、善作为” 目标要求，树牢“项目为纲》 的意识，强化“项目为王”的理念，增强“项目为先”的自觉，一心 一意谋发展，聚精会神抓项目，涌现出一批成绩突出的先进集体和个人。经市委、市政府研究，决定对2023-2024年度重大项目建设</w:t>
      </w:r>
      <w:r>
        <w:rPr>
          <w:rFonts w:hint="eastAsia" w:ascii="Adobe 仿宋 Std R" w:hAnsi="Adobe 仿宋 Std R" w:eastAsia="Adobe 仿宋 Std R"/>
          <w:sz w:val="32"/>
          <w:szCs w:val="32"/>
          <w:lang w:val="en-US" w:eastAsia="zh-CN"/>
        </w:rPr>
        <w:t>优秀人员进行奖励</w:t>
      </w:r>
      <w:r>
        <w:rPr>
          <w:rFonts w:hint="eastAsia" w:ascii="Adobe 仿宋 Std R" w:hAnsi="Adobe 仿宋 Std R" w:eastAsia="Adobe 仿宋 Std R"/>
          <w:sz w:val="32"/>
          <w:szCs w:val="32"/>
        </w:rPr>
        <w:t>。</w:t>
      </w:r>
    </w:p>
    <w:p w14:paraId="13309D2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2AD32BDB">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44BD557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4）实施方案：对2023-2024年先进个人进行奖励</w:t>
      </w:r>
    </w:p>
    <w:p w14:paraId="1336401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62772820">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6）年度预算安排：8万元</w:t>
      </w:r>
    </w:p>
    <w:p w14:paraId="57EFEE30">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10</w:t>
      </w:r>
      <w:r>
        <w:rPr>
          <w:rFonts w:hint="eastAsia" w:ascii="Adobe 仿宋 Std R" w:hAnsi="Adobe 仿宋 Std R" w:eastAsia="Adobe 仿宋 Std R"/>
          <w:b/>
          <w:bCs/>
          <w:sz w:val="32"/>
          <w:szCs w:val="32"/>
          <w:lang w:eastAsia="zh-CN"/>
        </w:rPr>
        <w:t>、</w:t>
      </w:r>
      <w:r>
        <w:rPr>
          <w:rFonts w:hint="eastAsia" w:ascii="Adobe 仿宋 Std R" w:hAnsi="Adobe 仿宋 Std R" w:eastAsia="Adobe 仿宋 Std R"/>
          <w:b/>
          <w:bCs/>
          <w:sz w:val="32"/>
          <w:szCs w:val="32"/>
        </w:rPr>
        <w:t>十五五规划编制费</w:t>
      </w:r>
    </w:p>
    <w:p w14:paraId="73D352E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1）项目概述：按照省市要求，围绕“十五五”规划体系、协调组织和统筹推进十五五规划编制工作</w:t>
      </w:r>
    </w:p>
    <w:p w14:paraId="58423F4A">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736217E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5CAF1BB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4）实施方案：按照省市要求编写十五五规划</w:t>
      </w:r>
    </w:p>
    <w:p w14:paraId="60896F1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23DA76AF">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6）年度预算安排：1</w:t>
      </w:r>
      <w:r>
        <w:rPr>
          <w:rFonts w:hint="eastAsia" w:ascii="Adobe 仿宋 Std R" w:hAnsi="Adobe 仿宋 Std R" w:eastAsia="Adobe 仿宋 Std R"/>
          <w:sz w:val="32"/>
          <w:szCs w:val="32"/>
          <w:lang w:val="en-US" w:eastAsia="zh-CN"/>
        </w:rPr>
        <w:t>00万元</w:t>
      </w:r>
    </w:p>
    <w:p w14:paraId="69DE81B8">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lang w:eastAsia="zh-CN"/>
        </w:rPr>
      </w:pPr>
      <w:r>
        <w:rPr>
          <w:rFonts w:hint="eastAsia" w:ascii="Adobe 仿宋 Std R" w:hAnsi="Adobe 仿宋 Std R" w:eastAsia="Adobe 仿宋 Std R"/>
          <w:b/>
          <w:bCs/>
          <w:sz w:val="32"/>
          <w:szCs w:val="32"/>
        </w:rPr>
        <w:t>1</w:t>
      </w:r>
      <w:r>
        <w:rPr>
          <w:rFonts w:hint="eastAsia" w:ascii="Adobe 仿宋 Std R" w:hAnsi="Adobe 仿宋 Std R" w:eastAsia="Adobe 仿宋 Std R"/>
          <w:b/>
          <w:bCs/>
          <w:sz w:val="32"/>
          <w:szCs w:val="32"/>
          <w:lang w:val="en-US" w:eastAsia="zh-CN"/>
        </w:rPr>
        <w:t>1</w:t>
      </w:r>
      <w:r>
        <w:rPr>
          <w:rFonts w:hint="eastAsia" w:ascii="Adobe 仿宋 Std R" w:hAnsi="Adobe 仿宋 Std R" w:eastAsia="Adobe 仿宋 Std R"/>
          <w:b/>
          <w:bCs/>
          <w:sz w:val="32"/>
          <w:szCs w:val="32"/>
          <w:lang w:eastAsia="zh-CN"/>
        </w:rPr>
        <w:t>、发改委工作经费</w:t>
      </w:r>
    </w:p>
    <w:p w14:paraId="665C2B4D">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保障发改委正常运转</w:t>
      </w:r>
    </w:p>
    <w:p w14:paraId="34172733">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2）立项依据：政府审批报告</w:t>
      </w:r>
    </w:p>
    <w:p w14:paraId="7FEA2C77">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3）实施主体：庐山市发改委</w:t>
      </w:r>
    </w:p>
    <w:p w14:paraId="6F415FD8">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用于发改委的日常运转</w:t>
      </w:r>
    </w:p>
    <w:p w14:paraId="480D3485">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5）实施周期：2025年整年</w:t>
      </w:r>
    </w:p>
    <w:p w14:paraId="1C3D52BC">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36万元</w:t>
      </w:r>
    </w:p>
    <w:p w14:paraId="289AD55D">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Adobe 仿宋 Std R" w:hAnsi="Adobe 仿宋 Std R" w:eastAsia="Adobe 仿宋 Std R"/>
          <w:b/>
          <w:bCs/>
          <w:sz w:val="32"/>
          <w:szCs w:val="32"/>
          <w:lang w:eastAsia="zh-CN"/>
        </w:rPr>
      </w:pPr>
    </w:p>
    <w:p w14:paraId="0B4D8C54">
      <w:pPr>
        <w:widowControl/>
        <w:spacing w:line="580" w:lineRule="exact"/>
        <w:ind w:firstLine="643" w:firstLineChars="200"/>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庐山市发展</w:t>
      </w:r>
      <w:bookmarkStart w:id="0" w:name="_GoBack"/>
      <w:bookmarkEnd w:id="0"/>
      <w:r>
        <w:rPr>
          <w:rFonts w:hint="eastAsia" w:ascii="仿宋" w:hAnsi="仿宋" w:eastAsia="仿宋"/>
          <w:bCs/>
          <w:color w:val="auto"/>
          <w:sz w:val="32"/>
          <w:szCs w:val="32"/>
          <w:lang w:eastAsia="zh-CN"/>
        </w:rPr>
        <w:t>和改革委员会</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12.13</w:t>
      </w:r>
      <w:r>
        <w:rPr>
          <w:rFonts w:hint="eastAsia" w:ascii="仿宋" w:hAnsi="仿宋" w:eastAsia="仿宋"/>
          <w:bCs/>
          <w:color w:val="auto"/>
          <w:sz w:val="32"/>
          <w:szCs w:val="32"/>
        </w:rPr>
        <w:t>万元，其中：</w:t>
      </w:r>
    </w:p>
    <w:p w14:paraId="3D4E5CE3">
      <w:pPr>
        <w:widowControl/>
        <w:spacing w:line="580" w:lineRule="exact"/>
        <w:ind w:firstLine="636"/>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12.13</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2.94</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参照上年执行安排本年度接待费</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ABACB0E">
      <w:pPr>
        <w:widowControl/>
        <w:spacing w:line="580" w:lineRule="exact"/>
        <w:ind w:firstLine="636"/>
        <w:jc w:val="left"/>
        <w:rPr>
          <w:rStyle w:val="12"/>
          <w:rFonts w:hint="eastAsia" w:ascii="仿宋" w:hAnsi="仿宋" w:eastAsia="仿宋"/>
          <w:color w:val="auto"/>
          <w:sz w:val="32"/>
          <w:szCs w:val="32"/>
          <w:lang w:eastAsia="zh-CN"/>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90A3954">
      <w:pPr>
        <w:widowControl/>
        <w:spacing w:line="580" w:lineRule="exact"/>
        <w:ind w:firstLine="636"/>
        <w:jc w:val="left"/>
        <w:rPr>
          <w:rStyle w:val="12"/>
          <w:rFonts w:hint="eastAsia" w:ascii="仿宋" w:hAnsi="仿宋" w:eastAsia="仿宋"/>
          <w:color w:val="auto"/>
          <w:sz w:val="32"/>
          <w:szCs w:val="32"/>
        </w:rPr>
      </w:pP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F19F72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114B0961">
      <w:pPr>
        <w:ind w:firstLine="640" w:firstLineChars="200"/>
        <w:rPr>
          <w:rFonts w:hint="eastAsia" w:ascii="Adobe 仿宋 Std R" w:hAnsi="Adobe 仿宋 Std R" w:eastAsia="Adobe 仿宋 Std R"/>
          <w:color w:val="auto"/>
          <w:sz w:val="32"/>
          <w:szCs w:val="32"/>
        </w:rPr>
      </w:pPr>
    </w:p>
    <w:p w14:paraId="5234610A">
      <w:pPr>
        <w:ind w:firstLine="960" w:firstLineChars="3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960" w:firstLineChars="3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6B00257"/>
    <w:rsid w:val="08EC3843"/>
    <w:rsid w:val="0A0925FF"/>
    <w:rsid w:val="0C97247A"/>
    <w:rsid w:val="0D1A7920"/>
    <w:rsid w:val="0D2269B3"/>
    <w:rsid w:val="0DB3098E"/>
    <w:rsid w:val="12220323"/>
    <w:rsid w:val="13FB007C"/>
    <w:rsid w:val="14667AD2"/>
    <w:rsid w:val="15AF186F"/>
    <w:rsid w:val="16B036C0"/>
    <w:rsid w:val="19A64FBC"/>
    <w:rsid w:val="1A705E7F"/>
    <w:rsid w:val="1ABF2D84"/>
    <w:rsid w:val="1E172FD7"/>
    <w:rsid w:val="1E491A3B"/>
    <w:rsid w:val="1F1F7406"/>
    <w:rsid w:val="206D0602"/>
    <w:rsid w:val="20B57B0A"/>
    <w:rsid w:val="22430342"/>
    <w:rsid w:val="22D66EA9"/>
    <w:rsid w:val="23977FB1"/>
    <w:rsid w:val="245C3447"/>
    <w:rsid w:val="25B931E9"/>
    <w:rsid w:val="28263441"/>
    <w:rsid w:val="2828673B"/>
    <w:rsid w:val="290B705B"/>
    <w:rsid w:val="29981D60"/>
    <w:rsid w:val="2A23469B"/>
    <w:rsid w:val="2B2339AC"/>
    <w:rsid w:val="2C57797E"/>
    <w:rsid w:val="304075B1"/>
    <w:rsid w:val="311C29BA"/>
    <w:rsid w:val="31774721"/>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07D0FB1"/>
    <w:rsid w:val="41737C65"/>
    <w:rsid w:val="42DC038C"/>
    <w:rsid w:val="43BF53DB"/>
    <w:rsid w:val="45D833CA"/>
    <w:rsid w:val="464E5AFF"/>
    <w:rsid w:val="466F2F8E"/>
    <w:rsid w:val="4A100DF7"/>
    <w:rsid w:val="4DB628F2"/>
    <w:rsid w:val="4E0D4F31"/>
    <w:rsid w:val="4EFF051F"/>
    <w:rsid w:val="528E6F80"/>
    <w:rsid w:val="53516268"/>
    <w:rsid w:val="55924F68"/>
    <w:rsid w:val="55EE43AE"/>
    <w:rsid w:val="55FA3EC8"/>
    <w:rsid w:val="56C47F55"/>
    <w:rsid w:val="573A53AA"/>
    <w:rsid w:val="5AB93E8B"/>
    <w:rsid w:val="5EA31F07"/>
    <w:rsid w:val="5EDA0640"/>
    <w:rsid w:val="5F193B70"/>
    <w:rsid w:val="61D17BB5"/>
    <w:rsid w:val="61E31A71"/>
    <w:rsid w:val="62283DE4"/>
    <w:rsid w:val="63E33020"/>
    <w:rsid w:val="63E500BF"/>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8411D43"/>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wordWrap w:val="0"/>
      <w:spacing w:after="160"/>
      <w:outlineLvl w:val="1"/>
    </w:pPr>
    <w:rPr>
      <w:rFonts w:ascii="Times New Roman" w:hAnsi="Times New Roman"/>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2681</Words>
  <Characters>2698</Characters>
  <Lines>53</Lines>
  <Paragraphs>15</Paragraphs>
  <TotalTime>0</TotalTime>
  <ScaleCrop>false</ScaleCrop>
  <LinksUpToDate>false</LinksUpToDate>
  <CharactersWithSpaces>2715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星子县发展和改革委员会本级</cp:lastModifiedBy>
  <dcterms:modified xsi:type="dcterms:W3CDTF">2025-01-08T02:23:02Z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eyJoZGlkIjoiZjEzYjUyYmM4NzJlNDI3YzkyYjRlNWU3MDM1OTk4MTUifQ==</vt:lpwstr>
  </property>
</Properties>
</file>