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3E65F">
      <w:pPr>
        <w:widowControl/>
        <w:spacing w:line="520" w:lineRule="atLeast"/>
        <w:ind w:firstLine="880"/>
        <w:jc w:val="center"/>
        <w:rPr>
          <w:rFonts w:ascii="黑体" w:hAnsi="黑体" w:eastAsia="黑体" w:cs="Times New Roman"/>
          <w:b/>
          <w:bCs/>
          <w:kern w:val="0"/>
          <w:sz w:val="44"/>
          <w:szCs w:val="44"/>
        </w:rPr>
      </w:pPr>
      <w:r>
        <w:rPr>
          <w:rFonts w:hint="eastAsia" w:ascii="黑体" w:hAnsi="黑体" w:eastAsia="黑体" w:cs="Times New Roman"/>
          <w:b/>
          <w:bCs/>
          <w:kern w:val="0"/>
          <w:sz w:val="44"/>
          <w:szCs w:val="44"/>
        </w:rPr>
        <w:t>庐山市（庐山风景名胜区管理局）</w:t>
      </w:r>
    </w:p>
    <w:p w14:paraId="7D566A81">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kern w:val="0"/>
          <w:sz w:val="44"/>
          <w:szCs w:val="44"/>
        </w:rPr>
        <w:t xml:space="preserve">   文化文物保护中心</w:t>
      </w:r>
      <w:r>
        <w:rPr>
          <w:rFonts w:hint="eastAsia" w:ascii="黑体" w:hAnsi="黑体" w:eastAsia="黑体" w:cs="Times New Roman"/>
          <w:b/>
          <w:bCs/>
          <w:color w:val="000000"/>
          <w:kern w:val="0"/>
          <w:sz w:val="44"/>
          <w:szCs w:val="44"/>
        </w:rPr>
        <w:t>2025年</w:t>
      </w:r>
      <w:r>
        <w:rPr>
          <w:rFonts w:hint="eastAsia" w:ascii="黑体" w:hAnsi="黑体" w:eastAsia="黑体" w:cs="Times New Roman"/>
          <w:b/>
          <w:bCs/>
          <w:color w:val="000000" w:themeColor="text1"/>
          <w:kern w:val="0"/>
          <w:sz w:val="44"/>
          <w:szCs w:val="44"/>
        </w:rPr>
        <w:t>单位预算</w:t>
      </w:r>
    </w:p>
    <w:p w14:paraId="263E311C">
      <w:pPr>
        <w:pStyle w:val="12"/>
        <w:spacing w:line="600" w:lineRule="atLeast"/>
        <w:jc w:val="center"/>
        <w:rPr>
          <w:rFonts w:ascii="黑体" w:hAnsi="黑体" w:eastAsia="黑体"/>
          <w:color w:val="000000"/>
          <w:sz w:val="32"/>
          <w:szCs w:val="32"/>
        </w:rPr>
      </w:pPr>
    </w:p>
    <w:p w14:paraId="294BF67A">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3C7E70F9">
      <w:pPr>
        <w:pStyle w:val="12"/>
        <w:rPr>
          <w:rFonts w:ascii="宋体" w:hAnsi="宋体"/>
          <w:color w:val="000000"/>
        </w:rPr>
      </w:pPr>
    </w:p>
    <w:p w14:paraId="550F30C7">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宋体" w:hAnsi="宋体" w:cs="宋体"/>
          <w:b/>
          <w:bCs/>
          <w:color w:val="000000"/>
          <w:sz w:val="32"/>
          <w:szCs w:val="32"/>
        </w:rPr>
        <w:t>庐山市（庐山风景名胜区管理局）文化文物保护中心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5C59E027">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45376EA6">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795A55A4">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宋体" w:hAnsi="宋体" w:cs="宋体"/>
          <w:b/>
          <w:bCs/>
          <w:color w:val="000000"/>
          <w:sz w:val="32"/>
          <w:szCs w:val="32"/>
        </w:rPr>
        <w:t>庐山市（庐山风景名胜区管理局）文化文物保护中心</w:t>
      </w:r>
      <w:r>
        <w:rPr>
          <w:rFonts w:hint="eastAsia" w:ascii="仿宋_GB2312" w:eastAsia="仿宋_GB2312"/>
          <w:b/>
          <w:bCs/>
          <w:color w:val="000000"/>
          <w:sz w:val="32"/>
          <w:szCs w:val="32"/>
        </w:rPr>
        <w:t>2025年单位预算表</w:t>
      </w:r>
    </w:p>
    <w:p w14:paraId="5D47702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368D5C1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432CF66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23A48C1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46196E3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32D503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2E6501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53CA463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47906A6">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D66B6F4">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02EBDBA7">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宋体" w:hAnsi="宋体" w:cs="宋体"/>
          <w:b/>
          <w:bCs/>
          <w:color w:val="000000"/>
          <w:sz w:val="32"/>
          <w:szCs w:val="32"/>
        </w:rPr>
        <w:t>庐山市（庐山风景名胜区管理局）文化文物保护中心</w:t>
      </w:r>
      <w:r>
        <w:rPr>
          <w:rFonts w:hint="eastAsia" w:ascii="仿宋_GB2312" w:eastAsia="仿宋_GB2312"/>
          <w:b/>
          <w:bCs/>
          <w:color w:val="000000"/>
          <w:sz w:val="32"/>
          <w:szCs w:val="32"/>
        </w:rPr>
        <w:t>2025年单位预算情况说明</w:t>
      </w:r>
    </w:p>
    <w:p w14:paraId="627CA56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FDA45E7">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年“三公”经费预算情况说明</w:t>
      </w:r>
    </w:p>
    <w:p w14:paraId="057C7AAA">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4EAF599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23B9489">
      <w:pPr>
        <w:widowControl/>
        <w:spacing w:line="580" w:lineRule="exact"/>
        <w:jc w:val="center"/>
        <w:rPr>
          <w:rFonts w:ascii="仿宋_GB2312" w:eastAsia="仿宋_GB2312"/>
          <w:b/>
          <w:sz w:val="32"/>
          <w:szCs w:val="30"/>
        </w:rPr>
      </w:pPr>
    </w:p>
    <w:p w14:paraId="27624081">
      <w:pPr>
        <w:widowControl/>
        <w:spacing w:line="580" w:lineRule="exact"/>
        <w:jc w:val="center"/>
        <w:rPr>
          <w:rFonts w:ascii="仿宋_GB2312" w:eastAsia="仿宋_GB2312"/>
          <w:b/>
          <w:sz w:val="32"/>
          <w:szCs w:val="30"/>
        </w:rPr>
      </w:pPr>
    </w:p>
    <w:p w14:paraId="1A99E4DB">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庐山市（庐山风景名胜区管理局）文化文物保护中心概况</w:t>
      </w:r>
    </w:p>
    <w:p w14:paraId="53D97591">
      <w:pPr>
        <w:widowControl/>
        <w:spacing w:line="580" w:lineRule="exact"/>
        <w:jc w:val="left"/>
        <w:rPr>
          <w:rFonts w:asciiTheme="minorEastAsia" w:hAnsiTheme="minorEastAsia"/>
          <w:b/>
          <w:sz w:val="36"/>
          <w:szCs w:val="36"/>
        </w:rPr>
      </w:pPr>
    </w:p>
    <w:p w14:paraId="00AC7DC3">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F9F9290">
      <w:pPr>
        <w:spacing w:before="81" w:line="373" w:lineRule="auto"/>
        <w:ind w:left="513" w:right="789"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庐山</w:t>
      </w:r>
      <w:r>
        <w:rPr>
          <w:rFonts w:ascii="仿宋" w:hAnsi="仿宋" w:eastAsia="仿宋"/>
          <w:color w:val="000000" w:themeColor="text1"/>
          <w:sz w:val="32"/>
          <w:szCs w:val="32"/>
        </w:rPr>
        <w:t xml:space="preserve">市(局)文化文物保护中心贯彻落实党中央、国务 院、省委、省政府有关文化文物保护的方针政策和九江市委、九江市政府的决策部署，在保护的前提下合理利用，有效挖掘历史 文化价值，推动文旅融合，切实把文化文物资源优势转化为产业 优势、发展优势。在履行职责过程中坚持和加强党对文化文物保 护工作的集中统一领导。主要职责是：(一)贯彻落实国家和地方文化文物保护领域法律法规和方 针政策，拟订全市(局)历史文化遗产保护利用总体规划、文博 事务的发展规划及有关规定、办法。负责全市(局)文物保护单位的调查、保护和维修方案编制申报，以及文保单位维修指导、 监督等工作。(二)负责对全市(局)各类历史文化遗产进行调查、挖掘、 研究和宣传保护，负责国内外历史文化遗产交流与合作、历史文  化遗产保护政策和法规研究、历史文化遗产保护技术研究与应用 等工作。(三)负责全市(局)田野文物、图书资料、其他历史文物 </w:t>
      </w:r>
      <w:r>
        <w:rPr>
          <w:rFonts w:ascii="仿宋" w:hAnsi="仿宋" w:eastAsia="仿宋"/>
          <w:color w:val="000000" w:themeColor="text1"/>
          <w:sz w:val="32"/>
          <w:szCs w:val="32"/>
        </w:rPr>
        <w:tab/>
      </w:r>
      <w:r>
        <w:rPr>
          <w:rFonts w:ascii="仿宋" w:hAnsi="仿宋" w:eastAsia="仿宋"/>
          <w:color w:val="000000" w:themeColor="text1"/>
          <w:sz w:val="32"/>
          <w:szCs w:val="32"/>
        </w:rPr>
        <w:t>(标本)及革命和社会文物的调查、抢救发掘、征集、整理、收 藏、保护、研究、鉴定和利用等工作。(四)承担全市(局)博物馆、纪念馆文物藏品的登记、调 拨、交换、借展、复制、拓印、预防性保护工作等。(五)负责庐山世界文化景观日常保护、研究、监测、报告 工作。(六)负责对全市(局)文物的管理、保护、抢救、发掘、 利用、研究、出境、宣传等业务工作。参与重点文物的发掘、保 护、维修项目；组织、协调文物保护单位的申报、保护工作。(七)负责境内地下埋藏的文物、深水埋藏文物的保护及考 古调查研究工作，做好境内各类古遗址、古墓葬、革命遗址等遗 迹的档案材料的编写和整理上报存档工作。协助考古发掘机构开 展境内考古发掘工作；协助做好市(局)考古项目初审和上报审 批等服务工作。(八)负责全市(局)县级以上重点文物保护单位的立标及保护工作。</w:t>
      </w:r>
      <w:r>
        <w:rPr>
          <w:rFonts w:ascii="仿宋" w:hAnsi="仿宋" w:eastAsia="仿宋"/>
          <w:color w:val="000000" w:themeColor="text1"/>
          <w:sz w:val="32"/>
          <w:szCs w:val="32"/>
        </w:rPr>
        <w:drawing>
          <wp:anchor distT="0" distB="0" distL="0" distR="0" simplePos="0" relativeHeight="251659264" behindDoc="0" locked="0" layoutInCell="1" allowOverlap="1">
            <wp:simplePos x="0" y="0"/>
            <wp:positionH relativeFrom="column">
              <wp:posOffset>6203315</wp:posOffset>
            </wp:positionH>
            <wp:positionV relativeFrom="paragraph">
              <wp:posOffset>1116330</wp:posOffset>
            </wp:positionV>
            <wp:extent cx="12700" cy="676275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 cstate="print"/>
                    <a:stretch>
                      <a:fillRect/>
                    </a:stretch>
                  </pic:blipFill>
                  <pic:spPr>
                    <a:xfrm>
                      <a:off x="0" y="0"/>
                      <a:ext cx="12669" cy="6762764"/>
                    </a:xfrm>
                    <a:prstGeom prst="rect">
                      <a:avLst/>
                    </a:prstGeom>
                  </pic:spPr>
                </pic:pic>
              </a:graphicData>
            </a:graphic>
          </wp:anchor>
        </w:drawing>
      </w:r>
      <w:r>
        <w:rPr>
          <w:rFonts w:ascii="仿宋" w:hAnsi="仿宋" w:eastAsia="仿宋"/>
          <w:color w:val="000000" w:themeColor="text1"/>
          <w:sz w:val="32"/>
          <w:szCs w:val="32"/>
        </w:rPr>
        <w:t>(九)负责全市(局)可移动文物、不可移动文物及其附属 文物的普查、登记、建档等工作。开展不可移动文物及其附属文 物的抢险加固、修缮(修复)养护、易地保护等工作。负责可移 动文物的修复保护工作。协助配合执法机关查处文物违法、犯罪 案件，对查处盗窃、破坏、走私文物案件提出文物方面专业性  意见。(十)负责全市(局)文化文物保护信息化建设和中心所属 文物的保护和资产管理。(十一)负责管理各项文化保护和文物事务经费使用情况。 指导全市(局)文化馆博物馆的建设及各文化馆、博物馆、图书 馆、美术馆之间的协作、交流工作。协助落实有关文物流通的管 理办法。(十二)加强文化文物、博物馆队伍建设。做好文化文物保 护法的宣传及解释工作，举办学术、展览(演)及公益活动，交流、 推介、宣传保护工作的成果和经验。指导历史文化保护和文物、  博物馆外事工作，促进对外文化交流。(十三)负责组织协调历史文化及文博系统科学研究和文物 保护科学技术工作。(十四)负责全市(局)的文物收藏和管理。负责全市(局) 的文物安全保卫工作。(十五)负责组织开展文物安全技术技能培训、学术交流和研讨、文物科技推广应用、文创产品研发等工作。(十六)负责庐山世界遗产监测预警平台(系统)的技术服 务工作。(十七)负责全市(局)文化类的创作研究、人才培养。(十八)参与全市(局)文物保护工程推进实施和质量监督；出具项目中涉及文物保护的专家意见；配合相关部门协调相关单 位实施基本建设和生产建设项目的文物保护、考古调查、勘探、 抢救性发掘，牵头实施社会突发性古墓葬考古发掘清理工作及文 物归档。(十九)配合相关部门做好历史文化名城、名镇、名村及历 史文化街区的调查研究、文物保护和活化利用工作。(二十)承办市委、市政府及市(局)文化广电和旅游发展 委员会交办的其他工作任务。</w:t>
      </w:r>
    </w:p>
    <w:p w14:paraId="37D19AE1">
      <w:pPr>
        <w:rPr>
          <w:b/>
          <w:sz w:val="36"/>
          <w:szCs w:val="36"/>
        </w:rPr>
      </w:pPr>
      <w:r>
        <w:rPr>
          <w:rFonts w:hint="eastAsia"/>
          <w:b/>
          <w:sz w:val="36"/>
          <w:szCs w:val="36"/>
        </w:rPr>
        <w:t>二、机构设置及人员情况</w:t>
      </w:r>
    </w:p>
    <w:p w14:paraId="01578DF6">
      <w:pPr>
        <w:ind w:firstLine="640" w:firstLineChars="200"/>
        <w:rPr>
          <w:rFonts w:ascii="仿宋" w:hAnsi="仿宋" w:eastAsia="仿宋"/>
          <w:b/>
          <w:color w:val="000000" w:themeColor="text1"/>
          <w:sz w:val="32"/>
          <w:szCs w:val="32"/>
        </w:rPr>
      </w:pPr>
      <w:r>
        <w:rPr>
          <w:rFonts w:ascii="仿宋" w:hAnsi="仿宋" w:eastAsia="仿宋"/>
          <w:sz w:val="32"/>
          <w:szCs w:val="32"/>
        </w:rPr>
        <w:t>202</w:t>
      </w:r>
      <w:r>
        <w:rPr>
          <w:rFonts w:hint="eastAsia" w:ascii="仿宋" w:hAnsi="仿宋" w:eastAsia="仿宋"/>
          <w:sz w:val="32"/>
          <w:szCs w:val="32"/>
        </w:rPr>
        <w:t>5年</w:t>
      </w:r>
      <w:r>
        <w:rPr>
          <w:rFonts w:hint="eastAsia" w:ascii="仿宋" w:hAnsi="仿宋" w:eastAsia="仿宋"/>
          <w:color w:val="000000" w:themeColor="text1"/>
          <w:sz w:val="32"/>
          <w:szCs w:val="32"/>
        </w:rPr>
        <w:t>庐山市（庐山风景名胜区管理局）文化文物保护中心</w:t>
      </w:r>
      <w:r>
        <w:rPr>
          <w:rFonts w:hint="eastAsia" w:ascii="仿宋" w:hAnsi="仿宋" w:eastAsia="仿宋"/>
          <w:sz w:val="32"/>
          <w:szCs w:val="32"/>
        </w:rPr>
        <w:t>内设处室</w:t>
      </w:r>
      <w:r>
        <w:rPr>
          <w:rFonts w:hint="eastAsia" w:ascii="仿宋_GB2312" w:eastAsia="仿宋_GB2312"/>
          <w:sz w:val="32"/>
          <w:szCs w:val="30"/>
          <w:u w:val="single"/>
          <w:lang w:val="en-US" w:eastAsia="zh-CN"/>
        </w:rPr>
        <w:t>9</w:t>
      </w:r>
      <w:r>
        <w:rPr>
          <w:rFonts w:hint="eastAsia" w:ascii="仿宋" w:hAnsi="仿宋" w:eastAsia="仿宋"/>
          <w:sz w:val="32"/>
          <w:szCs w:val="32"/>
        </w:rPr>
        <w:t>个，</w:t>
      </w:r>
      <w:r>
        <w:rPr>
          <w:rFonts w:hint="eastAsia" w:ascii="仿宋" w:hAnsi="仿宋" w:eastAsia="仿宋"/>
          <w:color w:val="000000" w:themeColor="text1"/>
          <w:sz w:val="32"/>
          <w:szCs w:val="32"/>
        </w:rPr>
        <w:t>包括</w:t>
      </w:r>
      <w:r>
        <w:rPr>
          <w:rFonts w:ascii="仿宋" w:hAnsi="仿宋" w:eastAsia="仿宋"/>
          <w:color w:val="000000" w:themeColor="text1"/>
          <w:sz w:val="32"/>
          <w:szCs w:val="32"/>
        </w:rPr>
        <w:t>( 一 ) 综 合 科</w:t>
      </w:r>
      <w:r>
        <w:rPr>
          <w:rFonts w:hint="eastAsia" w:ascii="仿宋" w:hAnsi="仿宋" w:eastAsia="仿宋"/>
          <w:color w:val="000000" w:themeColor="text1"/>
          <w:sz w:val="32"/>
          <w:szCs w:val="32"/>
        </w:rPr>
        <w:t>、</w:t>
      </w:r>
      <w:r>
        <w:rPr>
          <w:rFonts w:ascii="仿宋" w:hAnsi="仿宋" w:eastAsia="仿宋"/>
          <w:color w:val="000000" w:themeColor="text1"/>
          <w:sz w:val="32"/>
          <w:szCs w:val="32"/>
        </w:rPr>
        <w:t>(二)文物保护与考古科</w:t>
      </w:r>
      <w:r>
        <w:rPr>
          <w:rFonts w:hint="eastAsia" w:ascii="仿宋" w:hAnsi="仿宋" w:eastAsia="仿宋"/>
          <w:color w:val="000000" w:themeColor="text1"/>
          <w:sz w:val="32"/>
          <w:szCs w:val="32"/>
        </w:rPr>
        <w:t>、</w:t>
      </w:r>
      <w:r>
        <w:rPr>
          <w:rFonts w:ascii="仿宋" w:hAnsi="仿宋" w:eastAsia="仿宋"/>
          <w:color w:val="000000" w:themeColor="text1"/>
          <w:sz w:val="32"/>
          <w:szCs w:val="32"/>
        </w:rPr>
        <w:t>(三)世界遗产保护研究科</w:t>
      </w:r>
      <w:r>
        <w:rPr>
          <w:rFonts w:hint="eastAsia" w:ascii="仿宋" w:hAnsi="仿宋" w:eastAsia="仿宋"/>
          <w:color w:val="000000" w:themeColor="text1"/>
          <w:sz w:val="32"/>
          <w:szCs w:val="32"/>
        </w:rPr>
        <w:t>、</w:t>
      </w:r>
      <w:r>
        <w:rPr>
          <w:rFonts w:ascii="仿宋" w:hAnsi="仿宋" w:eastAsia="仿宋"/>
          <w:color w:val="000000" w:themeColor="text1"/>
          <w:sz w:val="32"/>
          <w:szCs w:val="32"/>
        </w:rPr>
        <w:t>(四)文化文物资源调查科</w:t>
      </w:r>
      <w:r>
        <w:rPr>
          <w:rFonts w:hint="eastAsia" w:ascii="仿宋" w:hAnsi="仿宋" w:eastAsia="仿宋"/>
          <w:color w:val="000000" w:themeColor="text1"/>
          <w:sz w:val="32"/>
          <w:szCs w:val="32"/>
        </w:rPr>
        <w:t>、</w:t>
      </w:r>
      <w:r>
        <w:rPr>
          <w:rFonts w:ascii="仿宋" w:hAnsi="仿宋" w:eastAsia="仿宋"/>
          <w:color w:val="000000" w:themeColor="text1"/>
          <w:sz w:val="32"/>
          <w:szCs w:val="32"/>
        </w:rPr>
        <w:t>(五)文化文物传承利用科</w:t>
      </w:r>
      <w:r>
        <w:rPr>
          <w:rFonts w:hint="eastAsia" w:ascii="仿宋" w:hAnsi="仿宋" w:eastAsia="仿宋"/>
          <w:color w:val="000000" w:themeColor="text1"/>
          <w:sz w:val="32"/>
          <w:szCs w:val="32"/>
        </w:rPr>
        <w:t>、</w:t>
      </w:r>
      <w:r>
        <w:rPr>
          <w:rFonts w:ascii="仿宋" w:hAnsi="仿宋" w:eastAsia="仿宋"/>
          <w:color w:val="000000" w:themeColor="text1"/>
          <w:sz w:val="32"/>
          <w:szCs w:val="32"/>
        </w:rPr>
        <w:t>(六)科普交流科</w:t>
      </w:r>
      <w:r>
        <w:rPr>
          <w:rFonts w:hint="eastAsia" w:ascii="仿宋" w:hAnsi="仿宋" w:eastAsia="仿宋"/>
          <w:color w:val="000000" w:themeColor="text1"/>
          <w:sz w:val="32"/>
          <w:szCs w:val="32"/>
        </w:rPr>
        <w:t>、</w:t>
      </w:r>
      <w:r>
        <w:rPr>
          <w:rFonts w:ascii="仿宋" w:hAnsi="仿宋" w:eastAsia="仿宋"/>
          <w:color w:val="000000" w:themeColor="text1"/>
          <w:sz w:val="32"/>
          <w:szCs w:val="32"/>
        </w:rPr>
        <w:t>(七)公共事务科</w:t>
      </w:r>
      <w:r>
        <w:rPr>
          <w:rFonts w:hint="eastAsia" w:ascii="仿宋" w:hAnsi="仿宋" w:eastAsia="仿宋"/>
          <w:color w:val="000000" w:themeColor="text1"/>
          <w:sz w:val="32"/>
          <w:szCs w:val="32"/>
        </w:rPr>
        <w:t>、</w:t>
      </w:r>
      <w:r>
        <w:rPr>
          <w:rFonts w:ascii="仿宋" w:hAnsi="仿宋" w:eastAsia="仿宋"/>
          <w:color w:val="000000" w:themeColor="text1"/>
          <w:sz w:val="32"/>
          <w:szCs w:val="32"/>
        </w:rPr>
        <w:t>(八)文化创作研究科</w:t>
      </w:r>
      <w:r>
        <w:rPr>
          <w:rFonts w:hint="eastAsia" w:ascii="仿宋" w:hAnsi="仿宋" w:eastAsia="仿宋"/>
          <w:color w:val="000000" w:themeColor="text1"/>
          <w:sz w:val="32"/>
          <w:szCs w:val="32"/>
        </w:rPr>
        <w:t>、</w:t>
      </w:r>
      <w:r>
        <w:rPr>
          <w:rFonts w:ascii="仿宋" w:hAnsi="仿宋" w:eastAsia="仿宋"/>
          <w:color w:val="000000" w:themeColor="text1"/>
          <w:sz w:val="32"/>
          <w:szCs w:val="32"/>
        </w:rPr>
        <w:t>(九)革命文物管护科</w:t>
      </w:r>
      <w:r>
        <w:rPr>
          <w:rFonts w:hint="eastAsia" w:ascii="仿宋" w:hAnsi="仿宋" w:eastAsia="仿宋"/>
          <w:color w:val="000000" w:themeColor="text1"/>
          <w:sz w:val="32"/>
          <w:szCs w:val="32"/>
        </w:rPr>
        <w:t>。</w:t>
      </w:r>
    </w:p>
    <w:p w14:paraId="417AD8A0">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rPr>
        <w:t>89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89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rPr>
        <w:t>89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1</w:t>
      </w:r>
      <w:r>
        <w:rPr>
          <w:rFonts w:ascii="仿宋" w:hAnsi="仿宋" w:eastAsia="仿宋"/>
          <w:sz w:val="32"/>
          <w:szCs w:val="32"/>
        </w:rPr>
        <w:t>人,退休人数小计</w:t>
      </w:r>
      <w:r>
        <w:rPr>
          <w:rFonts w:hint="eastAsia" w:ascii="仿宋" w:hAnsi="仿宋" w:eastAsia="仿宋"/>
          <w:sz w:val="32"/>
          <w:szCs w:val="32"/>
        </w:rPr>
        <w:t>56</w:t>
      </w:r>
      <w:r>
        <w:rPr>
          <w:rFonts w:ascii="仿宋" w:hAnsi="仿宋" w:eastAsia="仿宋"/>
          <w:sz w:val="32"/>
          <w:szCs w:val="32"/>
        </w:rPr>
        <w:t>人,遗属人数</w:t>
      </w:r>
      <w:r>
        <w:rPr>
          <w:rFonts w:hint="eastAsia" w:ascii="仿宋" w:hAnsi="仿宋" w:eastAsia="仿宋"/>
          <w:sz w:val="32"/>
          <w:szCs w:val="32"/>
        </w:rPr>
        <w:t>0</w:t>
      </w:r>
      <w:r>
        <w:rPr>
          <w:rFonts w:ascii="仿宋" w:hAnsi="仿宋" w:eastAsia="仿宋"/>
          <w:sz w:val="32"/>
          <w:szCs w:val="32"/>
        </w:rPr>
        <w:t>人。</w:t>
      </w:r>
      <w:r>
        <w:fldChar w:fldCharType="end"/>
      </w:r>
    </w:p>
    <w:p w14:paraId="5329AA80">
      <w:pPr>
        <w:widowControl/>
        <w:spacing w:line="580" w:lineRule="exact"/>
        <w:jc w:val="center"/>
        <w:rPr>
          <w:rFonts w:ascii="仿宋_GB2312" w:eastAsia="仿宋_GB2312"/>
          <w:b/>
          <w:szCs w:val="30"/>
        </w:rPr>
      </w:pPr>
    </w:p>
    <w:p w14:paraId="3FB21A1C">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庐山市（庐山风景名胜区管理局）文化文物保护中心2025年单位预算表</w:t>
      </w:r>
    </w:p>
    <w:p w14:paraId="09D02AA5">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0EC87A7E">
      <w:pPr>
        <w:ind w:firstLine="640" w:firstLineChars="200"/>
        <w:jc w:val="left"/>
        <w:rPr>
          <w:rStyle w:val="11"/>
          <w:rFonts w:ascii="仿宋" w:hAnsi="仿宋" w:eastAsia="仿宋"/>
          <w:bCs/>
          <w:sz w:val="32"/>
          <w:szCs w:val="32"/>
        </w:rPr>
      </w:pPr>
    </w:p>
    <w:p w14:paraId="514C7DC6">
      <w:pPr>
        <w:ind w:firstLine="640" w:firstLineChars="200"/>
        <w:jc w:val="left"/>
        <w:rPr>
          <w:rStyle w:val="11"/>
          <w:rFonts w:ascii="仿宋" w:hAnsi="仿宋" w:eastAsia="仿宋"/>
          <w:bCs/>
          <w:sz w:val="32"/>
          <w:szCs w:val="32"/>
        </w:rPr>
      </w:pPr>
    </w:p>
    <w:p w14:paraId="20D7FD1F">
      <w:pPr>
        <w:ind w:firstLine="640" w:firstLineChars="200"/>
        <w:jc w:val="left"/>
        <w:rPr>
          <w:rStyle w:val="11"/>
          <w:rFonts w:ascii="仿宋" w:hAnsi="仿宋" w:eastAsia="仿宋"/>
          <w:bCs/>
          <w:sz w:val="32"/>
          <w:szCs w:val="32"/>
        </w:rPr>
      </w:pPr>
    </w:p>
    <w:p w14:paraId="6BA87481">
      <w:pPr>
        <w:ind w:firstLine="640" w:firstLineChars="200"/>
        <w:jc w:val="left"/>
        <w:rPr>
          <w:rStyle w:val="11"/>
          <w:rFonts w:ascii="仿宋" w:hAnsi="仿宋" w:eastAsia="仿宋"/>
          <w:bCs/>
          <w:sz w:val="32"/>
          <w:szCs w:val="32"/>
        </w:rPr>
      </w:pPr>
    </w:p>
    <w:p w14:paraId="415F1965">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庐山市（庐山风景名胜区管理局）文化文物保护中心2025年单位预算情况说明</w:t>
      </w:r>
    </w:p>
    <w:p w14:paraId="518D5150">
      <w:pPr>
        <w:widowControl/>
        <w:spacing w:line="580" w:lineRule="exact"/>
        <w:jc w:val="center"/>
        <w:rPr>
          <w:rFonts w:ascii="仿宋_GB2312" w:eastAsia="仿宋_GB2312"/>
          <w:b/>
          <w:sz w:val="32"/>
          <w:szCs w:val="30"/>
        </w:rPr>
      </w:pPr>
    </w:p>
    <w:p w14:paraId="47685CA8">
      <w:pPr>
        <w:widowControl/>
        <w:spacing w:line="580" w:lineRule="exact"/>
        <w:jc w:val="left"/>
        <w:rPr>
          <w:rFonts w:ascii="楷体_GB2312" w:eastAsia="楷体_GB2312"/>
          <w:b/>
          <w:sz w:val="32"/>
          <w:szCs w:val="30"/>
        </w:rPr>
      </w:pPr>
      <w:r>
        <w:rPr>
          <w:rFonts w:hint="eastAsia" w:ascii="楷体_GB2312" w:eastAsia="楷体_GB2312"/>
          <w:b/>
          <w:sz w:val="32"/>
          <w:szCs w:val="30"/>
        </w:rPr>
        <w:t>一、2025年部门预算收支情况说明</w:t>
      </w:r>
    </w:p>
    <w:p w14:paraId="23FFBD27">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2891151">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rPr>
        <w:t>5年庐山市（庐山风景名胜区管理局）文化文物保护中心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rPr>
        <w:t>3606.93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3606.93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3606.93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rPr>
        <w:t>3606.93</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7635C92A">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32567E50">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rPr>
        <w:t>3606.93</w:t>
      </w:r>
      <w:r>
        <w:rPr>
          <w:rStyle w:val="11"/>
          <w:rFonts w:ascii="仿宋" w:hAnsi="仿宋" w:eastAsia="仿宋"/>
          <w:sz w:val="32"/>
          <w:szCs w:val="32"/>
        </w:rPr>
        <w:t>万元,较上年预算安排增加</w:t>
      </w:r>
      <w:r>
        <w:rPr>
          <w:rStyle w:val="11"/>
          <w:rFonts w:hint="eastAsia" w:ascii="仿宋" w:hAnsi="仿宋" w:eastAsia="仿宋"/>
          <w:sz w:val="32"/>
          <w:szCs w:val="32"/>
        </w:rPr>
        <w:t>3606.93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1082436A">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1866.32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1866.32</w:t>
      </w:r>
      <w:r>
        <w:rPr>
          <w:rStyle w:val="11"/>
          <w:rFonts w:ascii="仿宋" w:hAnsi="仿宋" w:eastAsia="仿宋"/>
          <w:sz w:val="32"/>
          <w:szCs w:val="32"/>
        </w:rPr>
        <w:t>万元;其中：工资福利支出</w:t>
      </w:r>
      <w:r>
        <w:rPr>
          <w:rStyle w:val="11"/>
          <w:rFonts w:hint="eastAsia" w:ascii="仿宋" w:hAnsi="仿宋" w:eastAsia="仿宋"/>
          <w:sz w:val="32"/>
          <w:szCs w:val="32"/>
        </w:rPr>
        <w:t>1532.35</w:t>
      </w:r>
      <w:r>
        <w:rPr>
          <w:rStyle w:val="11"/>
          <w:rFonts w:ascii="仿宋" w:hAnsi="仿宋" w:eastAsia="仿宋"/>
          <w:sz w:val="32"/>
          <w:szCs w:val="32"/>
        </w:rPr>
        <w:t>万元,商品和服务支出</w:t>
      </w:r>
      <w:r>
        <w:rPr>
          <w:rStyle w:val="11"/>
          <w:rFonts w:hint="eastAsia" w:ascii="仿宋" w:hAnsi="仿宋" w:eastAsia="仿宋"/>
          <w:sz w:val="32"/>
          <w:szCs w:val="32"/>
        </w:rPr>
        <w:t>174</w:t>
      </w:r>
      <w:r>
        <w:rPr>
          <w:rStyle w:val="11"/>
          <w:rFonts w:ascii="仿宋" w:hAnsi="仿宋" w:eastAsia="仿宋"/>
          <w:sz w:val="32"/>
          <w:szCs w:val="32"/>
        </w:rPr>
        <w:t>万元,对个人和家庭的补助</w:t>
      </w:r>
      <w:r>
        <w:rPr>
          <w:rStyle w:val="11"/>
          <w:rFonts w:hint="eastAsia" w:ascii="仿宋" w:hAnsi="仿宋" w:eastAsia="仿宋"/>
          <w:sz w:val="32"/>
          <w:szCs w:val="32"/>
        </w:rPr>
        <w:t>149.97</w:t>
      </w:r>
      <w:r>
        <w:rPr>
          <w:rStyle w:val="11"/>
          <w:rFonts w:ascii="仿宋" w:hAnsi="仿宋" w:eastAsia="仿宋"/>
          <w:sz w:val="32"/>
          <w:szCs w:val="32"/>
        </w:rPr>
        <w:t>万元,资本性支出</w:t>
      </w:r>
      <w:r>
        <w:rPr>
          <w:rStyle w:val="11"/>
          <w:rFonts w:hint="eastAsia" w:ascii="仿宋" w:hAnsi="仿宋" w:eastAsia="仿宋"/>
          <w:sz w:val="32"/>
          <w:szCs w:val="32"/>
        </w:rPr>
        <w:t>10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1740.61</w:t>
      </w:r>
      <w:r>
        <w:rPr>
          <w:rStyle w:val="11"/>
          <w:rFonts w:ascii="仿宋" w:hAnsi="仿宋" w:eastAsia="仿宋"/>
          <w:sz w:val="32"/>
          <w:szCs w:val="32"/>
        </w:rPr>
        <w:t>万元,较上年预算安排增加</w:t>
      </w:r>
      <w:r>
        <w:rPr>
          <w:rStyle w:val="11"/>
          <w:rFonts w:hint="eastAsia" w:ascii="仿宋" w:hAnsi="仿宋" w:eastAsia="仿宋"/>
          <w:sz w:val="32"/>
          <w:szCs w:val="32"/>
        </w:rPr>
        <w:t>1740.61</w:t>
      </w:r>
      <w:r>
        <w:rPr>
          <w:rStyle w:val="11"/>
          <w:rFonts w:ascii="仿宋" w:hAnsi="仿宋" w:eastAsia="仿宋"/>
          <w:sz w:val="32"/>
          <w:szCs w:val="32"/>
        </w:rPr>
        <w:t>万元;其中：商品和服务支出</w:t>
      </w:r>
      <w:r>
        <w:rPr>
          <w:rStyle w:val="11"/>
          <w:rFonts w:hint="eastAsia" w:ascii="仿宋" w:hAnsi="仿宋" w:eastAsia="仿宋"/>
          <w:sz w:val="32"/>
          <w:szCs w:val="32"/>
        </w:rPr>
        <w:t>1740.61</w:t>
      </w:r>
      <w:r>
        <w:rPr>
          <w:rStyle w:val="11"/>
          <w:rFonts w:ascii="仿宋" w:hAnsi="仿宋" w:eastAsia="仿宋"/>
          <w:sz w:val="32"/>
          <w:szCs w:val="32"/>
        </w:rPr>
        <w:t>万元,资本性支出</w:t>
      </w:r>
      <w:r>
        <w:rPr>
          <w:rStyle w:val="11"/>
          <w:rFonts w:hint="eastAsia" w:ascii="仿宋" w:hAnsi="仿宋" w:eastAsia="仿宋"/>
          <w:sz w:val="32"/>
          <w:szCs w:val="32"/>
        </w:rPr>
        <w:t>0</w:t>
      </w:r>
      <w:r>
        <w:rPr>
          <w:rStyle w:val="11"/>
          <w:rFonts w:ascii="仿宋" w:hAnsi="仿宋" w:eastAsia="仿宋"/>
          <w:sz w:val="32"/>
          <w:szCs w:val="32"/>
        </w:rPr>
        <w:t>万元。</w:t>
      </w:r>
      <w:r>
        <w:fldChar w:fldCharType="end"/>
      </w:r>
    </w:p>
    <w:p w14:paraId="4DD8E673">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2388.23</w:t>
      </w:r>
      <w:r>
        <w:rPr>
          <w:rStyle w:val="11"/>
          <w:rFonts w:ascii="仿宋" w:hAnsi="仿宋" w:eastAsia="仿宋"/>
          <w:sz w:val="32"/>
          <w:szCs w:val="32"/>
        </w:rPr>
        <w:t>万元,较上年</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rPr>
        <w:t>2388.23</w:t>
      </w:r>
      <w:r>
        <w:rPr>
          <w:rStyle w:val="11"/>
          <w:rFonts w:ascii="仿宋" w:hAnsi="仿宋" w:eastAsia="仿宋"/>
          <w:sz w:val="32"/>
          <w:szCs w:val="32"/>
        </w:rPr>
        <w:t>万元;卫生健康支出</w:t>
      </w:r>
      <w:r>
        <w:rPr>
          <w:rStyle w:val="11"/>
          <w:rFonts w:hint="eastAsia" w:ascii="仿宋" w:hAnsi="仿宋" w:eastAsia="仿宋"/>
          <w:sz w:val="32"/>
          <w:szCs w:val="32"/>
        </w:rPr>
        <w:t>92.55</w:t>
      </w:r>
      <w:r>
        <w:rPr>
          <w:rStyle w:val="11"/>
          <w:rFonts w:ascii="仿宋" w:hAnsi="仿宋" w:eastAsia="仿宋"/>
          <w:sz w:val="32"/>
          <w:szCs w:val="32"/>
        </w:rPr>
        <w:t>万元,较上年预算安排增加</w:t>
      </w:r>
      <w:r>
        <w:rPr>
          <w:rStyle w:val="11"/>
          <w:rFonts w:hint="eastAsia" w:ascii="仿宋" w:hAnsi="仿宋" w:eastAsia="仿宋"/>
          <w:sz w:val="32"/>
          <w:szCs w:val="32"/>
        </w:rPr>
        <w:t>92.55</w:t>
      </w:r>
      <w:r>
        <w:rPr>
          <w:rStyle w:val="11"/>
          <w:rFonts w:ascii="仿宋" w:hAnsi="仿宋" w:eastAsia="仿宋"/>
          <w:sz w:val="32"/>
          <w:szCs w:val="32"/>
        </w:rPr>
        <w:t>万元;住房保障支出</w:t>
      </w:r>
      <w:r>
        <w:rPr>
          <w:rStyle w:val="11"/>
          <w:rFonts w:hint="eastAsia" w:ascii="仿宋" w:hAnsi="仿宋" w:eastAsia="仿宋"/>
          <w:sz w:val="32"/>
          <w:szCs w:val="32"/>
        </w:rPr>
        <w:t>127.73</w:t>
      </w:r>
      <w:r>
        <w:rPr>
          <w:rStyle w:val="11"/>
          <w:rFonts w:ascii="仿宋" w:hAnsi="仿宋" w:eastAsia="仿宋"/>
          <w:sz w:val="32"/>
          <w:szCs w:val="32"/>
        </w:rPr>
        <w:t>万元,较上年预算安排增加</w:t>
      </w:r>
      <w:r>
        <w:rPr>
          <w:rStyle w:val="11"/>
          <w:rFonts w:hint="eastAsia" w:ascii="仿宋" w:hAnsi="仿宋" w:eastAsia="仿宋"/>
          <w:sz w:val="32"/>
          <w:szCs w:val="32"/>
        </w:rPr>
        <w:t>127.73</w:t>
      </w:r>
      <w:r>
        <w:rPr>
          <w:rStyle w:val="11"/>
          <w:rFonts w:ascii="仿宋" w:hAnsi="仿宋" w:eastAsia="仿宋"/>
          <w:sz w:val="32"/>
          <w:szCs w:val="32"/>
        </w:rPr>
        <w:t>万元。</w:t>
      </w:r>
      <w:r>
        <w:fldChar w:fldCharType="end"/>
      </w:r>
    </w:p>
    <w:p w14:paraId="5FD0AFBE">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rPr>
        <w:t>1532.35</w:t>
      </w:r>
      <w:r>
        <w:rPr>
          <w:rStyle w:val="11"/>
          <w:rFonts w:ascii="仿宋" w:hAnsi="仿宋" w:eastAsia="仿宋"/>
          <w:sz w:val="32"/>
          <w:szCs w:val="32"/>
        </w:rPr>
        <w:t>万元,较上年预算安排增加</w:t>
      </w:r>
      <w:r>
        <w:rPr>
          <w:rStyle w:val="11"/>
          <w:rFonts w:hint="eastAsia" w:ascii="仿宋" w:hAnsi="仿宋" w:eastAsia="仿宋"/>
          <w:sz w:val="32"/>
          <w:szCs w:val="32"/>
        </w:rPr>
        <w:t>1532.35</w:t>
      </w:r>
      <w:r>
        <w:rPr>
          <w:rStyle w:val="11"/>
          <w:rFonts w:ascii="仿宋" w:hAnsi="仿宋" w:eastAsia="仿宋"/>
          <w:sz w:val="32"/>
          <w:szCs w:val="32"/>
        </w:rPr>
        <w:t>万元;商品和服务支出</w:t>
      </w:r>
      <w:r>
        <w:rPr>
          <w:rStyle w:val="11"/>
          <w:rFonts w:hint="eastAsia" w:ascii="仿宋" w:hAnsi="仿宋" w:eastAsia="仿宋"/>
          <w:sz w:val="32"/>
          <w:szCs w:val="32"/>
        </w:rPr>
        <w:t>174</w:t>
      </w:r>
      <w:r>
        <w:rPr>
          <w:rStyle w:val="11"/>
          <w:rFonts w:ascii="仿宋" w:hAnsi="仿宋" w:eastAsia="仿宋"/>
          <w:sz w:val="32"/>
          <w:szCs w:val="32"/>
        </w:rPr>
        <w:t>万元,较上年预算安排增加</w:t>
      </w:r>
      <w:r>
        <w:rPr>
          <w:rStyle w:val="11"/>
          <w:rFonts w:hint="eastAsia" w:ascii="仿宋" w:hAnsi="仿宋" w:eastAsia="仿宋"/>
          <w:sz w:val="32"/>
          <w:szCs w:val="32"/>
        </w:rPr>
        <w:t>174</w:t>
      </w:r>
      <w:r>
        <w:rPr>
          <w:rStyle w:val="11"/>
          <w:rFonts w:ascii="仿宋" w:hAnsi="仿宋" w:eastAsia="仿宋"/>
          <w:sz w:val="32"/>
          <w:szCs w:val="32"/>
        </w:rPr>
        <w:t>万元;对个人和家庭的补助</w:t>
      </w:r>
      <w:r>
        <w:rPr>
          <w:rStyle w:val="11"/>
          <w:rFonts w:hint="eastAsia" w:ascii="仿宋" w:hAnsi="仿宋" w:eastAsia="仿宋"/>
          <w:sz w:val="32"/>
          <w:szCs w:val="32"/>
        </w:rPr>
        <w:t>149.97</w:t>
      </w:r>
      <w:r>
        <w:rPr>
          <w:rStyle w:val="11"/>
          <w:rFonts w:ascii="仿宋" w:hAnsi="仿宋" w:eastAsia="仿宋"/>
          <w:sz w:val="32"/>
          <w:szCs w:val="32"/>
        </w:rPr>
        <w:t>万元,较上年预算安排增加</w:t>
      </w:r>
      <w:r>
        <w:rPr>
          <w:rStyle w:val="11"/>
          <w:rFonts w:hint="eastAsia" w:ascii="仿宋" w:hAnsi="仿宋" w:eastAsia="仿宋"/>
          <w:sz w:val="32"/>
          <w:szCs w:val="32"/>
        </w:rPr>
        <w:t>149.97</w:t>
      </w:r>
      <w:r>
        <w:rPr>
          <w:rStyle w:val="11"/>
          <w:rFonts w:ascii="仿宋" w:hAnsi="仿宋" w:eastAsia="仿宋"/>
          <w:sz w:val="32"/>
          <w:szCs w:val="32"/>
        </w:rPr>
        <w:t>万元;资本性支出</w:t>
      </w:r>
      <w:r>
        <w:rPr>
          <w:rStyle w:val="11"/>
          <w:rFonts w:hint="eastAsia" w:ascii="仿宋" w:hAnsi="仿宋" w:eastAsia="仿宋"/>
          <w:sz w:val="32"/>
          <w:szCs w:val="32"/>
        </w:rPr>
        <w:t>10</w:t>
      </w:r>
      <w:r>
        <w:rPr>
          <w:rStyle w:val="11"/>
          <w:rFonts w:ascii="仿宋" w:hAnsi="仿宋" w:eastAsia="仿宋"/>
          <w:sz w:val="32"/>
          <w:szCs w:val="32"/>
        </w:rPr>
        <w:t>万元,较上年预算安排增加</w:t>
      </w:r>
      <w:r>
        <w:rPr>
          <w:rStyle w:val="11"/>
          <w:rFonts w:hint="eastAsia" w:ascii="仿宋" w:hAnsi="仿宋" w:eastAsia="仿宋"/>
          <w:sz w:val="32"/>
          <w:szCs w:val="32"/>
        </w:rPr>
        <w:t>10</w:t>
      </w:r>
      <w:r>
        <w:rPr>
          <w:rStyle w:val="11"/>
          <w:rFonts w:ascii="仿宋" w:hAnsi="仿宋" w:eastAsia="仿宋"/>
          <w:sz w:val="32"/>
          <w:szCs w:val="32"/>
        </w:rPr>
        <w:t>万元。</w:t>
      </w:r>
      <w:r>
        <w:fldChar w:fldCharType="end"/>
      </w:r>
    </w:p>
    <w:p w14:paraId="22C5F82D">
      <w:pPr>
        <w:ind w:firstLine="420" w:firstLineChars="200"/>
      </w:pPr>
    </w:p>
    <w:p w14:paraId="2907343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2EC9B9E6">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rPr>
        <w:t>3606.93</w:t>
      </w:r>
      <w:r>
        <w:rPr>
          <w:rStyle w:val="11"/>
          <w:rFonts w:ascii="仿宋" w:hAnsi="仿宋" w:eastAsia="仿宋"/>
          <w:sz w:val="32"/>
          <w:szCs w:val="32"/>
        </w:rPr>
        <w:t>万元,较上年预算安排增加</w:t>
      </w:r>
      <w:r>
        <w:rPr>
          <w:rStyle w:val="11"/>
          <w:rFonts w:hint="eastAsia" w:ascii="仿宋" w:hAnsi="仿宋" w:eastAsia="仿宋"/>
          <w:sz w:val="32"/>
          <w:szCs w:val="32"/>
        </w:rPr>
        <w:t>3606.93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0353F652">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2388.23</w:t>
      </w:r>
      <w:r>
        <w:rPr>
          <w:rStyle w:val="11"/>
          <w:rFonts w:ascii="仿宋" w:hAnsi="仿宋" w:eastAsia="仿宋"/>
          <w:sz w:val="32"/>
          <w:szCs w:val="32"/>
        </w:rPr>
        <w:t>万元,较上年预算安排增加</w:t>
      </w:r>
      <w:r>
        <w:rPr>
          <w:rStyle w:val="11"/>
          <w:rFonts w:hint="eastAsia" w:ascii="仿宋" w:hAnsi="仿宋" w:eastAsia="仿宋"/>
          <w:sz w:val="32"/>
          <w:szCs w:val="32"/>
        </w:rPr>
        <w:t>2388.23</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社会保障和就业支出</w:t>
      </w:r>
      <w:r>
        <w:rPr>
          <w:rStyle w:val="11"/>
          <w:rFonts w:hint="eastAsia" w:ascii="仿宋" w:hAnsi="仿宋" w:eastAsia="仿宋"/>
          <w:sz w:val="32"/>
          <w:szCs w:val="32"/>
        </w:rPr>
        <w:t>234.92</w:t>
      </w:r>
      <w:r>
        <w:rPr>
          <w:rStyle w:val="11"/>
          <w:rFonts w:ascii="仿宋" w:hAnsi="仿宋" w:eastAsia="仿宋"/>
          <w:sz w:val="32"/>
          <w:szCs w:val="32"/>
        </w:rPr>
        <w:t>万元,较上年预算安排增加</w:t>
      </w:r>
      <w:r>
        <w:rPr>
          <w:rStyle w:val="11"/>
          <w:rFonts w:hint="eastAsia" w:ascii="仿宋" w:hAnsi="仿宋" w:eastAsia="仿宋"/>
          <w:sz w:val="32"/>
          <w:szCs w:val="32"/>
        </w:rPr>
        <w:t>234.92</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卫生健康支出</w:t>
      </w:r>
      <w:r>
        <w:rPr>
          <w:rStyle w:val="11"/>
          <w:rFonts w:hint="eastAsia" w:ascii="仿宋" w:hAnsi="仿宋" w:eastAsia="仿宋"/>
          <w:sz w:val="32"/>
          <w:szCs w:val="32"/>
        </w:rPr>
        <w:t>92.55</w:t>
      </w:r>
      <w:r>
        <w:rPr>
          <w:rStyle w:val="11"/>
          <w:rFonts w:ascii="仿宋" w:hAnsi="仿宋" w:eastAsia="仿宋"/>
          <w:sz w:val="32"/>
          <w:szCs w:val="32"/>
        </w:rPr>
        <w:t>万元,较上年预算安排增加</w:t>
      </w:r>
      <w:r>
        <w:rPr>
          <w:rStyle w:val="11"/>
          <w:rFonts w:hint="eastAsia" w:ascii="仿宋" w:hAnsi="仿宋" w:eastAsia="仿宋"/>
          <w:sz w:val="32"/>
          <w:szCs w:val="32"/>
        </w:rPr>
        <w:t>92.55</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住房保障支出</w:t>
      </w:r>
      <w:r>
        <w:rPr>
          <w:rStyle w:val="11"/>
          <w:rFonts w:hint="eastAsia" w:ascii="仿宋" w:hAnsi="仿宋" w:eastAsia="仿宋"/>
          <w:sz w:val="32"/>
          <w:szCs w:val="32"/>
        </w:rPr>
        <w:t>127.73</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较上年预算安排增加</w:t>
      </w:r>
      <w:r>
        <w:rPr>
          <w:rStyle w:val="11"/>
          <w:rFonts w:hint="eastAsia" w:ascii="仿宋" w:hAnsi="仿宋" w:eastAsia="仿宋"/>
          <w:sz w:val="32"/>
          <w:szCs w:val="32"/>
        </w:rPr>
        <w:t>127.73</w:t>
      </w:r>
      <w:r>
        <w:rPr>
          <w:rStyle w:val="11"/>
          <w:rFonts w:ascii="仿宋" w:hAnsi="仿宋" w:eastAsia="仿宋"/>
          <w:sz w:val="32"/>
          <w:szCs w:val="32"/>
        </w:rPr>
        <w:t>万元。</w:t>
      </w:r>
      <w:r>
        <w:fldChar w:fldCharType="end"/>
      </w:r>
    </w:p>
    <w:p w14:paraId="4226D687">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rPr>
        <w:t>1866.32</w:t>
      </w:r>
      <w:r>
        <w:rPr>
          <w:rStyle w:val="11"/>
          <w:rFonts w:ascii="仿宋" w:hAnsi="仿宋" w:eastAsia="仿宋"/>
          <w:sz w:val="32"/>
          <w:szCs w:val="32"/>
        </w:rPr>
        <w:t>万元,较上年预算安排增加</w:t>
      </w:r>
      <w:r>
        <w:rPr>
          <w:rStyle w:val="11"/>
          <w:rFonts w:hint="eastAsia" w:ascii="仿宋" w:hAnsi="仿宋" w:eastAsia="仿宋"/>
          <w:sz w:val="32"/>
          <w:szCs w:val="32"/>
        </w:rPr>
        <w:t>1866.32</w:t>
      </w:r>
      <w:r>
        <w:rPr>
          <w:rStyle w:val="11"/>
          <w:rFonts w:ascii="仿宋" w:hAnsi="仿宋" w:eastAsia="仿宋"/>
          <w:sz w:val="32"/>
          <w:szCs w:val="32"/>
        </w:rPr>
        <w:t>万元;其中：工资福利支出</w:t>
      </w:r>
      <w:r>
        <w:rPr>
          <w:rStyle w:val="11"/>
          <w:rFonts w:hint="eastAsia" w:ascii="仿宋" w:hAnsi="仿宋" w:eastAsia="仿宋"/>
          <w:sz w:val="32"/>
          <w:szCs w:val="32"/>
        </w:rPr>
        <w:t>1532.35</w:t>
      </w:r>
      <w:r>
        <w:rPr>
          <w:rStyle w:val="11"/>
          <w:rFonts w:ascii="仿宋" w:hAnsi="仿宋" w:eastAsia="仿宋"/>
          <w:sz w:val="32"/>
          <w:szCs w:val="32"/>
        </w:rPr>
        <w:t>万元,商品和服务支出</w:t>
      </w:r>
      <w:r>
        <w:rPr>
          <w:rStyle w:val="11"/>
          <w:rFonts w:hint="eastAsia" w:ascii="仿宋" w:hAnsi="仿宋" w:eastAsia="仿宋"/>
          <w:sz w:val="32"/>
          <w:szCs w:val="32"/>
        </w:rPr>
        <w:t>174</w:t>
      </w:r>
      <w:r>
        <w:rPr>
          <w:rStyle w:val="11"/>
          <w:rFonts w:ascii="仿宋" w:hAnsi="仿宋" w:eastAsia="仿宋"/>
          <w:sz w:val="32"/>
          <w:szCs w:val="32"/>
        </w:rPr>
        <w:t>万元,对个人和家庭的补助</w:t>
      </w:r>
      <w:r>
        <w:rPr>
          <w:rStyle w:val="11"/>
          <w:rFonts w:hint="eastAsia" w:ascii="仿宋" w:hAnsi="仿宋" w:eastAsia="仿宋"/>
          <w:sz w:val="32"/>
          <w:szCs w:val="32"/>
        </w:rPr>
        <w:t>_</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1690.61</w:t>
      </w:r>
      <w:r>
        <w:rPr>
          <w:rStyle w:val="11"/>
          <w:rFonts w:ascii="仿宋" w:hAnsi="仿宋" w:eastAsia="仿宋"/>
          <w:sz w:val="32"/>
          <w:szCs w:val="32"/>
        </w:rPr>
        <w:t>万元,较上年预算安排增加</w:t>
      </w:r>
      <w:r>
        <w:rPr>
          <w:rStyle w:val="11"/>
          <w:rFonts w:hint="eastAsia" w:ascii="仿宋" w:hAnsi="仿宋" w:eastAsia="仿宋"/>
          <w:sz w:val="32"/>
          <w:szCs w:val="32"/>
        </w:rPr>
        <w:t>1690.61</w:t>
      </w:r>
      <w:r>
        <w:rPr>
          <w:rStyle w:val="11"/>
          <w:rFonts w:ascii="仿宋" w:hAnsi="仿宋" w:eastAsia="仿宋"/>
          <w:sz w:val="32"/>
          <w:szCs w:val="32"/>
        </w:rPr>
        <w:t>万元;其中：商品和服务支出</w:t>
      </w:r>
      <w:r>
        <w:rPr>
          <w:rStyle w:val="11"/>
          <w:rFonts w:hint="eastAsia" w:ascii="仿宋" w:hAnsi="仿宋" w:eastAsia="仿宋"/>
          <w:sz w:val="32"/>
          <w:szCs w:val="32"/>
        </w:rPr>
        <w:t>1690.61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694142FF">
      <w:pPr>
        <w:ind w:firstLine="420" w:firstLineChars="200"/>
      </w:pPr>
    </w:p>
    <w:p w14:paraId="53D84B82">
      <w:pPr>
        <w:ind w:firstLine="420" w:firstLineChars="200"/>
      </w:pPr>
    </w:p>
    <w:p w14:paraId="6AFB5A9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73560FD9">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为1168.70万元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${page400644146.ds215660413_REP_BGT_T_HC1100002019_DXQ02_S_ZFXJJ}</w:instrText>
      </w:r>
      <w:r>
        <w:rPr>
          <w:rStyle w:val="11"/>
          <w:rFonts w:ascii="仿宋" w:hAnsi="仿宋" w:eastAsia="仿宋"/>
          <w:sz w:val="32"/>
          <w:szCs w:val="32"/>
        </w:rPr>
        <w:fldChar w:fldCharType="end"/>
      </w:r>
    </w:p>
    <w:p w14:paraId="4D27474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类别划分：征地和拆迁补偿支出1168.70万元，项目支出1168.70万元，其中商品服务支出1168.70万元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02414AAB">
      <w:pPr>
        <w:numPr>
          <w:ilvl w:val="0"/>
          <w:numId w:val="1"/>
        </w:num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68B51210">
      <w:pPr>
        <w:widowControl/>
        <w:ind w:firstLine="640" w:firstLineChars="200"/>
        <w:rPr>
          <w:rStyle w:val="11"/>
          <w:rFonts w:ascii="Adobe 仿宋 Std R" w:hAnsi="Adobe 仿宋 Std R" w:eastAsia="Adobe 仿宋 Std R"/>
          <w:sz w:val="32"/>
          <w:szCs w:val="32"/>
        </w:rPr>
      </w:pPr>
      <w:r>
        <w:rPr>
          <w:rStyle w:val="11"/>
          <w:rFonts w:hint="eastAsia" w:ascii="Adobe 仿宋 Std R" w:hAnsi="Adobe 仿宋 Std R" w:eastAsia="Adobe 仿宋 Std R"/>
          <w:sz w:val="32"/>
          <w:szCs w:val="32"/>
        </w:rPr>
        <w:t>本部门没有使用国有资本经营预算拨款安排的支出</w:t>
      </w:r>
    </w:p>
    <w:p w14:paraId="7F4C1B97">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1B8804F1">
      <w:pPr>
        <w:widowControl/>
        <w:ind w:firstLine="640" w:firstLineChars="200"/>
        <w:rPr>
          <w:rStyle w:val="11"/>
          <w:rFonts w:hint="eastAsia" w:ascii="Adobe 仿宋 Std R" w:hAnsi="Adobe 仿宋 Std R" w:eastAsia="Adobe 仿宋 Std R" w:cs="Times New Roman"/>
          <w:sz w:val="32"/>
          <w:szCs w:val="32"/>
        </w:rPr>
      </w:pPr>
      <w:r>
        <w:rPr>
          <w:rStyle w:val="11"/>
          <w:rFonts w:hint="eastAsia" w:ascii="Adobe 仿宋 Std R" w:hAnsi="Adobe 仿宋 Std R" w:eastAsia="Adobe 仿宋 Std R" w:cs="Times New Roman"/>
          <w:sz w:val="32"/>
          <w:szCs w:val="32"/>
        </w:rPr>
        <w:t>本单位非行政参公单位，无机关运行经费</w:t>
      </w:r>
    </w:p>
    <w:p w14:paraId="331A8CBB">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B9A4396">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2025年部门所属各单位政府采购总额365.03万元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政府采购货物预算365.03万元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政府采购服务预算0万元。</w:t>
      </w:r>
    </w:p>
    <w:p w14:paraId="4B23096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(八)国有资产占有使用情况</w:t>
      </w:r>
    </w:p>
    <w:p w14:paraId="0202039E">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截至2024年12月31日,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6</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6</w:t>
      </w:r>
      <w:r>
        <w:rPr>
          <w:rFonts w:ascii="Adobe 仿宋 Std R" w:hAnsi="Adobe 仿宋 Std R" w:eastAsia="Adobe 仿宋 Std R"/>
          <w:sz w:val="32"/>
          <w:szCs w:val="32"/>
        </w:rPr>
        <w:t>辆。</w:t>
      </w:r>
      <w:r>
        <w:fldChar w:fldCharType="end"/>
      </w:r>
    </w:p>
    <w:p w14:paraId="06B8A56F">
      <w:pPr>
        <w:ind w:firstLine="642"/>
        <w:rPr>
          <w:rFonts w:ascii="仿宋_GB2312" w:eastAsia="仿宋_GB2312"/>
          <w:sz w:val="32"/>
          <w:szCs w:val="30"/>
        </w:rPr>
      </w:pPr>
      <w:r>
        <w:rPr>
          <w:rFonts w:hint="eastAsia" w:ascii="Adobe 仿宋 Std R" w:hAnsi="Adobe 仿宋 Std R" w:eastAsia="Adobe 仿宋 Std R"/>
          <w:sz w:val="32"/>
          <w:szCs w:val="32"/>
        </w:rPr>
        <w:t>2025年部门预算安排购置车辆</w:t>
      </w:r>
      <w:r>
        <w:rPr>
          <w:rFonts w:hint="eastAsia" w:ascii="仿宋_GB2312" w:eastAsia="仿宋_GB2312"/>
          <w:sz w:val="32"/>
          <w:szCs w:val="30"/>
          <w:u w:val="single"/>
        </w:rPr>
        <w:t xml:space="preserve">   0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0          </w:t>
      </w:r>
      <w:r>
        <w:rPr>
          <w:rFonts w:hint="eastAsia" w:ascii="仿宋_GB2312" w:eastAsia="仿宋_GB2312"/>
          <w:sz w:val="32"/>
          <w:szCs w:val="30"/>
        </w:rPr>
        <w:t>。</w:t>
      </w:r>
    </w:p>
    <w:p w14:paraId="728B157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cs="Times New Roman"/>
          <w:b/>
          <w:sz w:val="32"/>
          <w:szCs w:val="32"/>
        </w:rPr>
        <w:t>庐山市（庐山风景名胜区管理局）文化文物保护中心</w:t>
      </w:r>
      <w:r>
        <w:rPr>
          <w:rStyle w:val="11"/>
          <w:rFonts w:hint="eastAsia" w:ascii="Adobe 仿宋 Std R" w:hAnsi="Adobe 仿宋 Std R" w:eastAsia="Adobe 仿宋 Std R"/>
          <w:b/>
          <w:sz w:val="32"/>
          <w:szCs w:val="32"/>
        </w:rPr>
        <w:t>项目情况说明</w:t>
      </w:r>
    </w:p>
    <w:p w14:paraId="62E25C1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办公室租赁费</w:t>
      </w:r>
      <w:r>
        <w:rPr>
          <w:rFonts w:hint="eastAsia" w:ascii="Adobe 仿宋 Std R" w:hAnsi="Adobe 仿宋 Std R" w:eastAsia="Adobe 仿宋 Std R"/>
          <w:sz w:val="32"/>
          <w:szCs w:val="32"/>
          <w:lang w:val="en-US" w:eastAsia="zh-CN"/>
        </w:rPr>
        <w:t>项目</w:t>
      </w:r>
    </w:p>
    <w:p w14:paraId="7090D3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1）项目概述：庐山市（局）文化文物保护中心（预警监测中心）现租用索道公司办公楼，其中有两层是展示及预警监测系统办公区域，为方便有效的开展工作继续承租原办公楼。</w:t>
      </w:r>
    </w:p>
    <w:p w14:paraId="4C96F9C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依据办公室租赁合同测算</w:t>
      </w:r>
    </w:p>
    <w:p w14:paraId="0D63993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602B1D2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4）实施方案：继续承租办公楼，有效维护预警监测系统，保障职工办公环境。</w:t>
      </w:r>
    </w:p>
    <w:p w14:paraId="4D428FA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638C3E4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）年度预算安排：72万元</w:t>
      </w:r>
    </w:p>
    <w:p w14:paraId="5F53544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单位自有资金安排的支出（非税）项目</w:t>
      </w:r>
    </w:p>
    <w:p w14:paraId="68E731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1）项目概述：单位实体账户资金申请拨付</w:t>
      </w:r>
    </w:p>
    <w:p w14:paraId="00F717F4">
      <w:pPr>
        <w:ind w:firstLine="642"/>
        <w:rPr>
          <w:rFonts w:ascii="Adobe 仿宋 Std R" w:hAnsi="Adobe 仿宋 Std R" w:eastAsia="Adobe 仿宋 Std R"/>
          <w:sz w:val="30"/>
          <w:szCs w:val="30"/>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0"/>
          <w:szCs w:val="30"/>
        </w:rPr>
        <w:t>单位自有资金安排的支出（非税）测算</w:t>
      </w:r>
    </w:p>
    <w:p w14:paraId="5C13D10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B52466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4）实施方案：高效透明使用单位资金。</w:t>
      </w:r>
    </w:p>
    <w:p w14:paraId="1AA5BF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43A3731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）年度预算安排：50万元</w:t>
      </w:r>
    </w:p>
    <w:p w14:paraId="32E40FE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庐山世界文化景观遗产保护管理提升专项行动经费项目</w:t>
      </w:r>
    </w:p>
    <w:p w14:paraId="77F386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深入贯彻落实习近平总书记关于加强文化和自然遗产保护传承利用的重要指示精神，切实做好庐山文化文物和世界遗产保护传承利用工作，结合实际情况开展权限、要素、规章收集整理出台等系列工作。</w:t>
      </w:r>
    </w:p>
    <w:p w14:paraId="22DEC6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庐山世界文化景观遗产保护管理提升专项行动经费报告</w:t>
      </w:r>
    </w:p>
    <w:p w14:paraId="5928D14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1FED31D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4）实施方案：对世界文化景观进行有效整理</w:t>
      </w:r>
    </w:p>
    <w:p w14:paraId="6B0DFE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0A2794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）年度预算安排：100万元</w:t>
      </w:r>
    </w:p>
    <w:p w14:paraId="05D6DA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庐山中四路286号别墅安消防工程资金项目</w:t>
      </w:r>
    </w:p>
    <w:p w14:paraId="33F5DF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深入贯彻落实习近平总书记关于文物安全工作重要论述和讲话精神，进一步加强庐山省级文物保护单位（中四路286号）的文物安全工作，现落实实施江西省文物局批复同意（赣文物督函【2023】17号、赣文物督函【2023】27号设计方案，进行别墅安消防工程。</w:t>
      </w:r>
    </w:p>
    <w:p w14:paraId="165F0C4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庐山中四路286号别墅安消防工程资金报告</w:t>
      </w:r>
      <w:r>
        <w:rPr>
          <w:rFonts w:hint="eastAsia" w:ascii="Adobe 仿宋 Std R" w:hAnsi="Adobe 仿宋 Std R" w:eastAsia="Adobe 仿宋 Std R"/>
          <w:sz w:val="32"/>
          <w:szCs w:val="32"/>
        </w:rPr>
        <w:t xml:space="preserve"> </w:t>
      </w:r>
    </w:p>
    <w:p w14:paraId="3C02BC89">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3）实施主体：庐山市（局）文化文物保护中心</w:t>
      </w:r>
    </w:p>
    <w:p w14:paraId="017EAD3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4）实施方案：为中四路286号的文物安全提供保障</w:t>
      </w:r>
    </w:p>
    <w:p w14:paraId="70E9366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63BC716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）年度预算安排：98.7万元</w:t>
      </w:r>
    </w:p>
    <w:p w14:paraId="1C93A7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汉阳峰环境提升项目</w:t>
      </w:r>
    </w:p>
    <w:p w14:paraId="593FF3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汉阳峰是庐山第一高峰，峰顶约500平方可观景休闲，依山就势建有房屋，此房屋建筑面积约为90平方，内外墙采用不规则碎石建造而成，门窗采用木质建造而成，现为融合于整体环境，在不改变建筑原结构的情况下，进行提升改造。</w:t>
      </w:r>
    </w:p>
    <w:p w14:paraId="472C00E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汉阳峰环境提升项目经费报告</w:t>
      </w:r>
      <w:r>
        <w:rPr>
          <w:rFonts w:hint="eastAsia" w:ascii="Adobe 仿宋 Std R" w:hAnsi="Adobe 仿宋 Std R" w:eastAsia="Adobe 仿宋 Std R"/>
          <w:sz w:val="32"/>
          <w:szCs w:val="32"/>
        </w:rPr>
        <w:t xml:space="preserve">  </w:t>
      </w:r>
    </w:p>
    <w:p w14:paraId="22CE12CE">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5E0176F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4）实施方案：对汉阳峰上建筑及周边环境进行修缮美化。</w:t>
      </w:r>
    </w:p>
    <w:p w14:paraId="63539C4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3223E2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）年度预算安排：20万元</w:t>
      </w:r>
    </w:p>
    <w:p w14:paraId="249E562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抗战博物馆展陈提升项目</w:t>
      </w:r>
    </w:p>
    <w:p w14:paraId="4377143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1）项目概述：庐山抗战博物馆是国务院1996 年公布的第四批全国重点文物保护单位。2009 年正式对外开放，2015年3月15日实行免费开放。开放至今，累计接待参观观众达上千余万人次，2023 年被江西省确定为对台交流基地，是开展爱国主义教育和弘扬中华民族抵御外来侵略的重要场所，目前的基本陈列展示已有15年时间，设施设备老化、陈旧、昏暗、破损，因展厅通风不畅、潮湿导致展墙衬布污损、霉变、图片退色模糊，展板糟朽、驳落等现象，免费开放以来，接待量激增，观众的激增给陈展设备和展板带来极大的不利影响，现代数宇化等设施设备陈旧、老化、落后，难以适应新时代对纪念馆陈列展示的需求。为纪念中国人民抗日战争暨世界反法西斯战争胜利 80周年，根据《国家文物局关于推进抗战纪念场馆高质量发展的通【2024】692号文件和江西省文物局2024年6月转发的文件通知，按照九江市领导的指示精神和庐山文旅委的工作要求，依据现有《庐山抗战馆陈列》 大纲，从陈列展示形式上制作提升改造方案，该设计方案已于 2024年11月5日获江西省文物局批准，现拟启动庐山抗战博物馆出新陈列展示提升改造项目。</w:t>
      </w:r>
    </w:p>
    <w:p w14:paraId="0A19119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抗战博物馆展陈提升项目报告</w:t>
      </w:r>
      <w:r>
        <w:rPr>
          <w:rFonts w:hint="eastAsia" w:ascii="Adobe 仿宋 Std R" w:hAnsi="Adobe 仿宋 Std R" w:eastAsia="Adobe 仿宋 Std R"/>
          <w:sz w:val="32"/>
          <w:szCs w:val="32"/>
        </w:rPr>
        <w:t xml:space="preserve"> </w:t>
      </w:r>
    </w:p>
    <w:p w14:paraId="112EFD6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F8F99B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4）实施方案：对庐山抗战博物馆展陈进行整理修缮维护  </w:t>
      </w:r>
    </w:p>
    <w:p w14:paraId="564B9143">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09422C3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）年度预算安排：1000万元</w:t>
      </w:r>
    </w:p>
    <w:p w14:paraId="50CCA2B5">
      <w:pPr>
        <w:ind w:left="638" w:leftChars="304" w:firstLine="332" w:firstLineChars="104"/>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展示系统日常维护及日常使用工作运行经费项目</w:t>
      </w:r>
    </w:p>
    <w:p w14:paraId="14831C31">
      <w:pPr>
        <w:ind w:firstLine="1296" w:firstLineChars="405"/>
        <w:rPr>
          <w:rFonts w:hint="eastAsia" w:ascii="Adobe 仿宋 Std R" w:hAnsi="Adobe 仿宋 Std R" w:eastAsia="Adobe 仿宋 Std R"/>
          <w:sz w:val="32"/>
          <w:szCs w:val="32"/>
        </w:rPr>
      </w:pPr>
      <w:bookmarkStart w:id="0" w:name="_GoBack"/>
      <w:bookmarkEnd w:id="0"/>
      <w:r>
        <w:rPr>
          <w:rFonts w:hint="eastAsia" w:ascii="Adobe 仿宋 Std R" w:hAnsi="Adobe 仿宋 Std R" w:eastAsia="Adobe 仿宋 Std R"/>
          <w:sz w:val="32"/>
          <w:szCs w:val="32"/>
        </w:rPr>
        <w:t>1）项目概述：庐山市（局）文化文物保护中心（预警监测中心）监测预警系统，是国家重点工作项目，可保障春节、五一、十一等工作调度会议的召开，含盖了庐山票务系统等服务器，有50多台设备24小时运行，为旅游服务及安全提供支持和保障。</w:t>
      </w:r>
    </w:p>
    <w:p w14:paraId="13A8E0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展示系统日常维护及使用工作运行经费报告</w:t>
      </w:r>
    </w:p>
    <w:p w14:paraId="2C0FCF9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6FCE6FA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4）实施方案：做好监测预警系统维护，保证高效运行</w:t>
      </w:r>
    </w:p>
    <w:p w14:paraId="34E7B0F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2025B5E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）年度预算安排：71.91万元</w:t>
      </w:r>
    </w:p>
    <w:p w14:paraId="24D2338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8、网格化片区管理工作经费（北门片区）项目</w:t>
      </w:r>
    </w:p>
    <w:p w14:paraId="499A79B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1）项目概述：实现对景区各个角落的有效管理，促使网格化管理有序运转，更好地服务游客和当地居民。</w:t>
      </w:r>
    </w:p>
    <w:p w14:paraId="3381FE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关于拨付庐山景区网格化管理“双网合一”网格管理经费的请示 庐文旅文【2024】7号</w:t>
      </w:r>
    </w:p>
    <w:p w14:paraId="423FDE7A">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510125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4）实施方案：落实“双网合一”工作，提供旅游服务</w:t>
      </w:r>
    </w:p>
    <w:p w14:paraId="6DB777B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946099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）年度预算安排：9万元</w:t>
      </w:r>
    </w:p>
    <w:p w14:paraId="5EC5B34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9、网格化片区管理工作经费（文博片区）项目</w:t>
      </w:r>
    </w:p>
    <w:p w14:paraId="256BEA9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1）项目概述：实现对景区各个角落的有效管理，促使网格化管理有序运转，更好地服务游客和当地居民。</w:t>
      </w:r>
    </w:p>
    <w:p w14:paraId="736FDE0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关于拨付庐山景区网格化管理“双网合一”网格管理经费的请示 庐文旅文【2024】7号</w:t>
      </w:r>
    </w:p>
    <w:p w14:paraId="04C1D1B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0478DE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4）实施方案：落实“双网合一”工作，提供旅游服务</w:t>
      </w:r>
    </w:p>
    <w:p w14:paraId="4F477A65">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DB4A26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）年度预算安排：9万元</w:t>
      </w:r>
    </w:p>
    <w:p w14:paraId="1539621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10、申请编制世界文化保护规划编制工作经费项目</w:t>
      </w:r>
    </w:p>
    <w:p w14:paraId="6978570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了更好的保护世界遗产庐山，更加系统、科学的对庐山世界遗产的要素、资源进行全面梳理，制定世界遗产可持续发展路径，为今后的保护管理制定新的目标、策略和工作任务，推动庐山在世界遗产保护管理的实践中取得更好更丰富的成果，在国内、国际范围内更好地分享遗产价值和保护成果，借助世界遗产国际平台让庐山在新时期成为国家的名片、世界的庐山，同时为切实提高庐山世界遗产的保护能力和水平，经庐山市委会议研究决定，由庐山市（局）文化文物保护中心牵头开展编制《庐山世界文化景观保护总体规划》及《庐山世界遗产保护管理条例》（暂定名）的工作。</w:t>
      </w:r>
    </w:p>
    <w:p w14:paraId="52E4B86F">
      <w:pPr>
        <w:ind w:firstLine="642"/>
        <w:rPr>
          <w:rFonts w:ascii="Helvetica" w:hAnsi="Helvetica"/>
          <w:color w:val="333333"/>
          <w:sz w:val="27"/>
          <w:szCs w:val="27"/>
          <w:shd w:val="clear" w:color="auto" w:fill="EDF4FF"/>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庐文保文【2024】07号</w:t>
      </w:r>
    </w:p>
    <w:p w14:paraId="34A51217">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8F3D6B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4）实施方案：编制《庐山世界文化景观保护总体规划》及《庐山世界遗产保护管理条例》工作</w:t>
      </w:r>
    </w:p>
    <w:p w14:paraId="52743E3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E79E6C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）年度预算安排：260万元</w:t>
      </w:r>
    </w:p>
    <w:p w14:paraId="0E4144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11、编制老别墅专项保护规划经费项目</w:t>
      </w:r>
    </w:p>
    <w:p w14:paraId="68282F0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1）项目概述：加强老别墅的管理和保护条例出台，编制老别墅保护专项规划。</w:t>
      </w:r>
    </w:p>
    <w:p w14:paraId="6262BC1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编制老别墅专项保护规划经费报告</w:t>
      </w:r>
    </w:p>
    <w:p w14:paraId="693A0BA3">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5AF274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4）实施方案：出台相关条例，有效保护老别墅</w:t>
      </w:r>
    </w:p>
    <w:p w14:paraId="50961BCC">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4640AD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）年度预算安排：50万元</w:t>
      </w:r>
    </w:p>
    <w:p w14:paraId="6D19E0DD">
      <w:pPr>
        <w:ind w:firstLine="642"/>
        <w:rPr>
          <w:rFonts w:ascii="Adobe 仿宋 Std R" w:hAnsi="Adobe 仿宋 Std R" w:eastAsia="Adobe 仿宋 Std R"/>
          <w:sz w:val="32"/>
          <w:szCs w:val="32"/>
        </w:rPr>
      </w:pPr>
    </w:p>
    <w:p w14:paraId="009990C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2025年“三公</w:t>
      </w:r>
      <w:r>
        <w:rPr>
          <w:rFonts w:ascii="楷体_GB2312" w:eastAsia="楷体_GB2312"/>
          <w:b/>
          <w:sz w:val="32"/>
          <w:szCs w:val="30"/>
        </w:rPr>
        <w:t>”</w:t>
      </w:r>
      <w:r>
        <w:rPr>
          <w:rFonts w:hint="eastAsia" w:ascii="楷体_GB2312" w:eastAsia="楷体_GB2312"/>
          <w:b/>
          <w:sz w:val="32"/>
          <w:szCs w:val="30"/>
        </w:rPr>
        <w:t>经费预算情况说明</w:t>
      </w:r>
    </w:p>
    <w:p w14:paraId="51A6A78C">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5年</w:t>
      </w:r>
      <w:r>
        <w:rPr>
          <w:rFonts w:hint="eastAsia" w:ascii="仿宋" w:hAnsi="仿宋" w:eastAsia="仿宋" w:cs="Times New Roman"/>
          <w:kern w:val="0"/>
          <w:sz w:val="32"/>
          <w:szCs w:val="32"/>
        </w:rPr>
        <w:t>庐山市（庐山风景名胜区管理局）文化文物保护中心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经费财政拨款安排6.73万元，其中：</w:t>
      </w:r>
    </w:p>
    <w:p w14:paraId="329FFD7B">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 xml:space="preserve">万元，主要原因是： </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6F58309A">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0.23</w:t>
      </w:r>
      <w:r>
        <w:rPr>
          <w:rFonts w:ascii="仿宋" w:hAnsi="仿宋" w:eastAsia="仿宋"/>
          <w:bCs/>
          <w:sz w:val="32"/>
          <w:szCs w:val="32"/>
        </w:rPr>
        <w:t>万元,比上年增</w:t>
      </w:r>
      <w:r>
        <w:rPr>
          <w:rFonts w:hint="eastAsia" w:ascii="仿宋" w:hAnsi="仿宋" w:eastAsia="仿宋"/>
          <w:bCs/>
          <w:sz w:val="32"/>
          <w:szCs w:val="32"/>
          <w:lang w:val="en-US" w:eastAsia="zh-CN"/>
        </w:rPr>
        <w:t>0.23</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14C5F8FE">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6.5</w:t>
      </w:r>
      <w:r>
        <w:rPr>
          <w:rFonts w:ascii="仿宋" w:hAnsi="仿宋" w:eastAsia="仿宋"/>
          <w:bCs/>
          <w:sz w:val="32"/>
          <w:szCs w:val="32"/>
        </w:rPr>
        <w:t>万元,比上年增（减）</w:t>
      </w:r>
      <w:r>
        <w:rPr>
          <w:rFonts w:hint="eastAsia" w:ascii="仿宋" w:hAnsi="仿宋" w:eastAsia="仿宋"/>
          <w:bCs/>
          <w:sz w:val="32"/>
          <w:szCs w:val="32"/>
          <w:lang w:val="en-US" w:eastAsia="zh-CN"/>
        </w:rPr>
        <w:t>6.5</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6C756C0C">
      <w:pPr>
        <w:widowControl/>
        <w:spacing w:line="580" w:lineRule="exact"/>
        <w:ind w:firstLine="636"/>
        <w:jc w:val="left"/>
        <w:rPr>
          <w:rStyle w:val="11"/>
          <w:rFonts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13E3A2F3">
      <w:pPr>
        <w:widowControl/>
        <w:shd w:val="clear" w:color="auto" w:fill="FFFFFF"/>
        <w:spacing w:line="640" w:lineRule="atLeast"/>
        <w:rPr>
          <w:rFonts w:ascii="仿宋_GB2312" w:eastAsia="仿宋_GB2312"/>
          <w:b/>
          <w:sz w:val="32"/>
          <w:szCs w:val="30"/>
        </w:rPr>
      </w:pPr>
    </w:p>
    <w:p w14:paraId="7EEC5010">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353F012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1DB131A">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29A79DCD">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4D5515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6A8541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05E1EFB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6974607F">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3B967C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5E148B8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使用非财政拨款结余：填列历年滚存的非限定用途的非统计财政拨款结余弥补2025年收支差额的数额。</w:t>
      </w:r>
    </w:p>
    <w:p w14:paraId="588B7411">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上年结转和结余：填列2024年全部结转和结余的资金数，包括当年结转结余资金和历年滚存结转结余资金。</w:t>
      </w:r>
    </w:p>
    <w:p w14:paraId="721F378D">
      <w:pPr>
        <w:ind w:firstLine="640" w:firstLineChars="200"/>
        <w:rPr>
          <w:rFonts w:ascii="Adobe 仿宋 Std R" w:hAnsi="Adobe 仿宋 Std R" w:eastAsia="Adobe 仿宋 Std R"/>
          <w:sz w:val="32"/>
          <w:szCs w:val="32"/>
        </w:rPr>
      </w:pPr>
    </w:p>
    <w:p w14:paraId="1A9E6E9C">
      <w:pPr>
        <w:ind w:firstLine="640" w:firstLineChars="200"/>
        <w:rPr>
          <w:rFonts w:ascii="Adobe 仿宋 Std R" w:hAnsi="Adobe 仿宋 Std R" w:eastAsia="Adobe 仿宋 Std R"/>
          <w:sz w:val="32"/>
          <w:szCs w:val="32"/>
        </w:rPr>
      </w:pPr>
    </w:p>
    <w:p w14:paraId="099D525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598B921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03108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0342259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7801815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1D83F50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50E11DC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36C5EE0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083E09A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22AFA87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8007DFF">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E06C157">
      <w:pPr>
        <w:widowControl/>
        <w:spacing w:line="600" w:lineRule="exact"/>
        <w:ind w:firstLine="640" w:firstLineChars="200"/>
        <w:jc w:val="left"/>
        <w:rPr>
          <w:rFonts w:ascii="仿宋_GB2312" w:eastAsia="仿宋_GB2312"/>
          <w:color w:val="FF0000"/>
          <w:sz w:val="32"/>
          <w:szCs w:val="30"/>
        </w:rPr>
      </w:pPr>
      <w:r>
        <w:rPr>
          <w:rFonts w:hint="eastAsia" w:ascii="仿宋_GB2312" w:eastAsia="仿宋_GB2312"/>
          <w:color w:val="FF0000"/>
          <w:sz w:val="32"/>
          <w:szCs w:val="30"/>
        </w:rPr>
        <w:t>(备注：名词解释必须按收入科目、支出科目、相关专业名词分别解释，缺一不可！正式模板请将此备注删除）</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822E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026F"/>
    <w:rsid w:val="001823EA"/>
    <w:rsid w:val="00186709"/>
    <w:rsid w:val="00192620"/>
    <w:rsid w:val="00193C37"/>
    <w:rsid w:val="001C4ECB"/>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3E13AB"/>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44C6E68"/>
    <w:rsid w:val="054B48D1"/>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3C83465"/>
    <w:rsid w:val="550A78EA"/>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2AA686D"/>
    <w:rsid w:val="73543105"/>
    <w:rsid w:val="73A85115"/>
    <w:rsid w:val="759E1500"/>
    <w:rsid w:val="76C6463F"/>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7468</Words>
  <Characters>7917</Characters>
  <Lines>22</Lines>
  <Paragraphs>20</Paragraphs>
  <TotalTime>3</TotalTime>
  <ScaleCrop>false</ScaleCrop>
  <LinksUpToDate>false</LinksUpToDate>
  <CharactersWithSpaces>8211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曼曼</cp:lastModifiedBy>
  <dcterms:modified xsi:type="dcterms:W3CDTF">2025-01-08T06:49:41Z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eyJoZGlkIjoiYTIzMjIxNWM4MTQwYjY0OGE2YWJiM2U1NzFmNjNjODIiLCJ1c2VySWQiOiIyNDMyMDQzMDkifQ==</vt:lpwstr>
  </property>
</Properties>
</file>