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ind w:left="2650" w:hanging="2650" w:hangingChars="6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庐山市（庐山风景名胜区管理局）林业局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lang w:eastAsia="zh-CN"/>
        </w:rPr>
        <w:t>部门</w:t>
      </w:r>
      <w:r>
        <w:rPr>
          <w:rFonts w:hint="eastAsia" w:ascii="黑体" w:hAnsi="黑体" w:eastAsia="黑体" w:cs="Times New Roman"/>
          <w:b/>
          <w:bCs/>
          <w:color w:val="000000" w:themeColor="text1"/>
          <w:kern w:val="0"/>
          <w:sz w:val="44"/>
          <w:szCs w:val="44"/>
        </w:rPr>
        <w:t>预算</w:t>
      </w:r>
    </w:p>
    <w:p>
      <w:pPr>
        <w:pStyle w:val="12"/>
        <w:spacing w:line="600" w:lineRule="atLeast"/>
        <w:jc w:val="center"/>
        <w:rPr>
          <w:rFonts w:ascii="黑体" w:hAnsi="黑体" w:eastAsia="黑体"/>
          <w:color w:val="000000"/>
          <w:sz w:val="32"/>
          <w:szCs w:val="32"/>
        </w:rPr>
      </w:pPr>
    </w:p>
    <w:p>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2"/>
        <w:rPr>
          <w:rFonts w:ascii="宋体" w:hAnsi="宋体"/>
          <w:color w:val="000000"/>
        </w:rPr>
      </w:pPr>
    </w:p>
    <w:p>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bookmarkStart w:id="0" w:name="OLE_LINK1"/>
      <w:r>
        <w:rPr>
          <w:rFonts w:hint="eastAsia" w:ascii="仿宋_GB2312" w:eastAsia="仿宋_GB2312"/>
          <w:b/>
          <w:bCs/>
          <w:color w:val="000000"/>
          <w:sz w:val="32"/>
          <w:szCs w:val="32"/>
          <w:lang w:val="en-US" w:eastAsia="zh-CN"/>
        </w:rPr>
        <w:t>庐山市（局）林业局</w:t>
      </w:r>
      <w:bookmarkEnd w:id="0"/>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庐山市（局）林业局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pPr>
        <w:pStyle w:val="12"/>
        <w:spacing w:line="600" w:lineRule="atLeast"/>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val="en-US" w:eastAsia="zh-CN"/>
        </w:rPr>
        <w:t>庐山市（局）林业局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val="en-US" w:eastAsia="zh-CN"/>
        </w:rPr>
        <w:t>部门</w:t>
      </w:r>
      <w:r>
        <w:rPr>
          <w:rFonts w:hint="eastAsia" w:ascii="仿宋_GB2312" w:eastAsia="仿宋_GB2312"/>
          <w:b/>
          <w:bCs/>
          <w:color w:val="000000"/>
          <w:sz w:val="32"/>
          <w:szCs w:val="32"/>
        </w:rPr>
        <w:t>预算情况说明</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val="en-US" w:eastAsia="zh-CN"/>
        </w:rPr>
        <w:t>部门</w:t>
      </w:r>
      <w:r>
        <w:rPr>
          <w:rFonts w:ascii="Adobe 仿宋 Std R" w:hAnsi="Adobe 仿宋 Std R" w:eastAsia="Adobe 仿宋 Std R" w:cstheme="minorBidi"/>
          <w:kern w:val="2"/>
          <w:sz w:val="32"/>
          <w:szCs w:val="30"/>
        </w:rPr>
        <w:t>预算收支情况说明</w:t>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庐山市（局）林业局</w:t>
      </w:r>
      <w:r>
        <w:rPr>
          <w:rFonts w:hint="eastAsia" w:ascii="仿宋_GB2312" w:eastAsia="仿宋_GB2312"/>
          <w:b/>
          <w:sz w:val="32"/>
          <w:szCs w:val="30"/>
        </w:rPr>
        <w:t>概况</w:t>
      </w:r>
    </w:p>
    <w:p>
      <w:pPr>
        <w:widowControl/>
        <w:spacing w:line="580" w:lineRule="exact"/>
        <w:jc w:val="left"/>
        <w:rPr>
          <w:rFonts w:asciiTheme="minorEastAsia" w:hAnsiTheme="minorEastAsia"/>
          <w:b/>
          <w:sz w:val="36"/>
          <w:szCs w:val="36"/>
        </w:rPr>
      </w:pPr>
    </w:p>
    <w:p>
      <w:pPr>
        <w:widowControl/>
        <w:numPr>
          <w:ilvl w:val="0"/>
          <w:numId w:val="1"/>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部门</w:t>
      </w:r>
      <w:r>
        <w:rPr>
          <w:rFonts w:hint="eastAsia" w:ascii="仿宋" w:hAnsi="仿宋" w:eastAsia="仿宋" w:cs="仿宋"/>
          <w:b w:val="0"/>
          <w:bCs/>
          <w:sz w:val="32"/>
          <w:szCs w:val="32"/>
        </w:rPr>
        <w:t>主要职责</w:t>
      </w:r>
    </w:p>
    <w:p>
      <w:pPr>
        <w:widowControl/>
        <w:numPr>
          <w:ilvl w:val="0"/>
          <w:numId w:val="2"/>
        </w:numPr>
        <w:spacing w:line="580" w:lineRule="exact"/>
        <w:ind w:left="160" w:leftChars="0" w:firstLine="0" w:firstLineChars="0"/>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负责全市（局）林业和草地及其生态保护修复的监督管理。拟订全市（局）林业和草地及其生态保护修复的地方性政策、规划、标准并组织实施,起草林业规范性文件。组织编制庐山风景名胜区总体规划、详细规划及专项规划、组织编制庐山世界地质公园保护规划，负责建立庐山风景名胜区规划体系并监督实施。负责对庐山景区内自然景观的保护，承担庐山风景名胜资源调查、识别、建档、更新维护和保护情况年度报告等工作。组织开展全市（局）森林、湿地、草地、荒漠和陆生野生动植物资源动态监测与评价。 </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二)组织全市（局）林业和草地生态保护修复和造林绿化工作。组织实施林业和草地重点生态保护修复工程,指导公益林和商品林的培育,指导、督促全民义务植树、城乡绿化工作。组织指导植树造林、封山育林和以植树种草等生物措施防治水土流失工作。组织指导林业和草地有害生物防治、检疫工作。承担林业应对气候变化的相关工作。</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三)负责全市（局）森林、湿地、草地资源的监督管理。组织编制并监督执行全市（局）森林采伐限额。负责林地管理,拟订全市（局）林地保护利用规划并组织实施。组织开展国家和地方性公益林划定和管理工作, 监督管理国有森林资源。负责草地草畜平衡和草地生态修复治理工作,保护管理草地的开发利用。负责湿地生态保护修复工作,拟订全市（局）湿地保护规划,组织实施建立湿地公园等保护管理工作，监督管理湿地的开发利用。</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(四)负责监督管理全市（局）防沙治沙工作。组织开展沙化土地调查, 组织拟订防沙治沙、沙化土地封禁保护区建设规划, 监督管理沙化土地的开发利用。</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五)负责全市（局）陆生野生动植物资源保护管理。组织开展陆生野生动植物资源调查,指导陆生野生动植物的救护繁育、栖息地恢复发展、疫源疫病监测,监督管理陆生野生动植物猎捕或采集、驯养繁殖或培植,经营利用,按分工监督管理野生动植物进出口。</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六)负责监督管理全市（局）各类自然保护地。拟订各类自然保护地规划和相关地方标准。提出新建、调整各类自然保护地的审核建议并按程序报批,组织审核世界自然遗产的申报，会同有关部门审核世界自然与文化双重遗产的申报。负责生物多样性保护相关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七)负责推进全市（局）林业和草地改革相关工作。拟订全市（局）集体林权制度、国有林场等重大改革实施意见并监督实施。拟订农村林业发展、维护林业经营者合法权益的政策措施,组织指导农村林地承包经营工作。开展退耕(牧)还林还草,负责天然林保护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八)拟订全市（局）林业产业发展规划和产业政策，指导和推动林业产业高质量发展。依法负责对全市（局）林区林业专用公路的管理。拟订林业和草地资源优化配置及木材利用政策,拟订相关林业产业地方标准并监督实施,组织、指导林产品质量监督。指导生态乡村振兴相关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九)指导全市（局）国有林场基本建设和发展,组织林木种子、草种种质资源普查，组织建立种质资源库，负责良种选育推广,管理林木种苗、草种生产经营行为，监管林木种苗、草种质量。监督管理林业和草地生物种质资源、转基因生物安全、植物新品种保护。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(十)负责落实综合防灾减灾规划相关要求, 组织编制森林和草地火灾防治规划和防护标准并指导实施,指导开展防火巡护、火源管理、防火设施建设等工作。组织指导国有林场开展宣传教育、监测预警、督促检查等防火工作。必要时，可以提请市应急管理局，以市应急指挥机构名义，部署相关防治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(十一)承担林业安全生产监督管理职责，指导，协调林业企事业单位的森林采伐和林产品加工生产经营中的安全监督管理工作, 负责所属企事业单位的安全生产管理。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(十二)负责林业行业生态环境保护和节能减排工作</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督促指导相关单位落实生态环境保护责任制。</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(十三)监督管理林业和草地项目资金和国有资产,提出林业和草地预算内投资、市级财政性资金安排建议。指导全市（局）林业基本建设工作, 组织申报重点林业建设项目。参与拟订林业和草地经济调节政策, 组织实施林业和草地生态补偿工作。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(十四)负责全市（局）林业系统科技、教育工作，指导全市（局）全域林业系统人才队伍建设, 组织实施林业国际交流与合作事务，承担湿地、防治荒漠化、濒危野生动植物等国际公约庐山市履约工作。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(十五)完成庐山市委（庐山管理局党委）、庐山市政府（庐山管理局）的其他任务。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六)职能转变。切实推动林业生态文明体制机制创新,全面推行林长制,加大生态系统保护力度。实施重要生态系统保护和修复工程,大力推进国土绿化。加强森林、湿地、草地监督管理的统筹协调,保障国家生态安全。加快建立以国家公园为主体的自然保护地体系，统一推进全市各类自然保护地的清理规范和归并整合，构建统一规范高效、具有庐山特色的国家公园体制。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(十七)职责分工 1.与市自然资源局的有关职责分工。市（局）林业局负责组织开展全市（局）森林、湿地、草地、荒漠和陆生野生动植物资源动态监测与评价。市自然资源局负责全市（局）森林、湿地等资源调查和确权登记管理。 2.与市应急管理局的有关职责分工。市（局）林业局负责指导开展防火巡护、火源管理、防火设施建设等工作。市应急管理局负责森林火情监测预警和信息发布, 组织、指导、协调火灾扑救、调查评估和处理等工作。</w:t>
      </w:r>
    </w:p>
    <w:p>
      <w:pPr>
        <w:widowControl/>
        <w:numPr>
          <w:ilvl w:val="0"/>
          <w:numId w:val="0"/>
        </w:numPr>
        <w:spacing w:line="580" w:lineRule="exact"/>
        <w:jc w:val="left"/>
        <w:rPr>
          <w:rFonts w:hint="eastAsia" w:ascii="仿宋" w:hAnsi="仿宋" w:eastAsia="仿宋" w:cs="仿宋"/>
          <w:b w:val="0"/>
          <w:bCs/>
          <w:sz w:val="32"/>
          <w:szCs w:val="32"/>
        </w:rPr>
      </w:pPr>
    </w:p>
    <w:p>
      <w:pPr>
        <w:rPr>
          <w:rFonts w:hint="eastAsia" w:ascii="仿宋" w:hAnsi="仿宋" w:eastAsia="仿宋" w:cs="仿宋"/>
          <w:b/>
          <w:sz w:val="32"/>
          <w:szCs w:val="32"/>
        </w:rPr>
      </w:pPr>
      <w:r>
        <w:rPr>
          <w:rFonts w:hint="eastAsia" w:ascii="仿宋" w:hAnsi="仿宋" w:eastAsia="仿宋" w:cs="仿宋"/>
          <w:b/>
          <w:sz w:val="32"/>
          <w:szCs w:val="32"/>
        </w:rPr>
        <w:t>二、机构设置及人员情况</w:t>
      </w:r>
    </w:p>
    <w:p>
      <w:pPr>
        <w:ind w:firstLine="640" w:firstLineChars="200"/>
        <w:rPr>
          <w:rFonts w:hint="eastAsia" w:ascii="仿宋" w:hAnsi="仿宋" w:eastAsia="仿宋"/>
          <w:color w:val="000000" w:themeColor="text1"/>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val="en-US" w:eastAsia="zh-CN"/>
        </w:rPr>
        <w:t>庐山市（局）林业局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sz w:val="32"/>
          <w:szCs w:val="32"/>
          <w:lang w:val="en-US" w:eastAsia="zh-CN"/>
        </w:rPr>
        <w:t>80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sz w:val="32"/>
          <w:szCs w:val="32"/>
          <w:lang w:val="en-US" w:eastAsia="zh-CN"/>
        </w:rPr>
        <w:t>23</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ascii="仿宋" w:hAnsi="仿宋" w:eastAsia="仿宋"/>
          <w:sz w:val="32"/>
          <w:szCs w:val="32"/>
        </w:rPr>
        <w:t>全部补助事业编制人数</w:t>
      </w:r>
      <w:r>
        <w:rPr>
          <w:rFonts w:hint="eastAsia" w:ascii="仿宋" w:hAnsi="仿宋" w:eastAsia="仿宋"/>
          <w:sz w:val="32"/>
          <w:szCs w:val="32"/>
          <w:lang w:val="en-US" w:eastAsia="zh-CN"/>
        </w:rPr>
        <w:t>57</w:t>
      </w:r>
      <w:r>
        <w:rPr>
          <w:rFonts w:ascii="仿宋" w:hAnsi="仿宋" w:eastAsia="仿宋"/>
          <w:sz w:val="32"/>
          <w:szCs w:val="32"/>
        </w:rPr>
        <w:t>人</w:t>
      </w:r>
      <w:r>
        <w:rPr>
          <w:rFonts w:hint="eastAsia" w:ascii="仿宋" w:hAnsi="仿宋" w:eastAsia="仿宋" w:cs="仿宋"/>
          <w:sz w:val="32"/>
          <w:szCs w:val="32"/>
        </w:rPr>
        <w:t>。</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sz w:val="32"/>
          <w:szCs w:val="32"/>
          <w:lang w:val="en-US" w:eastAsia="zh-CN"/>
        </w:rPr>
        <w:t>142</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sz w:val="32"/>
          <w:szCs w:val="32"/>
          <w:lang w:val="en-US" w:eastAsia="zh-CN"/>
        </w:rPr>
        <w:t>63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sz w:val="32"/>
          <w:szCs w:val="32"/>
          <w:lang w:val="en-US" w:eastAsia="zh-CN"/>
        </w:rPr>
        <w:t>23</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ascii="仿宋" w:hAnsi="仿宋" w:eastAsia="仿宋"/>
          <w:sz w:val="32"/>
          <w:szCs w:val="32"/>
        </w:rPr>
        <w:t>全部补助事业在职人数</w:t>
      </w:r>
      <w:r>
        <w:rPr>
          <w:rFonts w:hint="eastAsia" w:ascii="仿宋" w:hAnsi="仿宋" w:eastAsia="仿宋"/>
          <w:sz w:val="32"/>
          <w:szCs w:val="32"/>
          <w:lang w:val="en-US" w:eastAsia="zh-CN"/>
        </w:rPr>
        <w:t>40</w:t>
      </w:r>
      <w:r>
        <w:rPr>
          <w:rFonts w:ascii="仿宋" w:hAnsi="仿宋" w:eastAsia="仿宋"/>
          <w:sz w:val="32"/>
          <w:szCs w:val="32"/>
        </w:rPr>
        <w:t>人</w:t>
      </w:r>
      <w:r>
        <w:rPr>
          <w:rFonts w:hint="eastAsia" w:ascii="仿宋" w:hAnsi="仿宋" w:eastAsia="仿宋" w:cs="仿宋"/>
          <w:sz w:val="32"/>
          <w:szCs w:val="32"/>
        </w:rPr>
        <w:t>。</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退休人数小计</w:t>
      </w:r>
      <w:r>
        <w:rPr>
          <w:rFonts w:hint="eastAsia" w:ascii="仿宋" w:hAnsi="仿宋" w:eastAsia="仿宋" w:cs="仿宋"/>
          <w:sz w:val="32"/>
          <w:szCs w:val="32"/>
          <w:lang w:val="en-US" w:eastAsia="zh-CN"/>
        </w:rPr>
        <w:t>71</w:t>
      </w:r>
      <w:r>
        <w:rPr>
          <w:rFonts w:hint="eastAsia" w:ascii="仿宋" w:hAnsi="仿宋" w:eastAsia="仿宋" w:cs="仿宋"/>
          <w:sz w:val="32"/>
          <w:szCs w:val="32"/>
        </w:rPr>
        <w:t>人,遗属人数</w:t>
      </w:r>
      <w:r>
        <w:rPr>
          <w:rFonts w:hint="eastAsia" w:ascii="仿宋" w:hAnsi="仿宋" w:eastAsia="仿宋" w:cs="仿宋"/>
          <w:sz w:val="32"/>
          <w:szCs w:val="32"/>
          <w:lang w:val="en-US" w:eastAsia="zh-CN"/>
        </w:rPr>
        <w:t>8</w:t>
      </w:r>
      <w:r>
        <w:rPr>
          <w:rFonts w:hint="eastAsia" w:ascii="仿宋" w:hAnsi="仿宋" w:eastAsia="仿宋" w:cs="仿宋"/>
          <w:sz w:val="32"/>
          <w:szCs w:val="32"/>
        </w:rPr>
        <w:t>人。</w:t>
      </w:r>
      <w:r>
        <w:rPr>
          <w:rFonts w:hint="eastAsia" w:ascii="仿宋" w:hAnsi="仿宋" w:eastAsia="仿宋" w:cs="仿宋"/>
          <w:sz w:val="32"/>
          <w:szCs w:val="32"/>
        </w:rPr>
        <w:fldChar w:fldCharType="end"/>
      </w:r>
    </w:p>
    <w:p>
      <w:pPr>
        <w:widowControl/>
        <w:spacing w:line="580" w:lineRule="exact"/>
        <w:jc w:val="center"/>
        <w:rPr>
          <w:rFonts w:hint="eastAsia" w:ascii="仿宋" w:hAnsi="仿宋" w:eastAsia="仿宋" w:cs="仿宋"/>
          <w:b/>
          <w:sz w:val="32"/>
          <w:szCs w:val="32"/>
        </w:rPr>
      </w:pPr>
    </w:p>
    <w:p>
      <w:pPr>
        <w:widowControl/>
        <w:spacing w:line="580" w:lineRule="exact"/>
        <w:jc w:val="center"/>
        <w:rPr>
          <w:rFonts w:ascii="仿宋_GB2312" w:eastAsia="仿宋_GB2312"/>
          <w:b/>
          <w:bCs w:val="0"/>
          <w:sz w:val="32"/>
          <w:szCs w:val="30"/>
        </w:rPr>
      </w:pPr>
      <w:r>
        <w:rPr>
          <w:rFonts w:hint="eastAsia" w:ascii="仿宋_GB2312" w:eastAsia="仿宋_GB2312"/>
          <w:b/>
          <w:bCs w:val="0"/>
          <w:sz w:val="32"/>
          <w:szCs w:val="30"/>
        </w:rPr>
        <w:t xml:space="preserve">第二部分  </w:t>
      </w:r>
      <w:r>
        <w:rPr>
          <w:rFonts w:hint="eastAsia" w:ascii="仿宋" w:hAnsi="仿宋" w:eastAsia="仿宋" w:cs="仿宋"/>
          <w:b/>
          <w:bCs w:val="0"/>
          <w:color w:val="000000" w:themeColor="text1"/>
          <w:sz w:val="32"/>
          <w:szCs w:val="32"/>
        </w:rPr>
        <w:t>202</w:t>
      </w:r>
      <w:r>
        <w:rPr>
          <w:rFonts w:hint="eastAsia" w:ascii="仿宋" w:hAnsi="仿宋" w:eastAsia="仿宋" w:cs="仿宋"/>
          <w:b/>
          <w:bCs w:val="0"/>
          <w:color w:val="000000" w:themeColor="text1"/>
          <w:sz w:val="32"/>
          <w:szCs w:val="32"/>
          <w:lang w:val="en-US" w:eastAsia="zh-CN"/>
        </w:rPr>
        <w:t>5</w:t>
      </w:r>
      <w:r>
        <w:rPr>
          <w:rFonts w:hint="eastAsia" w:ascii="仿宋" w:hAnsi="仿宋" w:eastAsia="仿宋" w:cs="仿宋"/>
          <w:b/>
          <w:bCs w:val="0"/>
          <w:color w:val="000000" w:themeColor="text1"/>
          <w:sz w:val="32"/>
          <w:szCs w:val="32"/>
        </w:rPr>
        <w:t>年</w:t>
      </w:r>
      <w:r>
        <w:rPr>
          <w:rFonts w:hint="eastAsia" w:ascii="仿宋" w:hAnsi="仿宋" w:eastAsia="仿宋" w:cs="仿宋"/>
          <w:b/>
          <w:bCs w:val="0"/>
          <w:color w:val="000000" w:themeColor="text1"/>
          <w:sz w:val="32"/>
          <w:szCs w:val="32"/>
          <w:lang w:val="en-US" w:eastAsia="zh-CN"/>
        </w:rPr>
        <w:t>庐山市（局）林业局</w:t>
      </w:r>
      <w:r>
        <w:rPr>
          <w:rFonts w:hint="eastAsia" w:ascii="仿宋_GB2312" w:eastAsia="仿宋_GB2312"/>
          <w:b/>
          <w:bCs w:val="0"/>
          <w:sz w:val="32"/>
          <w:szCs w:val="30"/>
        </w:rPr>
        <w:t>202</w:t>
      </w:r>
      <w:r>
        <w:rPr>
          <w:rFonts w:hint="eastAsia" w:ascii="仿宋_GB2312" w:eastAsia="仿宋_GB2312"/>
          <w:b/>
          <w:bCs w:val="0"/>
          <w:sz w:val="32"/>
          <w:szCs w:val="30"/>
          <w:lang w:val="en-US" w:eastAsia="zh-CN"/>
        </w:rPr>
        <w:t>5</w:t>
      </w:r>
      <w:r>
        <w:rPr>
          <w:rFonts w:hint="eastAsia" w:ascii="仿宋_GB2312" w:eastAsia="仿宋_GB2312"/>
          <w:b/>
          <w:bCs w:val="0"/>
          <w:sz w:val="32"/>
          <w:szCs w:val="30"/>
        </w:rPr>
        <w:t>年</w:t>
      </w:r>
      <w:r>
        <w:rPr>
          <w:rFonts w:hint="eastAsia" w:ascii="仿宋_GB2312" w:eastAsia="仿宋_GB2312"/>
          <w:b/>
          <w:bCs w:val="0"/>
          <w:sz w:val="32"/>
          <w:szCs w:val="30"/>
          <w:lang w:val="en-US" w:eastAsia="zh-CN"/>
        </w:rPr>
        <w:t>部门</w:t>
      </w:r>
      <w:r>
        <w:rPr>
          <w:rFonts w:hint="eastAsia" w:ascii="仿宋_GB2312" w:eastAsia="仿宋_GB2312"/>
          <w:b/>
          <w:bCs w:val="0"/>
          <w:sz w:val="32"/>
          <w:szCs w:val="30"/>
        </w:rPr>
        <w:t>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widowControl/>
        <w:spacing w:line="580" w:lineRule="exact"/>
        <w:jc w:val="both"/>
        <w:rPr>
          <w:rFonts w:ascii="仿宋_GB2312" w:eastAsia="仿宋_GB2312"/>
          <w:b/>
          <w:sz w:val="32"/>
          <w:szCs w:val="30"/>
        </w:rPr>
      </w:pPr>
      <w:r>
        <w:rPr>
          <w:rFonts w:hint="eastAsia" w:ascii="仿宋_GB2312" w:hAnsi="Calibri" w:eastAsia="仿宋_GB2312" w:cs="宋体"/>
          <w:b/>
          <w:bCs w:val="0"/>
          <w:kern w:val="0"/>
          <w:sz w:val="32"/>
          <w:szCs w:val="32"/>
        </w:rPr>
        <w:t xml:space="preserve">第三部分 </w:t>
      </w:r>
      <w:r>
        <w:rPr>
          <w:rFonts w:hint="eastAsia" w:ascii="仿宋_GB2312" w:eastAsia="仿宋_GB2312"/>
          <w:b/>
          <w:bCs w:val="0"/>
          <w:sz w:val="32"/>
          <w:szCs w:val="30"/>
        </w:rPr>
        <w:t xml:space="preserve"> </w:t>
      </w:r>
      <w:r>
        <w:rPr>
          <w:rFonts w:hint="eastAsia" w:ascii="仿宋" w:hAnsi="仿宋" w:eastAsia="仿宋" w:cs="仿宋"/>
          <w:b/>
          <w:bCs w:val="0"/>
          <w:color w:val="000000" w:themeColor="text1"/>
          <w:sz w:val="32"/>
          <w:szCs w:val="32"/>
        </w:rPr>
        <w:t>202</w:t>
      </w:r>
      <w:r>
        <w:rPr>
          <w:rFonts w:hint="eastAsia" w:ascii="仿宋" w:hAnsi="仿宋" w:eastAsia="仿宋" w:cs="仿宋"/>
          <w:b/>
          <w:bCs w:val="0"/>
          <w:color w:val="000000" w:themeColor="text1"/>
          <w:sz w:val="32"/>
          <w:szCs w:val="32"/>
          <w:lang w:val="en-US" w:eastAsia="zh-CN"/>
        </w:rPr>
        <w:t>5</w:t>
      </w:r>
      <w:r>
        <w:rPr>
          <w:rFonts w:hint="eastAsia" w:ascii="仿宋" w:hAnsi="仿宋" w:eastAsia="仿宋" w:cs="仿宋"/>
          <w:b/>
          <w:bCs w:val="0"/>
          <w:color w:val="000000" w:themeColor="text1"/>
          <w:sz w:val="32"/>
          <w:szCs w:val="32"/>
        </w:rPr>
        <w:t>年</w:t>
      </w:r>
      <w:r>
        <w:rPr>
          <w:rFonts w:hint="eastAsia" w:ascii="仿宋" w:hAnsi="仿宋" w:eastAsia="仿宋" w:cs="仿宋"/>
          <w:b/>
          <w:bCs w:val="0"/>
          <w:color w:val="000000" w:themeColor="text1"/>
          <w:sz w:val="32"/>
          <w:szCs w:val="32"/>
          <w:lang w:val="en-US" w:eastAsia="zh-CN"/>
        </w:rPr>
        <w:t>庐山市（局）林业局</w:t>
      </w:r>
      <w:r>
        <w:rPr>
          <w:rFonts w:hint="eastAsia" w:ascii="仿宋_GB2312" w:eastAsia="仿宋_GB2312"/>
          <w:b/>
          <w:bCs w:val="0"/>
          <w:sz w:val="32"/>
          <w:szCs w:val="30"/>
        </w:rPr>
        <w:t>202</w:t>
      </w:r>
      <w:r>
        <w:rPr>
          <w:rFonts w:hint="eastAsia" w:ascii="仿宋_GB2312" w:eastAsia="仿宋_GB2312"/>
          <w:b/>
          <w:bCs w:val="0"/>
          <w:sz w:val="32"/>
          <w:szCs w:val="30"/>
          <w:lang w:val="en-US" w:eastAsia="zh-CN"/>
        </w:rPr>
        <w:t>5</w:t>
      </w:r>
      <w:r>
        <w:rPr>
          <w:rFonts w:hint="eastAsia" w:ascii="仿宋_GB2312" w:eastAsia="仿宋_GB2312"/>
          <w:b/>
          <w:bCs w:val="0"/>
          <w:sz w:val="32"/>
          <w:szCs w:val="30"/>
        </w:rPr>
        <w:t>年</w:t>
      </w:r>
      <w:r>
        <w:rPr>
          <w:rFonts w:hint="eastAsia" w:ascii="仿宋_GB2312" w:eastAsia="仿宋_GB2312"/>
          <w:b/>
          <w:bCs w:val="0"/>
          <w:sz w:val="32"/>
          <w:szCs w:val="30"/>
          <w:lang w:val="en-US" w:eastAsia="zh-CN"/>
        </w:rPr>
        <w:t>部门</w:t>
      </w:r>
      <w:r>
        <w:rPr>
          <w:rFonts w:hint="eastAsia" w:ascii="仿宋_GB2312" w:eastAsia="仿宋_GB2312"/>
          <w:b/>
          <w:bCs w:val="0"/>
          <w:sz w:val="32"/>
          <w:szCs w:val="30"/>
        </w:rPr>
        <w:t>预算情</w:t>
      </w:r>
      <w:r>
        <w:rPr>
          <w:rFonts w:hint="eastAsia" w:ascii="仿宋_GB2312" w:eastAsia="仿宋_GB2312"/>
          <w:b/>
          <w:sz w:val="32"/>
          <w:szCs w:val="30"/>
        </w:rPr>
        <w:t>况说明</w:t>
      </w:r>
    </w:p>
    <w:p>
      <w:pPr>
        <w:widowControl/>
        <w:spacing w:line="580" w:lineRule="exact"/>
        <w:jc w:val="center"/>
        <w:rPr>
          <w:rFonts w:ascii="仿宋_GB2312" w:eastAsia="仿宋_GB2312"/>
          <w:b/>
          <w:sz w:val="32"/>
          <w:szCs w:val="30"/>
        </w:rPr>
      </w:pPr>
    </w:p>
    <w:p>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val="en-US" w:eastAsia="zh-CN"/>
        </w:rPr>
        <w:t>部门</w:t>
      </w:r>
      <w:r>
        <w:rPr>
          <w:rFonts w:hint="eastAsia" w:ascii="楷体_GB2312" w:eastAsia="楷体_GB2312"/>
          <w:b/>
          <w:sz w:val="32"/>
          <w:szCs w:val="30"/>
        </w:rPr>
        <w:t>预算收支情况说明</w:t>
      </w:r>
    </w:p>
    <w:p>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2148.88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val="en-US" w:eastAsia="zh-CN"/>
        </w:rPr>
        <w:t>减少591.82</w:t>
      </w:r>
      <w:r>
        <w:rPr>
          <w:rFonts w:hint="eastAsia" w:ascii="仿宋" w:hAnsi="仿宋" w:eastAsia="仿宋" w:cs="仿宋"/>
          <w:kern w:val="0"/>
          <w:sz w:val="32"/>
          <w:szCs w:val="32"/>
        </w:rPr>
        <w:t>万元;</w:t>
      </w:r>
      <w:r>
        <w:rPr>
          <w:rFonts w:hint="eastAsia" w:ascii="仿宋" w:hAnsi="仿宋" w:eastAsia="仿宋" w:cs="仿宋"/>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2046.88</w:t>
      </w:r>
      <w:r>
        <w:rPr>
          <w:rFonts w:hint="eastAsia" w:ascii="仿宋" w:hAnsi="仿宋" w:eastAsia="仿宋" w:cs="仿宋"/>
          <w:kern w:val="0"/>
          <w:sz w:val="32"/>
          <w:szCs w:val="32"/>
        </w:rPr>
        <w:t>万元,较上年预算安排减少</w:t>
      </w:r>
      <w:r>
        <w:rPr>
          <w:rFonts w:hint="eastAsia" w:ascii="仿宋" w:hAnsi="仿宋" w:eastAsia="仿宋" w:cs="仿宋"/>
          <w:kern w:val="0"/>
          <w:sz w:val="32"/>
          <w:szCs w:val="32"/>
          <w:lang w:val="en-US" w:eastAsia="zh-CN"/>
        </w:rPr>
        <w:t>693.92</w:t>
      </w:r>
      <w:r>
        <w:rPr>
          <w:rFonts w:hint="eastAsia" w:ascii="仿宋" w:hAnsi="仿宋" w:eastAsia="仿宋" w:cs="仿宋"/>
          <w:kern w:val="0"/>
          <w:sz w:val="32"/>
          <w:szCs w:val="32"/>
        </w:rPr>
        <w:t>万元。</w:t>
      </w:r>
      <w:r>
        <w:rPr>
          <w:rFonts w:hint="eastAsia" w:ascii="仿宋" w:hAnsi="仿宋" w:eastAsia="仿宋" w:cs="仿宋"/>
        </w:rPr>
        <w:fldChar w:fldCharType="end"/>
      </w:r>
      <w:bookmarkStart w:id="1" w:name="OLE_LINK2"/>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r>
        <w:rPr>
          <w:rFonts w:hint="eastAsia" w:ascii="仿宋" w:hAnsi="仿宋" w:eastAsia="仿宋" w:cs="仿宋"/>
          <w:sz w:val="32"/>
          <w:szCs w:val="32"/>
          <w:lang w:eastAsia="zh-CN"/>
        </w:rPr>
        <w:t>。</w:t>
      </w:r>
    </w:p>
    <w:bookmarkEnd w:id="1"/>
    <w:p>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2149.88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591.82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r>
        <w:rPr>
          <w:rFonts w:hint="eastAsia" w:ascii="仿宋" w:hAnsi="仿宋" w:eastAsia="仿宋" w:cs="仿宋"/>
          <w:sz w:val="32"/>
          <w:szCs w:val="32"/>
          <w:lang w:eastAsia="zh-CN"/>
        </w:rPr>
        <w:t>。</w:t>
      </w:r>
    </w:p>
    <w:p>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1420.54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621.92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1102.85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107.18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203.51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728.34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1288.5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476.59</w:t>
      </w:r>
      <w:r>
        <w:rPr>
          <w:rStyle w:val="11"/>
          <w:rFonts w:ascii="仿宋" w:hAnsi="仿宋" w:eastAsia="仿宋"/>
          <w:sz w:val="32"/>
          <w:szCs w:val="32"/>
        </w:rPr>
        <w:t>万元,</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45.3</w:t>
      </w:r>
      <w:r>
        <w:rPr>
          <w:rStyle w:val="11"/>
          <w:rFonts w:ascii="仿宋" w:hAnsi="仿宋" w:eastAsia="仿宋"/>
          <w:sz w:val="32"/>
          <w:szCs w:val="32"/>
        </w:rPr>
        <w:t>万元。</w:t>
      </w:r>
      <w:r>
        <w:fldChar w:fldCharType="end"/>
      </w:r>
    </w:p>
    <w:p>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168.3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70.57</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71.97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33.45</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91.88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农林水支出</w:t>
      </w:r>
      <w:r>
        <w:rPr>
          <w:rStyle w:val="11"/>
          <w:rFonts w:hint="eastAsia" w:ascii="仿宋" w:hAnsi="仿宋" w:eastAsia="仿宋"/>
          <w:sz w:val="32"/>
          <w:szCs w:val="32"/>
          <w:lang w:val="en-US" w:eastAsia="zh-CN"/>
        </w:rPr>
        <w:t>1816.73</w:t>
      </w:r>
      <w:r>
        <w:rPr>
          <w:rStyle w:val="11"/>
          <w:rFonts w:hint="eastAsia" w:ascii="仿宋" w:hAnsi="仿宋" w:eastAsia="仿宋"/>
          <w:sz w:val="32"/>
          <w:szCs w:val="32"/>
        </w:rPr>
        <w:t>万元，较上年预算安排减少</w:t>
      </w:r>
      <w:r>
        <w:rPr>
          <w:rStyle w:val="11"/>
          <w:rFonts w:hint="eastAsia" w:ascii="仿宋" w:hAnsi="仿宋" w:eastAsia="仿宋"/>
          <w:sz w:val="32"/>
          <w:szCs w:val="32"/>
          <w:lang w:val="en-US" w:eastAsia="zh-CN"/>
        </w:rPr>
        <w:t>808.69</w:t>
      </w:r>
      <w:r>
        <w:rPr>
          <w:rStyle w:val="11"/>
          <w:rFonts w:hint="eastAsia" w:ascii="仿宋" w:hAnsi="仿宋" w:eastAsia="仿宋"/>
          <w:sz w:val="32"/>
          <w:szCs w:val="32"/>
        </w:rPr>
        <w:t>万元</w:t>
      </w:r>
      <w:r>
        <w:rPr>
          <w:rStyle w:val="11"/>
          <w:rFonts w:ascii="仿宋" w:hAnsi="仿宋" w:eastAsia="仿宋"/>
          <w:sz w:val="32"/>
          <w:szCs w:val="32"/>
        </w:rPr>
        <w:t>。</w:t>
      </w:r>
      <w:r>
        <w:fldChar w:fldCharType="end"/>
      </w:r>
    </w:p>
    <w:p>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1126.85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436.91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583.77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20.58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226.51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202.97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52.3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49.3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159.45</w:t>
      </w:r>
      <w:r>
        <w:rPr>
          <w:rStyle w:val="11"/>
          <w:rFonts w:ascii="仿宋" w:hAnsi="仿宋" w:eastAsia="仿宋"/>
          <w:sz w:val="32"/>
          <w:szCs w:val="32"/>
        </w:rPr>
        <w:t>万元。</w:t>
      </w:r>
      <w:r>
        <w:fldChar w:fldCharType="end"/>
      </w:r>
    </w:p>
    <w:p>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2046.88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693.92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p>
    <w:p>
      <w:pPr>
        <w:ind w:firstLine="320" w:firstLineChars="1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168.3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70.57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71.97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33.45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91.88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38.1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农林水支出</w:t>
      </w:r>
      <w:r>
        <w:rPr>
          <w:rStyle w:val="11"/>
          <w:rFonts w:hint="eastAsia" w:ascii="仿宋" w:hAnsi="仿宋" w:eastAsia="仿宋"/>
          <w:sz w:val="32"/>
          <w:szCs w:val="32"/>
          <w:lang w:val="en-US" w:eastAsia="zh-CN"/>
        </w:rPr>
        <w:t>1714.73</w:t>
      </w:r>
      <w:r>
        <w:rPr>
          <w:rStyle w:val="11"/>
          <w:rFonts w:hint="eastAsia" w:ascii="仿宋" w:hAnsi="仿宋" w:eastAsia="仿宋"/>
          <w:sz w:val="32"/>
          <w:szCs w:val="32"/>
        </w:rPr>
        <w:t>万元，较上年预算安排减少</w:t>
      </w:r>
      <w:r>
        <w:rPr>
          <w:rStyle w:val="11"/>
          <w:rFonts w:hint="eastAsia" w:ascii="仿宋" w:hAnsi="仿宋" w:eastAsia="仿宋"/>
          <w:sz w:val="32"/>
          <w:szCs w:val="32"/>
          <w:lang w:val="en-US" w:eastAsia="zh-CN"/>
        </w:rPr>
        <w:t>836.03</w:t>
      </w:r>
      <w:r>
        <w:rPr>
          <w:rStyle w:val="11"/>
          <w:rFonts w:hint="eastAsia" w:ascii="仿宋" w:hAnsi="仿宋" w:eastAsia="仿宋"/>
          <w:sz w:val="32"/>
          <w:szCs w:val="32"/>
        </w:rPr>
        <w:t>万元</w:t>
      </w:r>
      <w:r>
        <w:rPr>
          <w:rStyle w:val="11"/>
          <w:rFonts w:ascii="仿宋" w:hAnsi="仿宋" w:eastAsia="仿宋"/>
          <w:sz w:val="32"/>
          <w:szCs w:val="32"/>
        </w:rPr>
        <w:t>。</w:t>
      </w:r>
      <w:r>
        <w:fldChar w:fldCharType="end"/>
      </w:r>
    </w:p>
    <w:p>
      <w:pPr>
        <w:ind w:firstLine="320" w:firstLineChars="1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1420.54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621.92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1102.85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107.18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203.51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7</w:t>
      </w:r>
      <w:r>
        <w:rPr>
          <w:rStyle w:val="11"/>
          <w:rFonts w:ascii="仿宋" w:hAnsi="仿宋" w:eastAsia="仿宋"/>
          <w:sz w:val="32"/>
          <w:szCs w:val="32"/>
        </w:rPr>
        <w:t>万。</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626.34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1315.83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374.59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45.3</w:t>
      </w:r>
      <w:r>
        <w:rPr>
          <w:rStyle w:val="11"/>
          <w:rFonts w:ascii="仿宋" w:hAnsi="仿宋" w:eastAsia="仿宋"/>
          <w:sz w:val="32"/>
          <w:szCs w:val="32"/>
        </w:rPr>
        <w:t>万元。</w:t>
      </w:r>
      <w:r>
        <w:fldChar w:fldCharType="end"/>
      </w:r>
    </w:p>
    <w:p>
      <w:pPr>
        <w:ind w:firstLine="420" w:firstLineChars="200"/>
      </w:pP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pPr>
        <w:ind w:firstLine="640" w:firstLineChars="200"/>
        <w:rPr>
          <w:rStyle w:val="11"/>
          <w:rFonts w:hint="eastAsia" w:ascii="仿宋" w:hAnsi="仿宋" w:eastAsia="仿宋"/>
          <w:b w:val="0"/>
          <w:bCs w:val="0"/>
          <w:color w:val="000000" w:themeColor="text1"/>
          <w:sz w:val="32"/>
          <w:szCs w:val="32"/>
          <w:lang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Style w:val="11"/>
          <w:rFonts w:hint="eastAsia" w:ascii="仿宋" w:hAnsi="仿宋" w:eastAsia="仿宋"/>
          <w:b w:val="0"/>
          <w:bCs w:val="0"/>
          <w:color w:val="000000" w:themeColor="text1"/>
          <w:sz w:val="32"/>
          <w:szCs w:val="32"/>
        </w:rPr>
        <w:t>本</w:t>
      </w:r>
      <w:r>
        <w:rPr>
          <w:rStyle w:val="11"/>
          <w:rFonts w:hint="eastAsia" w:ascii="仿宋" w:hAnsi="仿宋" w:eastAsia="仿宋"/>
          <w:b w:val="0"/>
          <w:bCs w:val="0"/>
          <w:color w:val="000000" w:themeColor="text1"/>
          <w:sz w:val="32"/>
          <w:szCs w:val="32"/>
          <w:lang w:val="en-US" w:eastAsia="zh-CN"/>
        </w:rPr>
        <w:t>部门</w:t>
      </w:r>
      <w:r>
        <w:rPr>
          <w:rStyle w:val="11"/>
          <w:rFonts w:hint="eastAsia" w:ascii="仿宋" w:hAnsi="仿宋" w:eastAsia="仿宋"/>
          <w:b w:val="0"/>
          <w:bCs w:val="0"/>
          <w:color w:val="000000" w:themeColor="text1"/>
          <w:sz w:val="32"/>
          <w:szCs w:val="32"/>
        </w:rPr>
        <w:t>没有使用政府性基金预算拨款安排的支出</w:t>
      </w:r>
      <w:r>
        <w:rPr>
          <w:rStyle w:val="11"/>
          <w:rFonts w:hint="eastAsia" w:ascii="仿宋" w:hAnsi="仿宋" w:eastAsia="仿宋"/>
          <w:b w:val="0"/>
          <w:bCs w:val="0"/>
          <w:color w:val="000000" w:themeColor="text1"/>
          <w:sz w:val="32"/>
          <w:szCs w:val="32"/>
          <w:lang w:eastAsia="zh-CN"/>
        </w:rPr>
        <w:t>。</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pPr>
        <w:ind w:firstLine="640" w:firstLineChars="200"/>
        <w:rPr>
          <w:rStyle w:val="11"/>
          <w:rFonts w:hint="eastAsia" w:ascii="仿宋" w:hAnsi="仿宋" w:eastAsia="仿宋"/>
          <w:color w:val="000000" w:themeColor="text1"/>
          <w:sz w:val="32"/>
          <w:szCs w:val="32"/>
        </w:rPr>
      </w:pPr>
      <w:r>
        <w:rPr>
          <w:rStyle w:val="11"/>
          <w:rFonts w:hint="eastAsia" w:ascii="仿宋" w:hAnsi="仿宋" w:eastAsia="仿宋"/>
          <w:color w:val="000000" w:themeColor="text1"/>
          <w:sz w:val="32"/>
          <w:szCs w:val="32"/>
        </w:rPr>
        <w:t>按支出项目类别划分：</w:t>
      </w:r>
    </w:p>
    <w:p>
      <w:pPr>
        <w:ind w:firstLine="320" w:firstLineChars="100"/>
        <w:rPr>
          <w:rStyle w:val="11"/>
          <w:rFonts w:hint="eastAsia" w:ascii="Adobe 仿宋 Std R" w:hAnsi="Adobe 仿宋 Std R" w:eastAsia="Adobe 仿宋 Std R"/>
          <w:color w:val="000000" w:themeColor="text1"/>
          <w:sz w:val="32"/>
          <w:szCs w:val="32"/>
          <w:lang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部门</w:t>
      </w:r>
      <w:r>
        <w:rPr>
          <w:rStyle w:val="11"/>
          <w:rFonts w:hint="eastAsia" w:ascii="Adobe 仿宋 Std R" w:hAnsi="Adobe 仿宋 Std R" w:eastAsia="Adobe 仿宋 Std R"/>
          <w:color w:val="000000" w:themeColor="text1"/>
          <w:sz w:val="32"/>
          <w:szCs w:val="32"/>
        </w:rPr>
        <w:t>没有使用国有资本经营预算拨款安排的支出</w:t>
      </w:r>
      <w:r>
        <w:rPr>
          <w:rStyle w:val="11"/>
          <w:rFonts w:hint="eastAsia" w:ascii="Adobe 仿宋 Std R" w:hAnsi="Adobe 仿宋 Std R" w:eastAsia="Adobe 仿宋 Std R"/>
          <w:color w:val="000000" w:themeColor="text1"/>
          <w:sz w:val="32"/>
          <w:szCs w:val="32"/>
          <w:lang w:eastAsia="zh-CN"/>
        </w:rPr>
        <w:t>。</w:t>
      </w:r>
      <w:bookmarkStart w:id="2" w:name="_GoBack"/>
      <w:bookmarkEnd w:id="2"/>
    </w:p>
    <w:p>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部门</w:t>
      </w:r>
      <w:r>
        <w:rPr>
          <w:rFonts w:hint="eastAsia" w:ascii="Adobe 仿宋 Std R" w:hAnsi="Adobe 仿宋 Std R" w:eastAsia="Adobe 仿宋 Std R"/>
          <w:sz w:val="32"/>
          <w:szCs w:val="32"/>
        </w:rPr>
        <w:t>机关运行费预算</w:t>
      </w:r>
      <w:r>
        <w:rPr>
          <w:rFonts w:hint="eastAsia" w:ascii="仿宋_GB2312" w:eastAsia="仿宋_GB2312"/>
          <w:sz w:val="32"/>
          <w:szCs w:val="30"/>
          <w:u w:val="single"/>
          <w:lang w:val="en-US" w:eastAsia="zh-CN"/>
        </w:rPr>
        <w:t>114.18</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73.1</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177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增长变化原因：本单位在2024年进行了机构改革合并了原庐山山上一些单位的职能和人员，所以公用经费有所增加。</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 xml:space="preserve"> 10.5万元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水电费10.5万元、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 xml:space="preserve"> 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 xml:space="preserve"> 14.05万元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维护费5万元、培训费1万元、公务接待费10万元、福利费30万元、其他交通费20.44万元、其他商品和服务支出0.7万元、办公设备购置7万元。</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53.7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51.7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val="en-US" w:eastAsia="zh-CN"/>
        </w:rPr>
        <w:t>部门</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部门</w:t>
      </w:r>
      <w:r>
        <w:rPr>
          <w:rFonts w:hint="eastAsia" w:ascii="Adobe 仿宋 Std R" w:hAnsi="Adobe 仿宋 Std R" w:eastAsia="Adobe 仿宋 Std R"/>
          <w:sz w:val="32"/>
          <w:szCs w:val="32"/>
        </w:rPr>
        <w:t>预算安排购置车辆</w:t>
      </w:r>
      <w:r>
        <w:rPr>
          <w:rFonts w:hint="eastAsia" w:ascii="仿宋_GB2312" w:eastAsia="仿宋_GB2312"/>
          <w:sz w:val="32"/>
          <w:szCs w:val="30"/>
          <w:u w:val="single"/>
          <w:lang w:val="en-US" w:eastAsia="zh-CN"/>
        </w:rPr>
        <w:t>2</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pPr>
        <w:ind w:firstLine="321" w:firstLineChars="100"/>
        <w:rPr>
          <w:rStyle w:val="11"/>
          <w:rFonts w:ascii="Adobe 仿宋 Std R" w:hAnsi="Adobe 仿宋 Std R" w:eastAsia="Adobe 仿宋 Std R"/>
          <w:b/>
          <w:sz w:val="32"/>
          <w:szCs w:val="32"/>
        </w:rPr>
      </w:pPr>
    </w:p>
    <w:p>
      <w:pPr>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林业</w:t>
      </w:r>
      <w:r>
        <w:rPr>
          <w:rStyle w:val="11"/>
          <w:rFonts w:hint="eastAsia" w:ascii="Adobe 仿宋 Std R" w:hAnsi="Adobe 仿宋 Std R" w:eastAsia="Adobe 仿宋 Std R"/>
          <w:b/>
          <w:sz w:val="32"/>
          <w:szCs w:val="32"/>
        </w:rPr>
        <w:t>项目情况说明</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1.</w:t>
      </w:r>
      <w:r>
        <w:rPr>
          <w:rFonts w:hint="eastAsia" w:ascii="Adobe 仿宋 Std R" w:hAnsi="Adobe 仿宋 Std R" w:eastAsia="Adobe 仿宋 Std R"/>
          <w:sz w:val="32"/>
          <w:szCs w:val="32"/>
          <w:lang w:val="en-US" w:eastAsia="zh-CN"/>
        </w:rPr>
        <w:t>单位自有资金</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1）项目概述：生态公益林受灾林地的造林、抚育、管护、生物防火林带建设和森林病虫害防治及上级下发的野生动物监测工作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sz w:val="32"/>
          <w:szCs w:val="32"/>
        </w:rPr>
        <w:t>《江西省生态公益林保险理赔流程和赔付资金使用管理规定》</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sz w:val="32"/>
          <w:szCs w:val="32"/>
        </w:rPr>
        <w:t>《江西省生态公益林保险理赔流程和赔付资金使用管理规定》</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 一般非税收入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1）项目概述：用于保障林业局执法的工作经费，主要用于执法人员（临聘）的工资、差旅费、办公经费、福利、装备购置等支出</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庐林文【2023】19号《关于聘请执法辅助人员的报告》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庐林文【2023】19号《关于聘请执法辅助人员的报告》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234.5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3.风景名胜区会费和刊物费</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1）项目概述：用于风景名胜区会费和期刊费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4.庐山景区办公室费用</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租赁</w:t>
      </w:r>
      <w:r>
        <w:rPr>
          <w:rFonts w:hint="eastAsia" w:ascii="Adobe 仿宋 Std R" w:hAnsi="Adobe 仿宋 Std R" w:eastAsia="Adobe 仿宋 Std R"/>
          <w:sz w:val="32"/>
          <w:szCs w:val="32"/>
        </w:rPr>
        <w:t>庐山景区办公室费用</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办公室租赁合同</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办公室租赁合同</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5.世界地质公园年费</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世界地质公园年费缴纳</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6.世界地质公园网站移动云费用</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世界地质公园网站移动云费用缴纳</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3.6</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7.庐山南北山森林植物检疫站项目</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庐山南北山森林植物检疫站人员经费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19.98</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8.油茶农业保险保费补贴</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油茶农业保险保费补贴县级配套</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9.国内年会、培训经费</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庐山世界地质公园国内年会、培训经费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10.国际会议、出访交流经费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庐山世界地质公园出席国际会议、出访交流经费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11.古树名木保护专项经费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古树名木保护专项经费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12.世界地质公园打造地质科普学校工作经费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世界地质公园打造地质科普学校工作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13.5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13.世界地质公园日常维护保育工作经费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世界地质公园日常维护保育工作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8.91</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14.林长制工作经费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1）项目概述：建立市、乡（镇）、村三级林长为主要内容的林长制组织机构</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4）实施方案：实现县、镇、村三级林长全覆盖，做到林长制管理工作常态化，森林保护责任落实</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16.2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15.林业工作经费</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1）项目概述：林业部门运转保障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7.2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16.松材线虫病防治费用（下拨国企）</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用于下拨至国有企业松材线虫病防治经费</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庐财农指【2024】62号《关于下达庐山市2024-2025年度松材线虫病防治宣传费用的通知》、庐财农指【2024】48号《关于下达庐山市2024-2025年度松材线虫病防控资金的通知》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庐财农指【2024】62号《关于下达庐山市2024-2025年度松材线虫病防治宣传费用的通知》、庐财农指【2024】48号《关于下达庐山市2024-2025年度松材线虫病防控资金的通知》</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139.452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17.林草湿荒综合监测调查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1）项目概述：林草湿荒图斑监测调查</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33</w:t>
      </w:r>
      <w:r>
        <w:rPr>
          <w:rFonts w:hint="eastAsia" w:ascii="Adobe 仿宋 Std R" w:hAnsi="Adobe 仿宋 Std R" w:eastAsia="Adobe 仿宋 Std R"/>
          <w:sz w:val="32"/>
          <w:szCs w:val="32"/>
        </w:rPr>
        <w:t>万元</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p>
    <w:p>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pPr>
        <w:ind w:firstLine="640" w:firstLineChars="200"/>
        <w:jc w:val="left"/>
        <w:rPr>
          <w:rFonts w:ascii="仿宋" w:hAnsi="仿宋" w:eastAsia="仿宋"/>
          <w:bCs/>
          <w:sz w:val="32"/>
          <w:szCs w:val="32"/>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139.04</w:t>
      </w:r>
      <w:r>
        <w:rPr>
          <w:rFonts w:hint="eastAsia" w:ascii="仿宋" w:hAnsi="仿宋" w:eastAsia="仿宋"/>
          <w:bCs/>
          <w:sz w:val="32"/>
          <w:szCs w:val="32"/>
        </w:rPr>
        <w:t>万元，其中：</w:t>
      </w:r>
    </w:p>
    <w:p>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80</w:t>
      </w:r>
      <w:r>
        <w:rPr>
          <w:rFonts w:ascii="仿宋" w:hAnsi="仿宋" w:eastAsia="仿宋"/>
          <w:bCs/>
          <w:sz w:val="32"/>
          <w:szCs w:val="32"/>
        </w:rPr>
        <w:t>万元,比上年增</w:t>
      </w:r>
      <w:r>
        <w:rPr>
          <w:rFonts w:hint="eastAsia" w:ascii="仿宋" w:hAnsi="仿宋" w:eastAsia="仿宋"/>
          <w:bCs/>
          <w:sz w:val="32"/>
          <w:szCs w:val="32"/>
          <w:lang w:val="en-US" w:eastAsia="zh-CN"/>
        </w:rPr>
        <w:t>80</w:t>
      </w:r>
      <w:r>
        <w:rPr>
          <w:rFonts w:ascii="仿宋" w:hAnsi="仿宋" w:eastAsia="仿宋"/>
          <w:bCs/>
          <w:sz w:val="32"/>
          <w:szCs w:val="32"/>
        </w:rPr>
        <w:t>万元，主要原因是：</w:t>
      </w:r>
      <w:r>
        <w:rPr>
          <w:rFonts w:hint="eastAsia" w:ascii="仿宋" w:hAnsi="仿宋" w:eastAsia="仿宋"/>
          <w:bCs/>
          <w:sz w:val="32"/>
          <w:szCs w:val="32"/>
          <w:lang w:val="en-US" w:eastAsia="zh-CN"/>
        </w:rPr>
        <w:t>庐山世界地质公园单位职能划入我局，地质公园需和国外的地质公园进行交流和合作</w:t>
      </w:r>
      <w:r>
        <w:rPr>
          <w:rFonts w:ascii="仿宋" w:hAnsi="仿宋" w:eastAsia="仿宋"/>
          <w:bCs/>
          <w:sz w:val="32"/>
          <w:szCs w:val="32"/>
        </w:rPr>
        <w:t>。</w:t>
      </w:r>
    </w:p>
    <w:p>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10.04</w:t>
      </w:r>
      <w:r>
        <w:rPr>
          <w:rFonts w:ascii="仿宋" w:hAnsi="仿宋" w:eastAsia="仿宋"/>
          <w:bCs/>
          <w:sz w:val="32"/>
          <w:szCs w:val="32"/>
        </w:rPr>
        <w:t>万元,比上年增</w:t>
      </w:r>
      <w:r>
        <w:rPr>
          <w:rFonts w:hint="eastAsia" w:ascii="仿宋" w:hAnsi="仿宋" w:eastAsia="仿宋"/>
          <w:bCs/>
          <w:sz w:val="32"/>
          <w:szCs w:val="32"/>
          <w:lang w:val="en-US" w:eastAsia="zh-CN"/>
        </w:rPr>
        <w:t>2.33</w:t>
      </w:r>
      <w:r>
        <w:rPr>
          <w:rFonts w:ascii="仿宋" w:hAnsi="仿宋" w:eastAsia="仿宋"/>
          <w:bCs/>
          <w:sz w:val="32"/>
          <w:szCs w:val="32"/>
        </w:rPr>
        <w:t>万元，主要原因是：</w:t>
      </w:r>
      <w:r>
        <w:rPr>
          <w:rFonts w:hint="eastAsia" w:ascii="仿宋" w:hAnsi="仿宋" w:eastAsia="仿宋"/>
          <w:bCs/>
          <w:sz w:val="32"/>
          <w:szCs w:val="32"/>
          <w:lang w:val="en-US" w:eastAsia="zh-CN"/>
        </w:rPr>
        <w:t>因机构改革我局合并原庐山山上单位机构职能，所以公务接待费用有所增加</w:t>
      </w:r>
      <w:r>
        <w:rPr>
          <w:rFonts w:ascii="仿宋" w:hAnsi="仿宋" w:eastAsia="仿宋"/>
          <w:bCs/>
          <w:sz w:val="32"/>
          <w:szCs w:val="32"/>
        </w:rPr>
        <w:t>。</w:t>
      </w:r>
    </w:p>
    <w:p>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9</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40</w:t>
      </w:r>
      <w:r>
        <w:rPr>
          <w:rFonts w:ascii="仿宋" w:hAnsi="仿宋" w:eastAsia="仿宋"/>
          <w:bCs/>
          <w:sz w:val="32"/>
          <w:szCs w:val="32"/>
        </w:rPr>
        <w:t>万元,比上年增</w:t>
      </w:r>
      <w:r>
        <w:rPr>
          <w:rFonts w:hint="eastAsia" w:ascii="仿宋" w:hAnsi="仿宋" w:eastAsia="仿宋"/>
          <w:bCs/>
          <w:sz w:val="32"/>
          <w:szCs w:val="32"/>
          <w:lang w:val="en-US" w:eastAsia="zh-CN"/>
        </w:rPr>
        <w:t>40</w:t>
      </w:r>
      <w:r>
        <w:rPr>
          <w:rFonts w:ascii="仿宋" w:hAnsi="仿宋" w:eastAsia="仿宋"/>
          <w:bCs/>
          <w:sz w:val="32"/>
          <w:szCs w:val="32"/>
        </w:rPr>
        <w:t>万元，主要原因是：</w:t>
      </w:r>
      <w:r>
        <w:rPr>
          <w:rFonts w:hint="eastAsia" w:ascii="仿宋" w:hAnsi="仿宋" w:eastAsia="仿宋"/>
          <w:bCs/>
          <w:sz w:val="32"/>
          <w:szCs w:val="32"/>
          <w:lang w:val="en-US" w:eastAsia="zh-CN"/>
        </w:rPr>
        <w:t>因机构改革我局合并原庐山山上单位机构职能，原单位的车辆老化严重，需汰换购置2辆公务用车</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pPr>
        <w:widowControl/>
        <w:spacing w:line="580" w:lineRule="exact"/>
        <w:ind w:firstLine="636"/>
        <w:jc w:val="left"/>
        <w:rPr>
          <w:rStyle w:val="11"/>
          <w:rFonts w:hint="eastAsia" w:ascii="仿宋" w:hAnsi="仿宋" w:eastAsia="仿宋"/>
          <w:sz w:val="32"/>
          <w:szCs w:val="32"/>
        </w:rPr>
      </w:pPr>
    </w:p>
    <w:p>
      <w:pPr>
        <w:widowControl/>
        <w:shd w:val="clear" w:color="auto" w:fill="FFFFFF"/>
        <w:spacing w:line="640" w:lineRule="atLeast"/>
        <w:jc w:val="both"/>
        <w:rPr>
          <w:rFonts w:ascii="仿宋_GB2312" w:eastAsia="仿宋_GB2312"/>
          <w:b/>
          <w:sz w:val="32"/>
          <w:szCs w:val="30"/>
        </w:rPr>
      </w:pP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6A192"/>
    <w:multiLevelType w:val="singleLevel"/>
    <w:tmpl w:val="94C6A192"/>
    <w:lvl w:ilvl="0" w:tentative="0">
      <w:start w:val="1"/>
      <w:numFmt w:val="chineseCounting"/>
      <w:lvlText w:val="(%1)"/>
      <w:lvlJc w:val="left"/>
      <w:pPr>
        <w:tabs>
          <w:tab w:val="left" w:pos="312"/>
        </w:tabs>
        <w:ind w:left="160" w:leftChars="0" w:firstLine="0" w:firstLineChars="0"/>
      </w:pPr>
      <w:rPr>
        <w:rFonts w:hint="eastAsia"/>
      </w:rPr>
    </w:lvl>
  </w:abstractNum>
  <w:abstractNum w:abstractNumId="1">
    <w:nsid w:val="B451C050"/>
    <w:multiLevelType w:val="singleLevel"/>
    <w:tmpl w:val="B451C050"/>
    <w:lvl w:ilvl="0" w:tentative="0">
      <w:start w:val="1"/>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8B1F3A"/>
    <w:rsid w:val="02F0147F"/>
    <w:rsid w:val="032357E6"/>
    <w:rsid w:val="0482526A"/>
    <w:rsid w:val="04AE054B"/>
    <w:rsid w:val="067A6028"/>
    <w:rsid w:val="068F47B3"/>
    <w:rsid w:val="085661D7"/>
    <w:rsid w:val="08906B0E"/>
    <w:rsid w:val="08EC3843"/>
    <w:rsid w:val="0A0925FF"/>
    <w:rsid w:val="0B1144BE"/>
    <w:rsid w:val="0C97247A"/>
    <w:rsid w:val="0D1A7920"/>
    <w:rsid w:val="0D2269B3"/>
    <w:rsid w:val="0DB3098E"/>
    <w:rsid w:val="121D01DC"/>
    <w:rsid w:val="12220323"/>
    <w:rsid w:val="13FB007C"/>
    <w:rsid w:val="164A5699"/>
    <w:rsid w:val="16B036C0"/>
    <w:rsid w:val="17AC6B4B"/>
    <w:rsid w:val="1A705E7F"/>
    <w:rsid w:val="1ABF2D84"/>
    <w:rsid w:val="1E172FD7"/>
    <w:rsid w:val="1E491A3B"/>
    <w:rsid w:val="1F1562D3"/>
    <w:rsid w:val="1F1F7406"/>
    <w:rsid w:val="206D0602"/>
    <w:rsid w:val="22430342"/>
    <w:rsid w:val="22D66EA9"/>
    <w:rsid w:val="23977FB1"/>
    <w:rsid w:val="245C3447"/>
    <w:rsid w:val="25B931E9"/>
    <w:rsid w:val="28263441"/>
    <w:rsid w:val="2828673B"/>
    <w:rsid w:val="290B705B"/>
    <w:rsid w:val="29981D60"/>
    <w:rsid w:val="2B2339AC"/>
    <w:rsid w:val="2B262272"/>
    <w:rsid w:val="2C57797E"/>
    <w:rsid w:val="2DF912FC"/>
    <w:rsid w:val="2E1E67B5"/>
    <w:rsid w:val="2E5A0464"/>
    <w:rsid w:val="2ED4639D"/>
    <w:rsid w:val="2FB1296E"/>
    <w:rsid w:val="304075B1"/>
    <w:rsid w:val="311C29BA"/>
    <w:rsid w:val="318814ED"/>
    <w:rsid w:val="31931AC3"/>
    <w:rsid w:val="3328400E"/>
    <w:rsid w:val="33816906"/>
    <w:rsid w:val="351512FA"/>
    <w:rsid w:val="351A31BB"/>
    <w:rsid w:val="355D74F4"/>
    <w:rsid w:val="3620760D"/>
    <w:rsid w:val="36292659"/>
    <w:rsid w:val="374647FA"/>
    <w:rsid w:val="378D5443"/>
    <w:rsid w:val="385D0202"/>
    <w:rsid w:val="39A3581F"/>
    <w:rsid w:val="39CE49D8"/>
    <w:rsid w:val="3A72259A"/>
    <w:rsid w:val="3A841EE9"/>
    <w:rsid w:val="3A9F1A72"/>
    <w:rsid w:val="3ACF1B11"/>
    <w:rsid w:val="3B437D8D"/>
    <w:rsid w:val="3B7D1841"/>
    <w:rsid w:val="3BA35A87"/>
    <w:rsid w:val="3BA63D5F"/>
    <w:rsid w:val="3BA6547C"/>
    <w:rsid w:val="3D2A2074"/>
    <w:rsid w:val="3DD2151D"/>
    <w:rsid w:val="3DF82B9E"/>
    <w:rsid w:val="3ED43512"/>
    <w:rsid w:val="3F383632"/>
    <w:rsid w:val="3FA910A9"/>
    <w:rsid w:val="3FF84E58"/>
    <w:rsid w:val="4052753A"/>
    <w:rsid w:val="41737C65"/>
    <w:rsid w:val="41B50A3C"/>
    <w:rsid w:val="42DC038C"/>
    <w:rsid w:val="4333364C"/>
    <w:rsid w:val="43BF53DB"/>
    <w:rsid w:val="45732C8D"/>
    <w:rsid w:val="45D833CA"/>
    <w:rsid w:val="45E45B91"/>
    <w:rsid w:val="464E5AFF"/>
    <w:rsid w:val="48C45536"/>
    <w:rsid w:val="4DB628F2"/>
    <w:rsid w:val="4E0D4F31"/>
    <w:rsid w:val="4ED27A80"/>
    <w:rsid w:val="4EFF051F"/>
    <w:rsid w:val="5132216D"/>
    <w:rsid w:val="528E6F80"/>
    <w:rsid w:val="53516268"/>
    <w:rsid w:val="54927B41"/>
    <w:rsid w:val="54CA459D"/>
    <w:rsid w:val="55924F68"/>
    <w:rsid w:val="55EE43AE"/>
    <w:rsid w:val="56C47F55"/>
    <w:rsid w:val="573A53AA"/>
    <w:rsid w:val="5AB93E8B"/>
    <w:rsid w:val="5AE50DC0"/>
    <w:rsid w:val="5BEE0738"/>
    <w:rsid w:val="5EA31F07"/>
    <w:rsid w:val="5EDA0640"/>
    <w:rsid w:val="5F0A606E"/>
    <w:rsid w:val="5F193B70"/>
    <w:rsid w:val="61D17BB5"/>
    <w:rsid w:val="61E31A71"/>
    <w:rsid w:val="62283DE4"/>
    <w:rsid w:val="63E33020"/>
    <w:rsid w:val="654417CB"/>
    <w:rsid w:val="656229B9"/>
    <w:rsid w:val="658856FB"/>
    <w:rsid w:val="675B76C5"/>
    <w:rsid w:val="67983CE4"/>
    <w:rsid w:val="67B10C38"/>
    <w:rsid w:val="67DC7D34"/>
    <w:rsid w:val="683B7F6F"/>
    <w:rsid w:val="68946CF1"/>
    <w:rsid w:val="689C1ACD"/>
    <w:rsid w:val="68E97589"/>
    <w:rsid w:val="6BE248E5"/>
    <w:rsid w:val="6C0637DD"/>
    <w:rsid w:val="6C617282"/>
    <w:rsid w:val="6CCB135B"/>
    <w:rsid w:val="6EAF555B"/>
    <w:rsid w:val="6EDB6140"/>
    <w:rsid w:val="6F2C7111"/>
    <w:rsid w:val="714A36AC"/>
    <w:rsid w:val="71AF11DD"/>
    <w:rsid w:val="71D07DB6"/>
    <w:rsid w:val="72746F20"/>
    <w:rsid w:val="73543105"/>
    <w:rsid w:val="73A85115"/>
    <w:rsid w:val="759E1500"/>
    <w:rsid w:val="788909AF"/>
    <w:rsid w:val="79440281"/>
    <w:rsid w:val="7B327E4D"/>
    <w:rsid w:val="7BEA0401"/>
    <w:rsid w:val="7C1C38B8"/>
    <w:rsid w:val="7D1C2D3E"/>
    <w:rsid w:val="7D937BAB"/>
    <w:rsid w:val="7EAD5634"/>
    <w:rsid w:val="7F6037AB"/>
    <w:rsid w:val="7FA42B2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542</Words>
  <Characters>569</Characters>
  <Lines>53</Lines>
  <Paragraphs>15</Paragraphs>
  <TotalTime>27</TotalTime>
  <ScaleCrop>false</ScaleCrop>
  <LinksUpToDate>false</LinksUpToDate>
  <CharactersWithSpaces>596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灥児</cp:lastModifiedBy>
  <dcterms:modified xsi:type="dcterms:W3CDTF">2025-01-07T02:07:26Z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