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庐山市东牯山林场</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pPr>
        <w:pStyle w:val="12"/>
        <w:spacing w:line="600" w:lineRule="atLeast"/>
        <w:jc w:val="center"/>
        <w:rPr>
          <w:rFonts w:ascii="黑体" w:hAnsi="黑体" w:eastAsia="黑体"/>
          <w:color w:val="auto"/>
          <w:sz w:val="32"/>
          <w:szCs w:val="32"/>
        </w:rPr>
      </w:pPr>
    </w:p>
    <w:p>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pPr>
        <w:pStyle w:val="12"/>
        <w:rPr>
          <w:rFonts w:ascii="宋体" w:hAnsi="宋体"/>
          <w:color w:val="auto"/>
        </w:rPr>
      </w:pPr>
    </w:p>
    <w:p>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庐山市东牯山林场</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庐山市东牯山林场</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庐山市东牯山林场</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庐山市东牯山林场</w:t>
      </w:r>
      <w:r>
        <w:rPr>
          <w:color w:val="auto"/>
        </w:rPr>
        <w:fldChar w:fldCharType="end"/>
      </w:r>
      <w:r>
        <w:rPr>
          <w:rFonts w:hint="eastAsia" w:ascii="仿宋_GB2312" w:eastAsia="仿宋_GB2312"/>
          <w:b/>
          <w:color w:val="auto"/>
          <w:sz w:val="32"/>
          <w:szCs w:val="30"/>
        </w:rPr>
        <w:t>概况</w:t>
      </w:r>
    </w:p>
    <w:p>
      <w:pPr>
        <w:widowControl/>
        <w:spacing w:line="580" w:lineRule="exact"/>
        <w:jc w:val="left"/>
        <w:rPr>
          <w:rFonts w:asciiTheme="minorEastAsia" w:hAnsiTheme="minorEastAsia"/>
          <w:b/>
          <w:color w:val="auto"/>
          <w:sz w:val="36"/>
          <w:szCs w:val="36"/>
        </w:rPr>
      </w:pPr>
    </w:p>
    <w:p>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pPr>
        <w:keepNext w:val="0"/>
        <w:keepLines w:val="0"/>
        <w:pageBreakBefore w:val="0"/>
        <w:kinsoku/>
        <w:wordWrap/>
        <w:overflowPunct/>
        <w:topLinePunct w:val="0"/>
        <w:autoSpaceDE/>
        <w:autoSpaceDN/>
        <w:bidi w:val="0"/>
        <w:adjustRightInd/>
        <w:snapToGrid/>
        <w:spacing w:before="32" w:beforeLines="10" w:after="32" w:afterLines="10"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东牯山林场</w:t>
      </w:r>
      <w:r>
        <w:rPr>
          <w:rFonts w:hint="eastAsia" w:ascii="仿宋" w:hAnsi="仿宋" w:eastAsia="仿宋" w:cs="仿宋"/>
          <w:color w:val="auto"/>
          <w:sz w:val="32"/>
          <w:szCs w:val="32"/>
        </w:rPr>
        <w:t>是</w:t>
      </w:r>
      <w:r>
        <w:rPr>
          <w:rFonts w:hint="eastAsia" w:ascii="仿宋" w:hAnsi="仿宋" w:eastAsia="仿宋" w:cs="仿宋"/>
          <w:color w:val="auto"/>
          <w:sz w:val="32"/>
          <w:szCs w:val="32"/>
          <w:lang w:eastAsia="zh-CN"/>
        </w:rPr>
        <w:t>庐山市（庐山风景名胜区管理局）天然林保护中心的二级单位</w:t>
      </w:r>
      <w:r>
        <w:rPr>
          <w:rFonts w:hint="eastAsia" w:ascii="仿宋" w:hAnsi="仿宋" w:eastAsia="仿宋" w:cs="仿宋"/>
          <w:color w:val="auto"/>
          <w:sz w:val="32"/>
          <w:szCs w:val="32"/>
        </w:rPr>
        <w:t>，主要职责是：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宣传贯彻执行党中央、国务院和省、九江市、庐山市有关国有林场建设及生态建设的方针政策和法律法规</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负责辖区内森林资源培育、野生动植物资源保护</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森林防灭火、林业有害生物防治等工作，维护林场</w:t>
      </w:r>
      <w:r>
        <w:rPr>
          <w:rFonts w:hint="eastAsia" w:ascii="仿宋" w:hAnsi="仿宋" w:eastAsia="仿宋" w:cs="仿宋"/>
          <w:color w:val="auto"/>
          <w:sz w:val="32"/>
          <w:szCs w:val="32"/>
          <w:lang w:val="en-US" w:eastAsia="zh-CN"/>
        </w:rPr>
        <w:t>范围</w:t>
      </w:r>
      <w:r>
        <w:rPr>
          <w:rFonts w:hint="eastAsia" w:ascii="仿宋" w:hAnsi="仿宋" w:eastAsia="仿宋" w:cs="仿宋"/>
          <w:color w:val="auto"/>
          <w:sz w:val="32"/>
          <w:szCs w:val="32"/>
        </w:rPr>
        <w:t>内生态安全和木材安全，扩大森林资源，提高森林质量。</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(三)负责辖区公益林管护工作，落实管护责任，充分发挥公益林的生态效益。</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(四)负责对辖区内森林资源林下经济发展、森林体验及养生、森林生态旅游等公益性服务，促进辖区内林下经济产业管理和合理利用。</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(五)负责林木苗圃科技服务建设，承担在辖区内组织开展造林绿化、生态修复、技术推广、试点示范、生态文化科普宣传工作。</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(六)负责辖区内森林公园的管理，保护森林风景资源和生物多样性，普及生态文化知识。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(七)承办市(局)天然林保护中心交办的其他工作任务。</w:t>
      </w:r>
    </w:p>
    <w:p>
      <w:pPr>
        <w:rPr>
          <w:b/>
          <w:color w:val="auto"/>
          <w:sz w:val="36"/>
          <w:szCs w:val="36"/>
        </w:rPr>
      </w:pPr>
      <w:r>
        <w:rPr>
          <w:rFonts w:hint="eastAsia"/>
          <w:b/>
          <w:color w:val="auto"/>
          <w:sz w:val="36"/>
          <w:szCs w:val="36"/>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sz w:val="32"/>
          <w:szCs w:val="32"/>
          <w:lang w:val="en-US"/>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w:t>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MERGEFIELD ${page540426799.ds254512694_REP_JXJC_AGENCY_WZR_NAME}</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lang w:eastAsia="zh-CN"/>
        </w:rPr>
        <w:t>庐山市东牯山林场</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内设处室</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个，包括</w:t>
      </w:r>
      <w:r>
        <w:rPr>
          <w:rFonts w:hint="eastAsia" w:ascii="仿宋" w:hAnsi="仿宋" w:eastAsia="仿宋" w:cs="仿宋"/>
          <w:b/>
          <w:bCs/>
          <w:color w:val="auto"/>
          <w:sz w:val="32"/>
          <w:szCs w:val="32"/>
          <w:lang w:val="en-US" w:eastAsia="zh-CN"/>
        </w:rPr>
        <w:t>办公室</w:t>
      </w:r>
      <w:r>
        <w:rPr>
          <w:rFonts w:hint="eastAsia" w:ascii="仿宋" w:hAnsi="仿宋" w:eastAsia="仿宋" w:cs="仿宋"/>
          <w:color w:val="auto"/>
          <w:sz w:val="32"/>
          <w:szCs w:val="32"/>
          <w:lang w:val="en-US" w:eastAsia="zh-CN"/>
        </w:rPr>
        <w:t>：负责场机关日常运转工作。负责拟定场发展规划和年度工作计划，承担综合协调，督办落实、文稿起草、文件收发、财务统计、争资争项、招商、保险等工作;负责干部职工的政治思想、教育培训、管理服务等工作；</w:t>
      </w:r>
      <w:r>
        <w:rPr>
          <w:rFonts w:hint="eastAsia" w:ascii="仿宋" w:hAnsi="仿宋" w:eastAsia="仿宋" w:cs="仿宋"/>
          <w:b/>
          <w:bCs/>
          <w:color w:val="auto"/>
          <w:sz w:val="32"/>
          <w:szCs w:val="32"/>
          <w:lang w:val="en-US" w:eastAsia="zh-CN"/>
        </w:rPr>
        <w:t>产业发展股</w:t>
      </w:r>
      <w:r>
        <w:rPr>
          <w:rFonts w:hint="eastAsia" w:ascii="仿宋" w:hAnsi="仿宋" w:eastAsia="仿宋" w:cs="仿宋"/>
          <w:color w:val="auto"/>
          <w:sz w:val="32"/>
          <w:szCs w:val="32"/>
          <w:lang w:val="en-US" w:eastAsia="zh-CN"/>
        </w:rPr>
        <w:t>：负责森林资源培育保护、生态环境保护矿产资源保护、野生动植物资源保护、林业有害生物防治、保护森林风景资源和生物多样性等工作；</w:t>
      </w:r>
      <w:r>
        <w:rPr>
          <w:rFonts w:hint="eastAsia" w:ascii="仿宋" w:hAnsi="仿宋" w:eastAsia="仿宋" w:cs="仿宋"/>
          <w:b/>
          <w:bCs/>
          <w:color w:val="auto"/>
          <w:sz w:val="32"/>
          <w:szCs w:val="32"/>
          <w:lang w:val="en-US" w:eastAsia="zh-CN"/>
        </w:rPr>
        <w:t>资源培育股：</w:t>
      </w:r>
      <w:r>
        <w:rPr>
          <w:rFonts w:hint="eastAsia" w:ascii="仿宋" w:hAnsi="仿宋" w:eastAsia="仿宋" w:cs="仿宋"/>
          <w:color w:val="auto"/>
          <w:sz w:val="32"/>
          <w:szCs w:val="32"/>
          <w:lang w:val="en-US" w:eastAsia="zh-CN"/>
        </w:rPr>
        <w:t>负责做好辖区内森林防灭火、森林公园管理及森林旅游资源开发利用，发展茶叶、苗木等林下经济，做好林业技术推广、试点示范、生态文化、科普宣传等工作；</w:t>
      </w:r>
      <w:r>
        <w:rPr>
          <w:rFonts w:hint="eastAsia" w:ascii="仿宋" w:hAnsi="仿宋" w:eastAsia="仿宋" w:cs="仿宋"/>
          <w:b/>
          <w:bCs/>
          <w:color w:val="auto"/>
          <w:sz w:val="32"/>
          <w:szCs w:val="32"/>
          <w:lang w:val="en-US" w:eastAsia="zh-CN"/>
        </w:rPr>
        <w:t>管护中心：</w:t>
      </w:r>
      <w:r>
        <w:rPr>
          <w:rFonts w:hint="eastAsia" w:ascii="仿宋" w:hAnsi="仿宋" w:eastAsia="仿宋" w:cs="仿宋"/>
          <w:color w:val="auto"/>
          <w:sz w:val="32"/>
          <w:szCs w:val="32"/>
          <w:lang w:val="en-US" w:eastAsia="zh-CN"/>
        </w:rPr>
        <w:t>负责栖贤管护站、七贤管护站、茶园管护站、唐家岭管护站等4个管护站的管理工作。</w:t>
      </w:r>
      <w:bookmarkStart w:id="1" w:name="_GoBack"/>
      <w:bookmarkEnd w:id="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16</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16</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14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14</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5</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庐山市东牯山林场</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（详见附表）</w:t>
      </w:r>
    </w:p>
    <w:p>
      <w:pPr>
        <w:ind w:firstLine="640" w:firstLineChars="200"/>
        <w:jc w:val="left"/>
        <w:rPr>
          <w:rFonts w:hint="eastAsia" w:ascii="仿宋" w:hAnsi="仿宋" w:eastAsia="仿宋"/>
          <w:bCs/>
          <w:color w:val="auto"/>
          <w:sz w:val="32"/>
          <w:szCs w:val="32"/>
        </w:rPr>
      </w:pPr>
    </w:p>
    <w:p>
      <w:pPr>
        <w:ind w:firstLine="640" w:firstLineChars="200"/>
        <w:jc w:val="left"/>
        <w:rPr>
          <w:rFonts w:hint="eastAsia" w:ascii="仿宋" w:hAnsi="仿宋" w:eastAsia="仿宋"/>
          <w:bCs/>
          <w:color w:val="auto"/>
          <w:sz w:val="32"/>
          <w:szCs w:val="32"/>
        </w:rPr>
      </w:pPr>
    </w:p>
    <w:p>
      <w:pPr>
        <w:jc w:val="left"/>
        <w:rPr>
          <w:rFonts w:hint="eastAsia" w:ascii="仿宋" w:hAnsi="仿宋" w:eastAsia="仿宋"/>
          <w:bCs/>
          <w:color w:val="auto"/>
          <w:sz w:val="32"/>
          <w:szCs w:val="32"/>
        </w:rPr>
      </w:pPr>
    </w:p>
    <w:p>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lang w:val="en-US" w:eastAsia="zh-CN"/>
        </w:rPr>
        <w:t xml:space="preserve">   </w:t>
      </w: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庐山市东牯山林场</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庐山市东牯山林场</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491.95</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66.29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482.16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23.81</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w:t>
      </w:r>
      <w:r>
        <w:rPr>
          <w:rFonts w:hint="eastAsia" w:ascii="仿宋" w:hAnsi="仿宋" w:eastAsia="仿宋" w:cs="Times New Roman"/>
          <w:color w:val="auto"/>
          <w:kern w:val="0"/>
          <w:sz w:val="32"/>
          <w:szCs w:val="32"/>
          <w:highlight w:val="none"/>
          <w:lang w:val="en-US" w:eastAsia="zh-CN"/>
        </w:rPr>
        <w:t>原因为</w:t>
      </w:r>
      <w:bookmarkStart w:id="0" w:name="OLE_LINK1"/>
      <w:r>
        <w:rPr>
          <w:rFonts w:hint="eastAsia" w:ascii="仿宋" w:hAnsi="仿宋" w:eastAsia="仿宋" w:cs="Times New Roman"/>
          <w:color w:val="auto"/>
          <w:kern w:val="0"/>
          <w:sz w:val="32"/>
          <w:szCs w:val="32"/>
          <w:highlight w:val="none"/>
          <w:lang w:val="en-US" w:eastAsia="zh-CN"/>
        </w:rPr>
        <w:t>增加了防火护林人员补助资金</w:t>
      </w:r>
      <w:bookmarkEnd w:id="0"/>
      <w:r>
        <w:rPr>
          <w:rFonts w:hint="eastAsia" w:ascii="仿宋" w:hAnsi="仿宋" w:eastAsia="仿宋" w:cs="Times New Roman"/>
          <w:color w:val="auto"/>
          <w:kern w:val="0"/>
          <w:sz w:val="32"/>
          <w:szCs w:val="32"/>
          <w:highlight w:val="none"/>
          <w:lang w:val="en-US" w:eastAsia="zh-CN"/>
        </w:rPr>
        <w:t>，减少变化原因为减少了自有资金。</w:t>
      </w:r>
    </w:p>
    <w:p>
      <w:pPr>
        <w:widowControl/>
        <w:ind w:firstLine="640" w:firstLineChars="200"/>
        <w:rPr>
          <w:rFonts w:hint="default" w:ascii="仿宋" w:hAnsi="仿宋" w:cs="Times New Roman" w:eastAsiaTheme="minorEastAsia"/>
          <w:color w:val="auto"/>
          <w:kern w:val="0"/>
          <w:sz w:val="32"/>
          <w:szCs w:val="32"/>
          <w:lang w:val="en-US" w:eastAsia="zh-CN"/>
        </w:rPr>
      </w:pPr>
    </w:p>
    <w:p>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庐山市东牯山林场</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491.95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66.29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w:t>
      </w:r>
      <w:r>
        <w:rPr>
          <w:rFonts w:hint="eastAsia" w:ascii="仿宋" w:hAnsi="仿宋" w:eastAsia="仿宋" w:cs="Times New Roman"/>
          <w:color w:val="auto"/>
          <w:kern w:val="0"/>
          <w:sz w:val="32"/>
          <w:szCs w:val="32"/>
          <w:highlight w:val="none"/>
          <w:lang w:val="en-US" w:eastAsia="zh-CN"/>
        </w:rPr>
        <w:t>因为减少了自有资金支出。</w:t>
      </w:r>
    </w:p>
    <w:p>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247.89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11.81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216.11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18.04</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12.24</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244.05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85.52</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235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9.05</w:t>
      </w:r>
      <w:r>
        <w:rPr>
          <w:rStyle w:val="11"/>
          <w:rFonts w:ascii="仿宋" w:hAnsi="仿宋" w:eastAsia="仿宋"/>
          <w:color w:val="auto"/>
          <w:sz w:val="32"/>
          <w:szCs w:val="32"/>
        </w:rPr>
        <w:t>万元。</w:t>
      </w:r>
      <w:r>
        <w:rPr>
          <w:color w:val="auto"/>
        </w:rPr>
        <w:fldChar w:fldCharType="end"/>
      </w:r>
    </w:p>
    <w:p>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农林水</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377.95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78.06</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33.15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12.71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2.04</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18.14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0.73</w:t>
      </w:r>
      <w:r>
        <w:rPr>
          <w:rStyle w:val="11"/>
          <w:rFonts w:ascii="仿宋" w:hAnsi="仿宋" w:eastAsia="仿宋"/>
          <w:color w:val="auto"/>
          <w:sz w:val="32"/>
          <w:szCs w:val="32"/>
        </w:rPr>
        <w:t>万元。</w:t>
      </w:r>
      <w:r>
        <w:rPr>
          <w:color w:val="auto"/>
        </w:rPr>
        <w:fldChar w:fldCharType="end"/>
      </w:r>
    </w:p>
    <w:p>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216.11</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1.93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347.57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329.57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12.24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12.20</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9.05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9.05</w:t>
      </w:r>
      <w:r>
        <w:rPr>
          <w:rStyle w:val="11"/>
          <w:rFonts w:ascii="仿宋" w:hAnsi="仿宋" w:eastAsia="仿宋"/>
          <w:color w:val="auto"/>
          <w:sz w:val="32"/>
          <w:szCs w:val="32"/>
        </w:rPr>
        <w:t>万元。</w:t>
      </w:r>
      <w:r>
        <w:rPr>
          <w:color w:val="auto"/>
        </w:rPr>
        <w:fldChar w:fldCharType="end"/>
      </w:r>
    </w:p>
    <w:p>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庐山市东牯山林场</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482.16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23.81</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w:t>
      </w:r>
      <w:r>
        <w:rPr>
          <w:rFonts w:hint="eastAsia" w:ascii="仿宋" w:hAnsi="仿宋" w:eastAsia="仿宋" w:cs="Times New Roman"/>
          <w:color w:val="auto"/>
          <w:kern w:val="0"/>
          <w:sz w:val="32"/>
          <w:szCs w:val="32"/>
          <w:highlight w:val="none"/>
          <w:lang w:val="en-US" w:eastAsia="zh-CN"/>
        </w:rPr>
        <w:t>为增加了防火护林人员补助资金。</w:t>
      </w:r>
    </w:p>
    <w:p>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农林水</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368.16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19.44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33.15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12.71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2.04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18.14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0.73</w:t>
      </w:r>
      <w:r>
        <w:rPr>
          <w:rStyle w:val="11"/>
          <w:rFonts w:ascii="仿宋" w:hAnsi="仿宋" w:eastAsia="仿宋"/>
          <w:color w:val="auto"/>
          <w:sz w:val="32"/>
          <w:szCs w:val="32"/>
        </w:rPr>
        <w:t>万元。</w:t>
      </w:r>
      <w:r>
        <w:rPr>
          <w:color w:val="auto"/>
        </w:rPr>
        <w:fldChar w:fldCharType="end"/>
      </w:r>
    </w:p>
    <w:p>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247.89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11.81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216.11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18.04</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12.24</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234.27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234.27</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225.22</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9.05</w:t>
      </w:r>
      <w:r>
        <w:rPr>
          <w:rStyle w:val="11"/>
          <w:rFonts w:ascii="仿宋" w:hAnsi="仿宋" w:eastAsia="仿宋"/>
          <w:color w:val="auto"/>
          <w:sz w:val="32"/>
          <w:szCs w:val="32"/>
        </w:rPr>
        <w:t>万元。</w:t>
      </w:r>
      <w:r>
        <w:rPr>
          <w:color w:val="auto"/>
        </w:rPr>
        <w:fldChar w:fldCharType="end"/>
      </w:r>
    </w:p>
    <w:p>
      <w:pPr>
        <w:ind w:firstLine="420" w:firstLineChars="200"/>
        <w:rPr>
          <w:color w:val="auto"/>
        </w:rPr>
      </w:pPr>
    </w:p>
    <w:p>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pPr>
        <w:ind w:firstLine="640" w:firstLineChars="200"/>
        <w:rPr>
          <w:rFonts w:ascii="Adobe 仿宋 Std R" w:hAnsi="Adobe 仿宋 Std R" w:eastAsia="Adobe 仿宋 Std R"/>
          <w:color w:val="auto"/>
        </w:rPr>
      </w:pPr>
      <w:r>
        <w:rPr>
          <w:rFonts w:hint="eastAsia" w:ascii="Adobe 仿宋 Std R" w:hAnsi="Adobe 仿宋 Std R" w:eastAsia="Adobe 仿宋 Std R"/>
          <w:color w:val="auto"/>
          <w:sz w:val="32"/>
          <w:szCs w:val="32"/>
          <w:lang w:eastAsia="zh-CN"/>
        </w:rPr>
        <w:t>本单位没有使用政府性基金预算拨款安排的支出。</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pPr>
        <w:ind w:firstLine="640" w:firstLineChars="200"/>
        <w:rPr>
          <w:rStyle w:val="11"/>
          <w:rFonts w:hint="eastAsia" w:ascii="仿宋" w:hAnsi="仿宋" w:eastAsia="仿宋"/>
          <w:color w:val="auto"/>
          <w:sz w:val="32"/>
          <w:szCs w:val="32"/>
          <w:lang w:eastAsia="zh-CN"/>
        </w:rPr>
      </w:pPr>
      <w:r>
        <w:rPr>
          <w:rStyle w:val="11"/>
          <w:rFonts w:hint="eastAsia" w:ascii="仿宋" w:hAnsi="仿宋" w:eastAsia="仿宋"/>
          <w:color w:val="auto"/>
          <w:sz w:val="32"/>
          <w:szCs w:val="32"/>
          <w:lang w:eastAsia="zh-CN"/>
        </w:rPr>
        <w:t>本单位没有使用国有资本经营预算拨款安排的支出。</w:t>
      </w:r>
    </w:p>
    <w:p>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pPr>
        <w:widowControl/>
        <w:spacing w:line="580" w:lineRule="exact"/>
        <w:ind w:firstLine="636"/>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本单位为非行政参公单位，无机关运行经费。</w:t>
      </w:r>
    </w:p>
    <w:p>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6.7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6.4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0.3</w:t>
      </w:r>
      <w:r>
        <w:rPr>
          <w:rFonts w:hint="eastAsia" w:ascii="Adobe 仿宋 Std R" w:hAnsi="Adobe 仿宋 Std R" w:eastAsia="Adobe 仿宋 Std R"/>
          <w:color w:val="auto"/>
          <w:sz w:val="32"/>
          <w:szCs w:val="32"/>
        </w:rPr>
        <w:t>万元。</w:t>
      </w:r>
    </w:p>
    <w:p>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${page540426799.ds376136392_REP_JX_BAS_AGENCY_INFO_DXQRSDW_S_CLSYS}</w:instrText>
      </w:r>
      <w:r>
        <w:rPr>
          <w:rFonts w:ascii="Adobe 仿宋 Std R" w:hAnsi="Adobe 仿宋 Std R" w:eastAsia="Adobe 仿宋 Std R"/>
          <w:color w:val="auto"/>
          <w:sz w:val="32"/>
          <w:szCs w:val="32"/>
          <w:highlight w:val="none"/>
        </w:rPr>
        <w:fldChar w:fldCharType="separate"/>
      </w:r>
      <w:r>
        <w:rPr>
          <w:rFonts w:ascii="Adobe 仿宋 Std R" w:hAnsi="Adobe 仿宋 Std R" w:eastAsia="Adobe 仿宋 Std R"/>
          <w:color w:val="auto"/>
          <w:sz w:val="32"/>
          <w:szCs w:val="32"/>
          <w:highlight w:val="none"/>
        </w:rPr>
        <w:t>单位共有车辆</w:t>
      </w:r>
      <w:r>
        <w:rPr>
          <w:rFonts w:hint="eastAsia" w:ascii="Adobe 仿宋 Std R" w:hAnsi="Adobe 仿宋 Std R" w:eastAsia="Adobe 仿宋 Std R"/>
          <w:color w:val="auto"/>
          <w:sz w:val="32"/>
          <w:szCs w:val="32"/>
          <w:highlight w:val="none"/>
          <w:lang w:val="en-US" w:eastAsia="zh-CN"/>
        </w:rPr>
        <w:t>1</w:t>
      </w:r>
      <w:r>
        <w:rPr>
          <w:rFonts w:ascii="Adobe 仿宋 Std R" w:hAnsi="Adobe 仿宋 Std R" w:eastAsia="Adobe 仿宋 Std R"/>
          <w:color w:val="auto"/>
          <w:sz w:val="32"/>
          <w:szCs w:val="32"/>
          <w:highlight w:val="none"/>
        </w:rPr>
        <w:t>辆,其中：一般公务用车实有数</w:t>
      </w:r>
      <w:r>
        <w:rPr>
          <w:rFonts w:hint="eastAsia" w:ascii="Adobe 仿宋 Std R" w:hAnsi="Adobe 仿宋 Std R" w:eastAsia="Adobe 仿宋 Std R"/>
          <w:color w:val="auto"/>
          <w:sz w:val="32"/>
          <w:szCs w:val="32"/>
          <w:highlight w:val="none"/>
          <w:lang w:val="en-US" w:eastAsia="zh-CN"/>
        </w:rPr>
        <w:t>1</w:t>
      </w:r>
      <w:r>
        <w:rPr>
          <w:rFonts w:ascii="Adobe 仿宋 Std R" w:hAnsi="Adobe 仿宋 Std R" w:eastAsia="Adobe 仿宋 Std R"/>
          <w:color w:val="auto"/>
          <w:sz w:val="32"/>
          <w:szCs w:val="32"/>
          <w:highlight w:val="none"/>
        </w:rPr>
        <w:t>辆</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执法车辆0辆</w:t>
      </w:r>
      <w:r>
        <w:rPr>
          <w:rFonts w:ascii="Adobe 仿宋 Std R" w:hAnsi="Adobe 仿宋 Std R" w:eastAsia="Adobe 仿宋 Std R"/>
          <w:color w:val="auto"/>
          <w:sz w:val="32"/>
          <w:szCs w:val="32"/>
          <w:highlight w:val="none"/>
        </w:rPr>
        <w:t>。</w:t>
      </w:r>
      <w:r>
        <w:rPr>
          <w:color w:val="auto"/>
          <w:highlight w:val="none"/>
        </w:rPr>
        <w:fldChar w:fldCharType="end"/>
      </w:r>
    </w:p>
    <w:p>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single"/>
          <w:lang w:eastAsia="zh-CN"/>
        </w:rPr>
        <w:t>无</w:t>
      </w:r>
      <w:r>
        <w:rPr>
          <w:rFonts w:hint="eastAsia" w:ascii="仿宋_GB2312" w:eastAsia="仿宋_GB2312"/>
          <w:color w:val="auto"/>
          <w:sz w:val="32"/>
          <w:szCs w:val="30"/>
        </w:rPr>
        <w:t>。</w:t>
      </w:r>
    </w:p>
    <w:p>
      <w:pPr>
        <w:numPr>
          <w:ilvl w:val="0"/>
          <w:numId w:val="1"/>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项目情况说明</w:t>
      </w: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森林防灭火工作经费，保证半专业队工作需要</w:t>
      </w:r>
      <w:r>
        <w:rPr>
          <w:rFonts w:hint="eastAsia" w:ascii="Adobe 仿宋 Std R" w:hAnsi="Adobe 仿宋 Std R" w:eastAsia="Adobe 仿宋 Std R"/>
          <w:color w:val="auto"/>
          <w:sz w:val="32"/>
          <w:szCs w:val="32"/>
          <w:lang w:eastAsia="zh-CN"/>
        </w:rPr>
        <w:t>。</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申请报告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半专业队工作</w:t>
      </w:r>
      <w:r>
        <w:rPr>
          <w:rFonts w:hint="eastAsia" w:ascii="Adobe 仿宋 Std R" w:hAnsi="Adobe 仿宋 Std R" w:eastAsia="Adobe 仿宋 Std R"/>
          <w:color w:val="auto"/>
          <w:sz w:val="32"/>
          <w:szCs w:val="32"/>
          <w:lang w:val="en-US" w:eastAsia="zh-CN"/>
        </w:rPr>
        <w:t>工作经费</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50万元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庐山区域东牯山林场17人防火护林补助资金。</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申请报告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17人防火护林补助资金。</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30.6万元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2024-2025年度松材线虫病除治项目。</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庐财农指〔2024〕48号关于下达庐山市2024-2025年度松材线虫病防控资金的通知</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东牯山林场辖区范围内枯死松树清除率和实施除害处理合格率均达到100％。</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72.3744万元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一般非税安排的支出。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非税测算表</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保障东牯山林场基本运转。</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13.09万元</w:t>
      </w:r>
    </w:p>
    <w:p>
      <w:pPr>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东牯山林场工作经费，保障东牯山林场工作正常运转</w:t>
      </w:r>
      <w:r>
        <w:rPr>
          <w:rFonts w:hint="eastAsia" w:ascii="Adobe 仿宋 Std R" w:hAnsi="Adobe 仿宋 Std R" w:eastAsia="Adobe 仿宋 Std R"/>
          <w:color w:val="auto"/>
          <w:sz w:val="32"/>
          <w:szCs w:val="32"/>
          <w:lang w:eastAsia="zh-CN"/>
        </w:rPr>
        <w:t>。</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申请报告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全面保障林场基本运转</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68万元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2024年度肇事肇祸精神病人员及三级以上严重精神病人员有奖监护资金。</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：庐财行指【2024】30号关于提前下达202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lang w:eastAsia="zh-CN"/>
        </w:rPr>
        <w:t>年度肇事肇祸等严重精神障碍患者有奖监护资金的通知</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保障患者合法权益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0.2万元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专用于生态公益林受灾地，对公益林更好管护。</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：庐财农指〔2024〕70号关于分配生态公益林保险理赔赔付资金的通知</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生态公益林受灾地的造林、抚育、管护、生物防火林带建设和森林病虫害防治</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5万元</w:t>
      </w:r>
    </w:p>
    <w:p>
      <w:pPr>
        <w:ind w:firstLine="642"/>
        <w:rPr>
          <w:rFonts w:hint="eastAsia" w:ascii="Adobe 仿宋 Std R" w:hAnsi="Adobe 仿宋 Std R" w:eastAsia="Adobe 仿宋 Std R"/>
          <w:color w:val="auto"/>
          <w:sz w:val="32"/>
          <w:szCs w:val="32"/>
          <w:lang w:val="en-US" w:eastAsia="zh-CN"/>
        </w:rPr>
      </w:pPr>
    </w:p>
    <w:p>
      <w:pPr>
        <w:numPr>
          <w:ilvl w:val="0"/>
          <w:numId w:val="2"/>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单位自有资金，保障单位运转。</w:t>
      </w:r>
    </w:p>
    <w:p>
      <w:pPr>
        <w:numPr>
          <w:ilvl w:val="0"/>
          <w:numId w:val="2"/>
        </w:numPr>
        <w:ind w:left="1122" w:leftChars="0" w:firstLine="0" w:firstLineChars="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非税测算表</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全面保障林场基本运转</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4.9万元</w:t>
      </w:r>
    </w:p>
    <w:p>
      <w:pPr>
        <w:ind w:firstLine="642"/>
        <w:rPr>
          <w:rFonts w:ascii="Adobe 仿宋 Std R" w:hAnsi="Adobe 仿宋 Std R" w:eastAsia="Adobe 仿宋 Std R"/>
          <w:color w:val="auto"/>
          <w:sz w:val="32"/>
          <w:szCs w:val="32"/>
        </w:rPr>
      </w:pPr>
    </w:p>
    <w:p>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庐山市东牯山林场</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1.67</w:t>
      </w:r>
      <w:r>
        <w:rPr>
          <w:rFonts w:hint="eastAsia" w:ascii="仿宋" w:hAnsi="仿宋" w:eastAsia="仿宋"/>
          <w:bCs/>
          <w:color w:val="auto"/>
          <w:sz w:val="32"/>
          <w:szCs w:val="32"/>
        </w:rPr>
        <w:t>万元，其中：</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1"/>
          <w:rFonts w:hint="eastAsia" w:ascii="仿宋" w:hAnsi="仿宋" w:eastAsia="仿宋"/>
          <w:b/>
          <w:color w:val="auto"/>
          <w:sz w:val="32"/>
          <w:szCs w:val="32"/>
        </w:rPr>
        <w:t>与上年安排保持一致</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0.08</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本年未安排公务接待活动</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1.67</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0.5</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汽油价格上涨，公用用油增加</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1"/>
          <w:rFonts w:hint="eastAsia" w:ascii="仿宋" w:hAnsi="仿宋" w:eastAsia="仿宋"/>
          <w:b/>
          <w:color w:val="auto"/>
          <w:sz w:val="32"/>
          <w:szCs w:val="32"/>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pPr>
        <w:ind w:firstLine="640" w:firstLineChars="200"/>
        <w:rPr>
          <w:rFonts w:ascii="Adobe 仿宋 Std R" w:hAnsi="Adobe 仿宋 Std R" w:eastAsia="Adobe 仿宋 Std R"/>
          <w:color w:val="auto"/>
          <w:sz w:val="32"/>
          <w:szCs w:val="32"/>
        </w:rPr>
      </w:pPr>
    </w:p>
    <w:p>
      <w:pPr>
        <w:ind w:firstLine="640" w:firstLineChars="200"/>
        <w:rPr>
          <w:rFonts w:ascii="Adobe 仿宋 Std R" w:hAnsi="Adobe 仿宋 Std R" w:eastAsia="Adobe 仿宋 Std R"/>
          <w:color w:val="auto"/>
          <w:sz w:val="32"/>
          <w:szCs w:val="32"/>
        </w:rPr>
      </w:pPr>
    </w:p>
    <w:p>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C89C45"/>
    <w:multiLevelType w:val="singleLevel"/>
    <w:tmpl w:val="F5C89C45"/>
    <w:lvl w:ilvl="0" w:tentative="0">
      <w:start w:val="9"/>
      <w:numFmt w:val="chineseCounting"/>
      <w:suff w:val="nothing"/>
      <w:lvlText w:val="（%1）"/>
      <w:lvlJc w:val="left"/>
      <w:rPr>
        <w:rFonts w:hint="eastAsia"/>
      </w:rPr>
    </w:lvl>
  </w:abstractNum>
  <w:abstractNum w:abstractNumId="1">
    <w:nsid w:val="04FFC1A6"/>
    <w:multiLevelType w:val="singleLevel"/>
    <w:tmpl w:val="04FFC1A6"/>
    <w:lvl w:ilvl="0" w:tentative="0">
      <w:start w:val="1"/>
      <w:numFmt w:val="decimal"/>
      <w:suff w:val="nothing"/>
      <w:lvlText w:val="%1）"/>
      <w:lvlJc w:val="left"/>
      <w:pPr>
        <w:ind w:left="1122" w:leftChars="0" w:firstLine="0" w:firstLineChars="0"/>
      </w:p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iMzJlMjJlZDQ5OGM1NGE1ZDJmNjU1YzYwNDZkMmUifQ=="/>
    <w:docVar w:name="KSO_WPS_MARK_KEY" w:val="37f7e762-d866-41cc-980b-a4c70d2b49e0"/>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7915DBD"/>
    <w:rsid w:val="08EC3843"/>
    <w:rsid w:val="0A0925FF"/>
    <w:rsid w:val="0C97247A"/>
    <w:rsid w:val="0D1A7920"/>
    <w:rsid w:val="0D2269B3"/>
    <w:rsid w:val="0DB3098E"/>
    <w:rsid w:val="0E2836B8"/>
    <w:rsid w:val="12220323"/>
    <w:rsid w:val="13FB007C"/>
    <w:rsid w:val="145C26DB"/>
    <w:rsid w:val="16B036C0"/>
    <w:rsid w:val="1A705E7F"/>
    <w:rsid w:val="1ABF2D84"/>
    <w:rsid w:val="1CA575F7"/>
    <w:rsid w:val="1E172FD7"/>
    <w:rsid w:val="1E491A3B"/>
    <w:rsid w:val="1F1F7406"/>
    <w:rsid w:val="20601D7E"/>
    <w:rsid w:val="206D0602"/>
    <w:rsid w:val="22430342"/>
    <w:rsid w:val="22D66EA9"/>
    <w:rsid w:val="23977FB1"/>
    <w:rsid w:val="245C3447"/>
    <w:rsid w:val="25B931E9"/>
    <w:rsid w:val="28263441"/>
    <w:rsid w:val="2828673B"/>
    <w:rsid w:val="290B705B"/>
    <w:rsid w:val="29981D60"/>
    <w:rsid w:val="2B2339AC"/>
    <w:rsid w:val="2C57797E"/>
    <w:rsid w:val="30287558"/>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AF356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4261</Words>
  <Characters>4623</Characters>
  <Lines>53</Lines>
  <Paragraphs>15</Paragraphs>
  <TotalTime>4</TotalTime>
  <ScaleCrop>false</ScaleCrop>
  <LinksUpToDate>false</LinksUpToDate>
  <CharactersWithSpaces>4803</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小志</cp:lastModifiedBy>
  <cp:lastPrinted>2025-01-06T09:18:00Z</cp:lastPrinted>
  <dcterms:modified xsi:type="dcterms:W3CDTF">2025-01-09T03:57:38Z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FEE2203AB1A24003BAEAEC7B0D4F6FDF_13</vt:lpwstr>
  </property>
  <property fmtid="{D5CDD505-2E9C-101B-9397-08002B2CF9AE}" pid="4" name="KSOTemplateDocerSaveRecord">
    <vt:lpwstr>eyJoZGlkIjoiN2I2MWM2ZGE1MWNmMTlkOGNlMTRjNzA0OTUwMjc4OTQifQ==</vt:lpwstr>
  </property>
</Properties>
</file>