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庐山市人民医院</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rPr>
        <w:t>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lang w:eastAsia="zh-CN"/>
        </w:rPr>
        <w:t>庐山市人民医院</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lang w:eastAsia="zh-CN"/>
        </w:rPr>
        <w:t>庐山市人民医院</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000000"/>
          <w:sz w:val="32"/>
          <w:szCs w:val="32"/>
          <w:lang w:eastAsia="zh-CN"/>
        </w:rPr>
        <w:t>庐山市人民医院</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bCs/>
          <w:color w:val="000000"/>
          <w:sz w:val="32"/>
          <w:szCs w:val="32"/>
          <w:lang w:eastAsia="zh-CN"/>
        </w:rPr>
        <w:t>庐山市人民医院</w:t>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58AC375">
      <w:pPr>
        <w:widowControl/>
        <w:spacing w:line="580" w:lineRule="exact"/>
        <w:ind w:firstLine="64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庐山市人民医院是一所集医疗、教学、科研、预防、保健和急救为一体的现代化国家二级甲等综合性医院。是市医疗保险、工伤、生育保险和突发公共卫生事件定点救治医院；是国家卫健委、联合国儿童基金会、联合国卫生组织授予的“爱婴医院”、省人民政府颁发的“文明单位”、省市卫健委授予的“人民群众满意的医院”等。巩固疫情防控成效，做好疫情常态化防控工作，确保医院正常医疗工作秩序，切实维护人民群众生命安全和身体健康，为医院高质量发展提供保障。</w:t>
      </w:r>
    </w:p>
    <w:p w14:paraId="6A2A716D">
      <w:pPr>
        <w:rPr>
          <w:b/>
          <w:sz w:val="36"/>
          <w:szCs w:val="36"/>
        </w:rPr>
      </w:pPr>
      <w:r>
        <w:rPr>
          <w:rFonts w:hint="eastAsia"/>
          <w:b/>
          <w:sz w:val="36"/>
          <w:szCs w:val="36"/>
        </w:rPr>
        <w:t>二、机构设置及人员情况</w:t>
      </w:r>
    </w:p>
    <w:p w14:paraId="21371DED">
      <w:pPr>
        <w:ind w:firstLine="640" w:firstLineChars="200"/>
        <w:rPr>
          <w:rFonts w:hint="eastAsia" w:ascii="仿宋" w:hAnsi="仿宋" w:eastAsia="仿宋"/>
          <w:sz w:val="32"/>
          <w:szCs w:val="32"/>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color w:val="auto"/>
          <w:sz w:val="32"/>
          <w:szCs w:val="32"/>
        </w:rPr>
        <w:t>庐山市人民医院</w:t>
      </w:r>
      <w:r>
        <w:rPr>
          <w:rFonts w:hint="eastAsia" w:ascii="仿宋" w:hAnsi="仿宋" w:eastAsia="仿宋"/>
          <w:sz w:val="32"/>
          <w:szCs w:val="32"/>
        </w:rPr>
        <w:t>内设处室</w:t>
      </w:r>
      <w:r>
        <w:rPr>
          <w:rFonts w:hint="eastAsia" w:ascii="仿宋_GB2312" w:eastAsia="仿宋_GB2312"/>
          <w:sz w:val="32"/>
          <w:szCs w:val="30"/>
          <w:u w:val="none"/>
        </w:rPr>
        <w:t xml:space="preserve"> </w:t>
      </w:r>
      <w:r>
        <w:rPr>
          <w:rFonts w:hint="eastAsia" w:ascii="仿宋_GB2312" w:eastAsia="仿宋_GB2312"/>
          <w:sz w:val="32"/>
          <w:szCs w:val="30"/>
          <w:u w:val="none"/>
          <w:lang w:val="en-US" w:eastAsia="zh-CN"/>
        </w:rPr>
        <w:t>49</w:t>
      </w:r>
      <w:r>
        <w:rPr>
          <w:rFonts w:hint="eastAsia" w:ascii="仿宋" w:hAnsi="仿宋" w:eastAsia="仿宋"/>
          <w:sz w:val="32"/>
          <w:szCs w:val="32"/>
        </w:rPr>
        <w:t>个，</w:t>
      </w:r>
      <w:r>
        <w:rPr>
          <w:rFonts w:hint="eastAsia" w:ascii="仿宋" w:hAnsi="仿宋" w:eastAsia="仿宋"/>
          <w:sz w:val="32"/>
          <w:szCs w:val="32"/>
          <w:lang w:eastAsia="zh-CN"/>
        </w:rPr>
        <w:t>分别为</w:t>
      </w:r>
    </w:p>
    <w:p w14:paraId="2CC8977E">
      <w:pPr>
        <w:ind w:firstLine="640" w:firstLineChars="200"/>
        <w:rPr>
          <w:rFonts w:hint="eastAsia" w:ascii="仿宋" w:hAnsi="仿宋" w:eastAsia="仿宋"/>
          <w:sz w:val="32"/>
          <w:szCs w:val="32"/>
        </w:rPr>
      </w:pPr>
      <w:r>
        <w:rPr>
          <w:rFonts w:hint="eastAsia" w:ascii="仿宋" w:hAnsi="仿宋" w:eastAsia="仿宋"/>
          <w:sz w:val="32"/>
          <w:szCs w:val="32"/>
        </w:rPr>
        <w:t>管理科室16个，包括办公室、医务科、公共卫生科、医院感染管理科、人事科、财务科、总务科、信息科、医疗保险办公室、保卫科、医疗器械科、护理部、门诊部、住院部、特种设备科、质控办公室。</w:t>
      </w:r>
    </w:p>
    <w:p w14:paraId="34A7E52A">
      <w:pPr>
        <w:ind w:firstLine="640" w:firstLineChars="200"/>
        <w:rPr>
          <w:rFonts w:hint="eastAsia" w:ascii="仿宋" w:hAnsi="仿宋" w:eastAsia="仿宋"/>
          <w:sz w:val="32"/>
          <w:szCs w:val="32"/>
        </w:rPr>
      </w:pPr>
      <w:r>
        <w:rPr>
          <w:rFonts w:hint="eastAsia" w:ascii="仿宋" w:hAnsi="仿宋" w:eastAsia="仿宋"/>
          <w:sz w:val="32"/>
          <w:szCs w:val="32"/>
        </w:rPr>
        <w:t>临床科室25个，包括外一科、外二科、外三科、内一科、内二科、内三科、内四科、肾内科、儿科、妇产科、感染科、麻醉科、手术室、血透科、急诊科、康复医学科、门诊外科、门诊内科、门诊妇科、门诊产科、五官科、中医科、皮肤科、疼痛科、体检科。</w:t>
      </w:r>
    </w:p>
    <w:p w14:paraId="5BB36498">
      <w:pPr>
        <w:ind w:firstLine="640" w:firstLineChars="200"/>
        <w:rPr>
          <w:rFonts w:hint="eastAsia" w:ascii="仿宋" w:hAnsi="仿宋" w:eastAsia="仿宋"/>
          <w:sz w:val="32"/>
          <w:szCs w:val="32"/>
        </w:rPr>
      </w:pPr>
      <w:r>
        <w:rPr>
          <w:rFonts w:hint="eastAsia" w:ascii="仿宋" w:hAnsi="仿宋" w:eastAsia="仿宋"/>
          <w:sz w:val="32"/>
          <w:szCs w:val="32"/>
        </w:rPr>
        <w:t>医技科室8个，包括检验科、特检科、病理科、影像科、核磁科、药剂科、腔镜室、供应室。</w:t>
      </w:r>
    </w:p>
    <w:p w14:paraId="54B8DF78">
      <w:pPr>
        <w:ind w:firstLine="640" w:firstLineChars="200"/>
        <w:rPr>
          <w:rFonts w:ascii="仿宋" w:hAnsi="仿宋" w:eastAsia="仿宋"/>
          <w:sz w:val="32"/>
          <w:szCs w:val="32"/>
        </w:rPr>
      </w:pPr>
      <w:r>
        <w:rPr>
          <w:rFonts w:hint="eastAsia" w:ascii="仿宋" w:hAnsi="仿宋" w:eastAsia="仿宋"/>
          <w:sz w:val="32"/>
          <w:szCs w:val="32"/>
        </w:rPr>
        <w:t>编制人数小计</w:t>
      </w:r>
      <w:r>
        <w:rPr>
          <w:rFonts w:hint="eastAsia" w:ascii="仿宋" w:hAnsi="仿宋" w:eastAsia="仿宋"/>
          <w:sz w:val="32"/>
          <w:szCs w:val="32"/>
          <w:lang w:val="en-US" w:eastAsia="zh-CN"/>
        </w:rPr>
        <w:t>203</w:t>
      </w:r>
      <w:r>
        <w:rPr>
          <w:rFonts w:hint="eastAsia" w:ascii="仿宋" w:hAnsi="仿宋" w:eastAsia="仿宋"/>
          <w:sz w:val="32"/>
          <w:szCs w:val="32"/>
        </w:rPr>
        <w:t>人,其中：行政编制人数0人，实有人数小计</w:t>
      </w:r>
      <w:r>
        <w:rPr>
          <w:rFonts w:hint="eastAsia" w:ascii="仿宋" w:hAnsi="仿宋" w:eastAsia="仿宋"/>
          <w:sz w:val="32"/>
          <w:szCs w:val="32"/>
          <w:lang w:val="en-US" w:eastAsia="zh-CN"/>
        </w:rPr>
        <w:t>203</w:t>
      </w:r>
      <w:r>
        <w:rPr>
          <w:rFonts w:hint="eastAsia" w:ascii="仿宋" w:hAnsi="仿宋" w:eastAsia="仿宋"/>
          <w:sz w:val="32"/>
          <w:szCs w:val="32"/>
        </w:rPr>
        <w:t>人,其中：在职人数小计</w:t>
      </w:r>
      <w:r>
        <w:rPr>
          <w:rFonts w:hint="eastAsia" w:ascii="仿宋" w:hAnsi="仿宋" w:eastAsia="仿宋"/>
          <w:sz w:val="32"/>
          <w:szCs w:val="32"/>
          <w:lang w:val="en-US" w:eastAsia="zh-CN"/>
        </w:rPr>
        <w:t>203</w:t>
      </w:r>
      <w:r>
        <w:rPr>
          <w:rFonts w:hint="eastAsia" w:ascii="仿宋" w:hAnsi="仿宋" w:eastAsia="仿宋"/>
          <w:sz w:val="32"/>
          <w:szCs w:val="32"/>
        </w:rPr>
        <w:t>人,行政在职人数0人。离休人数小计0人,退休人数小计13</w:t>
      </w:r>
      <w:r>
        <w:rPr>
          <w:rFonts w:hint="eastAsia" w:ascii="仿宋" w:hAnsi="仿宋" w:eastAsia="仿宋"/>
          <w:sz w:val="32"/>
          <w:szCs w:val="32"/>
          <w:lang w:val="en-US" w:eastAsia="zh-CN"/>
        </w:rPr>
        <w:t>8</w:t>
      </w:r>
      <w:r>
        <w:rPr>
          <w:rFonts w:hint="eastAsia" w:ascii="仿宋" w:hAnsi="仿宋" w:eastAsia="仿宋"/>
          <w:sz w:val="32"/>
          <w:szCs w:val="32"/>
        </w:rPr>
        <w:t>人,遗属人数0人，聘用人员3</w:t>
      </w:r>
      <w:r>
        <w:rPr>
          <w:rFonts w:hint="eastAsia" w:ascii="仿宋" w:hAnsi="仿宋" w:eastAsia="仿宋"/>
          <w:sz w:val="32"/>
          <w:szCs w:val="32"/>
          <w:lang w:val="en-US" w:eastAsia="zh-CN"/>
        </w:rPr>
        <w:t>90</w:t>
      </w:r>
      <w:r>
        <w:rPr>
          <w:rFonts w:hint="eastAsia" w:ascii="仿宋" w:hAnsi="仿宋" w:eastAsia="仿宋"/>
          <w:sz w:val="32"/>
          <w:szCs w:val="32"/>
        </w:rPr>
        <w:t>人。</w:t>
      </w:r>
    </w:p>
    <w:p w14:paraId="16F2BEB3">
      <w:pPr>
        <w:widowControl/>
        <w:spacing w:line="580" w:lineRule="exact"/>
        <w:jc w:val="center"/>
        <w:rPr>
          <w:rFonts w:ascii="仿宋_GB2312" w:eastAsia="仿宋_GB2312"/>
          <w:b/>
          <w:szCs w:val="30"/>
        </w:rPr>
      </w:pPr>
    </w:p>
    <w:p w14:paraId="7B718D8A">
      <w:pPr>
        <w:widowControl/>
        <w:spacing w:line="580" w:lineRule="exact"/>
        <w:jc w:val="center"/>
        <w:rPr>
          <w:rFonts w:ascii="仿宋_GB2312" w:eastAsia="仿宋_GB2312"/>
          <w:b/>
          <w:szCs w:val="30"/>
        </w:rPr>
      </w:pPr>
    </w:p>
    <w:p w14:paraId="1AFFD9B1">
      <w:pPr>
        <w:widowControl/>
        <w:spacing w:line="580" w:lineRule="exact"/>
        <w:jc w:val="center"/>
        <w:rPr>
          <w:rFonts w:ascii="仿宋_GB2312" w:eastAsia="仿宋_GB2312"/>
          <w:b/>
          <w:szCs w:val="30"/>
        </w:rPr>
      </w:pPr>
    </w:p>
    <w:p w14:paraId="27E53042">
      <w:pPr>
        <w:widowControl/>
        <w:spacing w:line="580" w:lineRule="exact"/>
        <w:jc w:val="center"/>
        <w:rPr>
          <w:rFonts w:ascii="仿宋_GB2312" w:eastAsia="仿宋_GB2312"/>
          <w:b/>
          <w:szCs w:val="30"/>
        </w:rPr>
      </w:pPr>
    </w:p>
    <w:p w14:paraId="2CF76184">
      <w:pPr>
        <w:widowControl/>
        <w:spacing w:line="580" w:lineRule="exact"/>
        <w:jc w:val="both"/>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color w:val="0000FF"/>
          <w:sz w:val="32"/>
          <w:szCs w:val="30"/>
        </w:rPr>
        <w:fldChar w:fldCharType="begin"/>
      </w:r>
      <w:r>
        <w:rPr>
          <w:rFonts w:ascii="仿宋_GB2312" w:eastAsia="仿宋_GB2312"/>
          <w:b/>
          <w:color w:val="0000FF"/>
          <w:sz w:val="32"/>
          <w:szCs w:val="30"/>
        </w:rPr>
        <w:instrText xml:space="preserve">MERGEFIELD ${page540426799.ds254512694_REP_JXJC_AGENCY_WZR_NAME}</w:instrText>
      </w:r>
      <w:r>
        <w:rPr>
          <w:rFonts w:ascii="仿宋_GB2312" w:eastAsia="仿宋_GB2312"/>
          <w:b/>
          <w:color w:val="0000FF"/>
          <w:sz w:val="32"/>
          <w:szCs w:val="30"/>
        </w:rPr>
        <w:fldChar w:fldCharType="separate"/>
      </w:r>
      <w:r>
        <w:rPr>
          <w:rFonts w:hint="eastAsia" w:ascii="仿宋_GB2312" w:eastAsia="仿宋_GB2312"/>
          <w:b/>
          <w:color w:val="0000FF"/>
          <w:sz w:val="32"/>
          <w:szCs w:val="30"/>
          <w:lang w:eastAsia="zh-CN"/>
        </w:rPr>
        <w:t>庐山市人民医院</w:t>
      </w:r>
      <w:r>
        <w:rPr>
          <w:color w:val="0000FF"/>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年单位预算表</w:t>
      </w:r>
    </w:p>
    <w:p w14:paraId="4C58407A">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CDA4259">
      <w:pPr>
        <w:ind w:firstLine="420" w:firstLineChars="200"/>
        <w:jc w:val="left"/>
        <w:rPr>
          <w:rStyle w:val="11"/>
          <w:rFonts w:ascii="仿宋" w:hAnsi="仿宋" w:eastAsia="仿宋"/>
          <w:bCs/>
          <w:sz w:val="32"/>
          <w:szCs w:val="32"/>
        </w:rPr>
      </w:pPr>
      <w:r>
        <w:drawing>
          <wp:inline distT="0" distB="0" distL="114300" distR="114300">
            <wp:extent cx="5265420" cy="5523230"/>
            <wp:effectExtent l="0" t="0" r="11430" b="127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5"/>
                    <a:stretch>
                      <a:fillRect/>
                    </a:stretch>
                  </pic:blipFill>
                  <pic:spPr>
                    <a:xfrm>
                      <a:off x="0" y="0"/>
                      <a:ext cx="5265420" cy="5523230"/>
                    </a:xfrm>
                    <a:prstGeom prst="rect">
                      <a:avLst/>
                    </a:prstGeom>
                    <a:noFill/>
                    <a:ln>
                      <a:noFill/>
                    </a:ln>
                  </pic:spPr>
                </pic:pic>
              </a:graphicData>
            </a:graphic>
          </wp:inline>
        </w:drawing>
      </w:r>
    </w:p>
    <w:p w14:paraId="3BB4E361">
      <w:pPr>
        <w:ind w:firstLine="640" w:firstLineChars="200"/>
        <w:jc w:val="left"/>
        <w:rPr>
          <w:rStyle w:val="11"/>
          <w:rFonts w:ascii="仿宋" w:hAnsi="仿宋" w:eastAsia="仿宋"/>
          <w:bCs/>
          <w:sz w:val="32"/>
          <w:szCs w:val="32"/>
        </w:rPr>
      </w:pPr>
    </w:p>
    <w:p w14:paraId="6ECA10E4">
      <w:pPr>
        <w:ind w:firstLine="420" w:firstLineChars="200"/>
        <w:jc w:val="left"/>
        <w:rPr>
          <w:rStyle w:val="11"/>
          <w:rFonts w:ascii="仿宋" w:hAnsi="仿宋" w:eastAsia="仿宋"/>
          <w:bCs/>
          <w:sz w:val="32"/>
          <w:szCs w:val="32"/>
        </w:rPr>
      </w:pPr>
      <w:r>
        <w:drawing>
          <wp:inline distT="0" distB="0" distL="114300" distR="114300">
            <wp:extent cx="5264785" cy="2736850"/>
            <wp:effectExtent l="0" t="0" r="1206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6"/>
                    <a:stretch>
                      <a:fillRect/>
                    </a:stretch>
                  </pic:blipFill>
                  <pic:spPr>
                    <a:xfrm>
                      <a:off x="0" y="0"/>
                      <a:ext cx="5264785" cy="2736850"/>
                    </a:xfrm>
                    <a:prstGeom prst="rect">
                      <a:avLst/>
                    </a:prstGeom>
                    <a:noFill/>
                    <a:ln>
                      <a:noFill/>
                    </a:ln>
                  </pic:spPr>
                </pic:pic>
              </a:graphicData>
            </a:graphic>
          </wp:inline>
        </w:drawing>
      </w:r>
    </w:p>
    <w:p w14:paraId="703A259C">
      <w:pPr>
        <w:ind w:firstLine="640" w:firstLineChars="200"/>
        <w:jc w:val="left"/>
        <w:rPr>
          <w:rStyle w:val="11"/>
          <w:rFonts w:ascii="仿宋" w:hAnsi="仿宋" w:eastAsia="仿宋"/>
          <w:bCs/>
          <w:sz w:val="32"/>
          <w:szCs w:val="32"/>
        </w:rPr>
      </w:pPr>
    </w:p>
    <w:p w14:paraId="25EF0A70">
      <w:pPr>
        <w:ind w:firstLine="420" w:firstLineChars="200"/>
        <w:jc w:val="left"/>
        <w:rPr>
          <w:rStyle w:val="11"/>
          <w:rFonts w:ascii="仿宋" w:hAnsi="仿宋" w:eastAsia="仿宋"/>
          <w:bCs/>
          <w:sz w:val="32"/>
          <w:szCs w:val="32"/>
        </w:rPr>
      </w:pPr>
      <w:r>
        <w:drawing>
          <wp:inline distT="0" distB="0" distL="114300" distR="114300">
            <wp:extent cx="5274310" cy="4265295"/>
            <wp:effectExtent l="0" t="0" r="254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tretch>
                      <a:fillRect/>
                    </a:stretch>
                  </pic:blipFill>
                  <pic:spPr>
                    <a:xfrm>
                      <a:off x="0" y="0"/>
                      <a:ext cx="5274310" cy="4265295"/>
                    </a:xfrm>
                    <a:prstGeom prst="rect">
                      <a:avLst/>
                    </a:prstGeom>
                    <a:noFill/>
                    <a:ln>
                      <a:noFill/>
                    </a:ln>
                  </pic:spPr>
                </pic:pic>
              </a:graphicData>
            </a:graphic>
          </wp:inline>
        </w:drawing>
      </w:r>
    </w:p>
    <w:p w14:paraId="42670DD3">
      <w:pPr>
        <w:ind w:firstLine="420" w:firstLineChars="200"/>
        <w:jc w:val="left"/>
        <w:rPr>
          <w:rStyle w:val="11"/>
          <w:rFonts w:ascii="仿宋" w:hAnsi="仿宋" w:eastAsia="仿宋"/>
          <w:bCs/>
          <w:sz w:val="32"/>
          <w:szCs w:val="32"/>
        </w:rPr>
      </w:pPr>
      <w:r>
        <w:drawing>
          <wp:inline distT="0" distB="0" distL="114300" distR="114300">
            <wp:extent cx="5267325" cy="5275580"/>
            <wp:effectExtent l="0" t="0" r="952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5267325" cy="5275580"/>
                    </a:xfrm>
                    <a:prstGeom prst="rect">
                      <a:avLst/>
                    </a:prstGeom>
                    <a:noFill/>
                    <a:ln>
                      <a:noFill/>
                    </a:ln>
                  </pic:spPr>
                </pic:pic>
              </a:graphicData>
            </a:graphic>
          </wp:inline>
        </w:drawing>
      </w:r>
    </w:p>
    <w:p w14:paraId="172735F6">
      <w:pPr>
        <w:ind w:firstLine="420" w:firstLineChars="200"/>
        <w:jc w:val="left"/>
        <w:rPr>
          <w:rStyle w:val="11"/>
          <w:rFonts w:ascii="仿宋" w:hAnsi="仿宋" w:eastAsia="仿宋"/>
          <w:bCs/>
          <w:sz w:val="32"/>
          <w:szCs w:val="32"/>
        </w:rPr>
      </w:pPr>
      <w:r>
        <w:drawing>
          <wp:inline distT="0" distB="0" distL="114300" distR="114300">
            <wp:extent cx="5269865" cy="3860165"/>
            <wp:effectExtent l="0" t="0" r="6985" b="698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9"/>
                    <a:stretch>
                      <a:fillRect/>
                    </a:stretch>
                  </pic:blipFill>
                  <pic:spPr>
                    <a:xfrm>
                      <a:off x="0" y="0"/>
                      <a:ext cx="5269865" cy="3860165"/>
                    </a:xfrm>
                    <a:prstGeom prst="rect">
                      <a:avLst/>
                    </a:prstGeom>
                    <a:noFill/>
                    <a:ln>
                      <a:noFill/>
                    </a:ln>
                  </pic:spPr>
                </pic:pic>
              </a:graphicData>
            </a:graphic>
          </wp:inline>
        </w:drawing>
      </w:r>
    </w:p>
    <w:p w14:paraId="34964731">
      <w:pPr>
        <w:ind w:firstLine="420" w:firstLineChars="200"/>
        <w:jc w:val="left"/>
      </w:pPr>
      <w:r>
        <w:drawing>
          <wp:inline distT="0" distB="0" distL="114300" distR="114300">
            <wp:extent cx="5265420" cy="3762375"/>
            <wp:effectExtent l="0" t="0" r="1143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a:stretch>
                      <a:fillRect/>
                    </a:stretch>
                  </pic:blipFill>
                  <pic:spPr>
                    <a:xfrm>
                      <a:off x="0" y="0"/>
                      <a:ext cx="5265420" cy="3762375"/>
                    </a:xfrm>
                    <a:prstGeom prst="rect">
                      <a:avLst/>
                    </a:prstGeom>
                    <a:noFill/>
                    <a:ln>
                      <a:noFill/>
                    </a:ln>
                  </pic:spPr>
                </pic:pic>
              </a:graphicData>
            </a:graphic>
          </wp:inline>
        </w:drawing>
      </w:r>
    </w:p>
    <w:p w14:paraId="6FE48A2C">
      <w:pPr>
        <w:ind w:firstLine="420" w:firstLineChars="200"/>
        <w:jc w:val="left"/>
      </w:pPr>
    </w:p>
    <w:p w14:paraId="637CA23A">
      <w:pPr>
        <w:ind w:firstLine="420" w:firstLineChars="200"/>
        <w:jc w:val="left"/>
      </w:pPr>
      <w:r>
        <w:drawing>
          <wp:inline distT="0" distB="0" distL="114300" distR="114300">
            <wp:extent cx="5267960" cy="761365"/>
            <wp:effectExtent l="0" t="0" r="889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1"/>
                    <a:stretch>
                      <a:fillRect/>
                    </a:stretch>
                  </pic:blipFill>
                  <pic:spPr>
                    <a:xfrm>
                      <a:off x="0" y="0"/>
                      <a:ext cx="5267960" cy="761365"/>
                    </a:xfrm>
                    <a:prstGeom prst="rect">
                      <a:avLst/>
                    </a:prstGeom>
                    <a:noFill/>
                    <a:ln>
                      <a:noFill/>
                    </a:ln>
                  </pic:spPr>
                </pic:pic>
              </a:graphicData>
            </a:graphic>
          </wp:inline>
        </w:drawing>
      </w:r>
    </w:p>
    <w:p w14:paraId="5EBF2227">
      <w:pPr>
        <w:ind w:firstLine="420" w:firstLineChars="200"/>
        <w:jc w:val="left"/>
      </w:pPr>
    </w:p>
    <w:p w14:paraId="7B6C01D2">
      <w:pPr>
        <w:ind w:firstLine="420" w:firstLineChars="200"/>
        <w:jc w:val="left"/>
      </w:pPr>
    </w:p>
    <w:p w14:paraId="716B3681">
      <w:pPr>
        <w:ind w:firstLine="420" w:firstLineChars="200"/>
        <w:jc w:val="left"/>
      </w:pPr>
      <w:r>
        <w:drawing>
          <wp:inline distT="0" distB="0" distL="114300" distR="114300">
            <wp:extent cx="5267325" cy="1050290"/>
            <wp:effectExtent l="0" t="0" r="9525" b="165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2"/>
                    <a:stretch>
                      <a:fillRect/>
                    </a:stretch>
                  </pic:blipFill>
                  <pic:spPr>
                    <a:xfrm>
                      <a:off x="0" y="0"/>
                      <a:ext cx="5267325" cy="1050290"/>
                    </a:xfrm>
                    <a:prstGeom prst="rect">
                      <a:avLst/>
                    </a:prstGeom>
                    <a:noFill/>
                    <a:ln>
                      <a:noFill/>
                    </a:ln>
                  </pic:spPr>
                </pic:pic>
              </a:graphicData>
            </a:graphic>
          </wp:inline>
        </w:drawing>
      </w:r>
    </w:p>
    <w:p w14:paraId="5F223E00">
      <w:pPr>
        <w:ind w:firstLine="420" w:firstLineChars="200"/>
        <w:jc w:val="left"/>
      </w:pPr>
    </w:p>
    <w:p w14:paraId="7C9EC1C1">
      <w:pPr>
        <w:ind w:firstLine="420" w:firstLineChars="200"/>
        <w:jc w:val="left"/>
      </w:pPr>
    </w:p>
    <w:p w14:paraId="720C9875">
      <w:pPr>
        <w:ind w:firstLine="420" w:firstLineChars="200"/>
        <w:jc w:val="left"/>
      </w:pPr>
      <w:r>
        <w:drawing>
          <wp:inline distT="0" distB="0" distL="114300" distR="114300">
            <wp:extent cx="5267325" cy="991870"/>
            <wp:effectExtent l="0" t="0" r="9525" b="177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3"/>
                    <a:stretch>
                      <a:fillRect/>
                    </a:stretch>
                  </pic:blipFill>
                  <pic:spPr>
                    <a:xfrm>
                      <a:off x="0" y="0"/>
                      <a:ext cx="5267325" cy="991870"/>
                    </a:xfrm>
                    <a:prstGeom prst="rect">
                      <a:avLst/>
                    </a:prstGeom>
                    <a:noFill/>
                    <a:ln>
                      <a:noFill/>
                    </a:ln>
                  </pic:spPr>
                </pic:pic>
              </a:graphicData>
            </a:graphic>
          </wp:inline>
        </w:drawing>
      </w:r>
    </w:p>
    <w:p w14:paraId="2479D6CD">
      <w:pPr>
        <w:ind w:firstLine="420" w:firstLineChars="200"/>
        <w:jc w:val="left"/>
      </w:pPr>
    </w:p>
    <w:p w14:paraId="209A7816">
      <w:pPr>
        <w:ind w:firstLine="420" w:firstLineChars="200"/>
        <w:jc w:val="left"/>
      </w:pPr>
      <w:r>
        <w:drawing>
          <wp:inline distT="0" distB="0" distL="114300" distR="114300">
            <wp:extent cx="5273675" cy="2919730"/>
            <wp:effectExtent l="0" t="0" r="3175" b="139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14"/>
                    <a:stretch>
                      <a:fillRect/>
                    </a:stretch>
                  </pic:blipFill>
                  <pic:spPr>
                    <a:xfrm>
                      <a:off x="0" y="0"/>
                      <a:ext cx="5273675" cy="2919730"/>
                    </a:xfrm>
                    <a:prstGeom prst="rect">
                      <a:avLst/>
                    </a:prstGeom>
                    <a:noFill/>
                    <a:ln>
                      <a:noFill/>
                    </a:ln>
                  </pic:spPr>
                </pic:pic>
              </a:graphicData>
            </a:graphic>
          </wp:inline>
        </w:drawing>
      </w:r>
    </w:p>
    <w:p w14:paraId="295F35EC">
      <w:pPr>
        <w:ind w:firstLine="420" w:firstLineChars="200"/>
        <w:jc w:val="left"/>
      </w:pPr>
    </w:p>
    <w:p w14:paraId="773D6711">
      <w:pPr>
        <w:ind w:firstLine="420" w:firstLineChars="200"/>
        <w:jc w:val="left"/>
      </w:pPr>
      <w:r>
        <w:drawing>
          <wp:inline distT="0" distB="0" distL="114300" distR="114300">
            <wp:extent cx="5265420" cy="1477010"/>
            <wp:effectExtent l="0" t="0" r="11430"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5"/>
                    <a:stretch>
                      <a:fillRect/>
                    </a:stretch>
                  </pic:blipFill>
                  <pic:spPr>
                    <a:xfrm>
                      <a:off x="0" y="0"/>
                      <a:ext cx="5265420" cy="1477010"/>
                    </a:xfrm>
                    <a:prstGeom prst="rect">
                      <a:avLst/>
                    </a:prstGeom>
                    <a:noFill/>
                    <a:ln>
                      <a:noFill/>
                    </a:ln>
                  </pic:spPr>
                </pic:pic>
              </a:graphicData>
            </a:graphic>
          </wp:inline>
        </w:drawing>
      </w:r>
    </w:p>
    <w:p w14:paraId="519144F3">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color w:val="auto"/>
          <w:sz w:val="32"/>
          <w:szCs w:val="30"/>
          <w:lang w:eastAsia="zh-CN"/>
        </w:rPr>
        <w:t>庐山市人民医院</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hint="eastAsia" w:ascii="仿宋" w:hAnsi="仿宋" w:eastAsia="仿宋" w:cs="Times New Roman"/>
          <w:color w:val="auto"/>
          <w:kern w:val="0"/>
          <w:sz w:val="32"/>
          <w:szCs w:val="32"/>
          <w:lang w:eastAsia="zh-CN"/>
        </w:rPr>
        <w:t>庐山市人民医院</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Style w:val="11"/>
          <w:rFonts w:hint="eastAsia" w:ascii="仿宋" w:hAnsi="仿宋" w:eastAsia="仿宋"/>
          <w:sz w:val="32"/>
          <w:szCs w:val="32"/>
          <w:lang w:val="en-US" w:eastAsia="zh-CN"/>
        </w:rPr>
        <w:t>34335.28</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14327.6</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1835.28</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472.4</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收入预算总额增加变化原因为2025年我院新院搬迁需要，财政拨款收入减少原因为减少了上年结转项目资金。</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1F69255">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hint="eastAsia" w:ascii="仿宋" w:hAnsi="仿宋" w:eastAsia="仿宋"/>
          <w:color w:val="auto"/>
          <w:sz w:val="32"/>
          <w:szCs w:val="32"/>
          <w:lang w:eastAsia="zh-CN"/>
        </w:rPr>
        <w:t>庐山市人民医院</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${page540426799.ds357974894_REP_BGT_T_HC1100002019_DXQ02DW_S_ZJ}</w:instrText>
      </w:r>
      <w:r>
        <w:rPr>
          <w:rStyle w:val="11"/>
          <w:rFonts w:ascii="仿宋" w:hAnsi="仿宋" w:eastAsia="仿宋"/>
          <w:sz w:val="32"/>
          <w:szCs w:val="32"/>
        </w:rPr>
        <w:fldChar w:fldCharType="separate"/>
      </w:r>
      <w:r>
        <w:rPr>
          <w:rStyle w:val="11"/>
          <w:rFonts w:ascii="仿宋" w:hAnsi="仿宋" w:eastAsia="仿宋"/>
          <w:sz w:val="32"/>
          <w:szCs w:val="32"/>
        </w:rPr>
        <w:t>支出预算总额为</w:t>
      </w:r>
      <w:r>
        <w:rPr>
          <w:rStyle w:val="11"/>
          <w:rFonts w:hint="eastAsia" w:ascii="仿宋" w:hAnsi="仿宋" w:eastAsia="仿宋"/>
          <w:sz w:val="32"/>
          <w:szCs w:val="32"/>
          <w:lang w:val="en-US" w:eastAsia="zh-CN"/>
        </w:rPr>
        <w:t>34335.28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14327.6</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增加变化原因为2025年我院新院搬迁需要。</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其中：按</w:t>
      </w:r>
      <w:r>
        <w:rPr>
          <w:rStyle w:val="11"/>
          <w:rFonts w:hint="eastAsia" w:ascii="仿宋" w:hAnsi="仿宋" w:eastAsia="仿宋"/>
          <w:color w:val="auto"/>
          <w:sz w:val="32"/>
          <w:szCs w:val="32"/>
        </w:rPr>
        <w:t>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1788.28</w:t>
      </w:r>
      <w:r>
        <w:rPr>
          <w:rStyle w:val="11"/>
          <w:rFonts w:ascii="仿宋" w:hAnsi="仿宋" w:eastAsia="仿宋"/>
          <w:sz w:val="32"/>
          <w:szCs w:val="32"/>
        </w:rPr>
        <w:t>万元,较上年预算</w:t>
      </w:r>
      <w:r>
        <w:rPr>
          <w:rStyle w:val="11"/>
          <w:rFonts w:hint="eastAsia" w:ascii="仿宋" w:hAnsi="仿宋" w:eastAsia="仿宋"/>
          <w:sz w:val="32"/>
          <w:szCs w:val="32"/>
        </w:rPr>
        <w:t>2189.15万元</w:t>
      </w:r>
      <w:r>
        <w:rPr>
          <w:rStyle w:val="11"/>
          <w:rFonts w:hint="eastAsia" w:ascii="仿宋" w:hAnsi="仿宋" w:eastAsia="仿宋"/>
          <w:sz w:val="32"/>
          <w:szCs w:val="32"/>
          <w:lang w:eastAsia="zh-CN"/>
        </w:rPr>
        <w:t>，</w:t>
      </w:r>
      <w:r>
        <w:rPr>
          <w:rStyle w:val="11"/>
          <w:rFonts w:ascii="仿宋" w:hAnsi="仿宋" w:eastAsia="仿宋"/>
          <w:sz w:val="32"/>
          <w:szCs w:val="32"/>
        </w:rPr>
        <w:t>减少</w:t>
      </w:r>
      <w:r>
        <w:rPr>
          <w:rStyle w:val="11"/>
          <w:rFonts w:hint="eastAsia" w:ascii="仿宋" w:hAnsi="仿宋" w:eastAsia="仿宋"/>
          <w:sz w:val="32"/>
          <w:szCs w:val="32"/>
          <w:lang w:val="en-US" w:eastAsia="zh-CN"/>
        </w:rPr>
        <w:t>400.87</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1444.24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342.8</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32547</w:t>
      </w:r>
      <w:r>
        <w:rPr>
          <w:rStyle w:val="11"/>
          <w:rFonts w:ascii="仿宋" w:hAnsi="仿宋" w:eastAsia="仿宋"/>
          <w:sz w:val="32"/>
          <w:szCs w:val="32"/>
        </w:rPr>
        <w:t>万元,较上年预算安排</w:t>
      </w:r>
      <w:r>
        <w:rPr>
          <w:rStyle w:val="11"/>
          <w:rFonts w:hint="eastAsia" w:ascii="仿宋" w:hAnsi="仿宋" w:eastAsia="仿宋"/>
          <w:sz w:val="32"/>
          <w:szCs w:val="32"/>
        </w:rPr>
        <w:t>17818.53</w:t>
      </w:r>
      <w:r>
        <w:rPr>
          <w:rStyle w:val="11"/>
          <w:rFonts w:hint="eastAsia" w:ascii="仿宋" w:hAnsi="仿宋" w:eastAsia="仿宋"/>
          <w:sz w:val="32"/>
          <w:szCs w:val="32"/>
          <w:lang w:eastAsia="zh-CN"/>
        </w:rPr>
        <w:t>万元，</w:t>
      </w:r>
      <w:r>
        <w:rPr>
          <w:rStyle w:val="11"/>
          <w:rFonts w:ascii="仿宋" w:hAnsi="仿宋" w:eastAsia="仿宋"/>
          <w:sz w:val="32"/>
          <w:szCs w:val="32"/>
        </w:rPr>
        <w:t>增加</w:t>
      </w:r>
      <w:r>
        <w:rPr>
          <w:rStyle w:val="11"/>
          <w:rFonts w:hint="eastAsia" w:ascii="仿宋" w:hAnsi="仿宋" w:eastAsia="仿宋"/>
          <w:sz w:val="32"/>
          <w:szCs w:val="32"/>
          <w:lang w:val="en-US" w:eastAsia="zh-CN"/>
        </w:rPr>
        <w:t>14728.47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13934.62</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7190.92</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${page540426799.ds197859873_REP_BGT_T_HC1100002019DXQ01DW_GNZJMX}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持平</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1144.58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237.79</w:t>
      </w:r>
      <w:r>
        <w:rPr>
          <w:rStyle w:val="11"/>
          <w:rFonts w:ascii="仿宋" w:hAnsi="仿宋" w:eastAsia="仿宋"/>
          <w:sz w:val="32"/>
          <w:szCs w:val="32"/>
        </w:rPr>
        <w:t>万元;卫生健康支出</w:t>
      </w:r>
      <w:r>
        <w:rPr>
          <w:rStyle w:val="11"/>
          <w:rFonts w:hint="eastAsia" w:ascii="仿宋" w:hAnsi="仿宋" w:eastAsia="仿宋"/>
          <w:sz w:val="32"/>
          <w:szCs w:val="32"/>
          <w:lang w:val="en-US" w:eastAsia="zh-CN"/>
        </w:rPr>
        <w:t>32516.94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13998.65</w:t>
      </w:r>
      <w:r>
        <w:rPr>
          <w:rStyle w:val="11"/>
          <w:rFonts w:ascii="仿宋" w:hAnsi="仿宋" w:eastAsia="仿宋"/>
          <w:sz w:val="32"/>
          <w:szCs w:val="32"/>
        </w:rPr>
        <w:t>万元;住房保障支出</w:t>
      </w:r>
      <w:r>
        <w:rPr>
          <w:rStyle w:val="11"/>
          <w:rFonts w:hint="eastAsia" w:ascii="仿宋" w:hAnsi="仿宋" w:eastAsia="仿宋"/>
          <w:sz w:val="32"/>
          <w:szCs w:val="32"/>
          <w:lang w:val="en-US" w:eastAsia="zh-CN"/>
        </w:rPr>
        <w:t>653.75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89.16</w:t>
      </w:r>
      <w:r>
        <w:rPr>
          <w:rStyle w:val="11"/>
          <w:rFonts w:ascii="仿宋" w:hAnsi="仿宋" w:eastAsia="仿宋"/>
          <w:sz w:val="32"/>
          <w:szCs w:val="32"/>
        </w:rPr>
        <w:t>万元。</w:t>
      </w:r>
      <w:r>
        <w:fldChar w:fldCharType="end"/>
      </w:r>
    </w:p>
    <w:p w14:paraId="752E5B1D">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支出经济分类</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9169.12</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222.64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15157.86</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6081.03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414</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314.93</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9594.3</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7687</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087C15FB">
      <w:pPr>
        <w:widowControl/>
        <w:ind w:firstLine="640" w:firstLineChars="200"/>
        <w:rPr>
          <w:rFonts w:hint="default" w:ascii="仿宋" w:hAnsi="仿宋" w:cs="Times New Roman" w:eastAsiaTheme="minorEastAsia"/>
          <w:color w:val="FF0000"/>
          <w:kern w:val="0"/>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olor w:val="auto"/>
          <w:sz w:val="32"/>
          <w:szCs w:val="32"/>
        </w:rPr>
        <w:fldChar w:fldCharType="begin"/>
      </w:r>
      <w:r>
        <w:rPr>
          <w:rStyle w:val="11"/>
          <w:rFonts w:ascii="仿宋" w:hAnsi="仿宋" w:eastAsia="仿宋"/>
          <w:color w:val="auto"/>
          <w:sz w:val="32"/>
          <w:szCs w:val="32"/>
        </w:rPr>
        <w:instrText xml:space="preserve">MERGEFIELD ${page540426799.ds254512694_REP_JXJC_AGENCY_WZR_NAME}</w:instrText>
      </w:r>
      <w:r>
        <w:rPr>
          <w:rStyle w:val="11"/>
          <w:rFonts w:ascii="仿宋" w:hAnsi="仿宋" w:eastAsia="仿宋"/>
          <w:color w:val="auto"/>
          <w:sz w:val="32"/>
          <w:szCs w:val="32"/>
        </w:rPr>
        <w:fldChar w:fldCharType="separate"/>
      </w:r>
      <w:r>
        <w:rPr>
          <w:rStyle w:val="11"/>
          <w:rFonts w:hint="eastAsia" w:ascii="仿宋" w:hAnsi="仿宋" w:eastAsia="仿宋"/>
          <w:color w:val="auto"/>
          <w:sz w:val="32"/>
          <w:szCs w:val="32"/>
          <w:lang w:eastAsia="zh-CN"/>
        </w:rPr>
        <w:t>庐山市人民医院</w:t>
      </w:r>
      <w:r>
        <w:rPr>
          <w:color w:val="auto"/>
        </w:rP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${page540426799.ds357974894_REP_BGT_T_HC1100002019_DXQ02DW_S_CBXJ}</w:instrText>
      </w:r>
      <w:r>
        <w:rPr>
          <w:rStyle w:val="11"/>
          <w:rFonts w:ascii="仿宋" w:hAnsi="仿宋" w:eastAsia="仿宋"/>
          <w:sz w:val="32"/>
          <w:szCs w:val="32"/>
        </w:rPr>
        <w:fldChar w:fldCharType="separate"/>
      </w:r>
      <w:r>
        <w:rPr>
          <w:rStyle w:val="11"/>
          <w:rFonts w:ascii="仿宋" w:hAnsi="仿宋" w:eastAsia="仿宋"/>
          <w:sz w:val="32"/>
          <w:szCs w:val="32"/>
        </w:rPr>
        <w:t>财政拨款支出预算总额</w:t>
      </w:r>
      <w:r>
        <w:rPr>
          <w:rStyle w:val="11"/>
          <w:rFonts w:hint="eastAsia" w:ascii="仿宋" w:hAnsi="仿宋" w:eastAsia="仿宋"/>
          <w:sz w:val="32"/>
          <w:szCs w:val="32"/>
        </w:rPr>
        <w:t>1835.28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472.4</w:t>
      </w:r>
      <w:r>
        <w:rPr>
          <w:rStyle w:val="11"/>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减少原因为减少了上年结转项目资金。</w:t>
      </w:r>
      <w:bookmarkStart w:id="0" w:name="_GoBack"/>
      <w:bookmarkEnd w:id="0"/>
    </w:p>
    <w:p w14:paraId="53F56414">
      <w:pPr>
        <w:ind w:firstLine="640" w:firstLineChars="200"/>
        <w:rPr>
          <w:rStyle w:val="11"/>
          <w:rFonts w:ascii="仿宋" w:hAnsi="仿宋" w:eastAsia="仿宋"/>
          <w:sz w:val="32"/>
          <w:szCs w:val="32"/>
        </w:rPr>
      </w:pPr>
      <w:r>
        <w:rPr>
          <w:rStyle w:val="11"/>
          <w:rFonts w:hint="eastAsia" w:ascii="仿宋" w:hAnsi="仿宋" w:eastAsia="仿宋"/>
          <w:sz w:val="32"/>
          <w:szCs w:val="32"/>
        </w:rPr>
        <w:t>按</w:t>
      </w:r>
      <w:r>
        <w:rPr>
          <w:rStyle w:val="11"/>
          <w:rFonts w:hint="eastAsia" w:ascii="仿宋" w:hAnsi="仿宋" w:eastAsia="仿宋"/>
          <w:color w:val="auto"/>
          <w:sz w:val="32"/>
          <w:szCs w:val="32"/>
        </w:rPr>
        <w:t>支出功能科目</w:t>
      </w:r>
      <w:r>
        <w:rPr>
          <w:rStyle w:val="11"/>
          <w:rFonts w:hint="eastAsia" w:ascii="仿宋" w:hAnsi="仿宋" w:eastAsia="仿宋"/>
          <w:sz w:val="32"/>
          <w:szCs w:val="32"/>
        </w:rPr>
        <w:t>划分：</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${page400644146.ds247441498_REP_BGT_T_HC1100002019DXQ01_GNCBMX}</w:instrText>
      </w:r>
      <w:r>
        <w:rPr>
          <w:rStyle w:val="11"/>
          <w:rFonts w:ascii="仿宋" w:hAnsi="仿宋" w:eastAsia="仿宋"/>
          <w:sz w:val="32"/>
          <w:szCs w:val="32"/>
        </w:rPr>
        <w:fldChar w:fldCharType="separate"/>
      </w:r>
      <w:r>
        <w:rPr>
          <w:rStyle w:val="11"/>
          <w:rFonts w:ascii="仿宋" w:hAnsi="仿宋" w:eastAsia="仿宋"/>
          <w:sz w:val="32"/>
          <w:szCs w:val="32"/>
        </w:rPr>
        <w:t>一般公共服务支出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万元,较上年预算安排</w:t>
      </w:r>
      <w:r>
        <w:rPr>
          <w:rStyle w:val="11"/>
          <w:rFonts w:hint="eastAsia" w:ascii="仿宋" w:hAnsi="仿宋" w:eastAsia="仿宋"/>
          <w:sz w:val="32"/>
          <w:szCs w:val="32"/>
          <w:lang w:eastAsia="zh-CN"/>
        </w:rPr>
        <w:t>持平；</w:t>
      </w:r>
      <w:r>
        <w:rPr>
          <w:rStyle w:val="11"/>
          <w:rFonts w:ascii="仿宋" w:hAnsi="仿宋" w:eastAsia="仿宋"/>
          <w:sz w:val="32"/>
          <w:szCs w:val="32"/>
        </w:rPr>
        <w:t>社会保障和就业支出</w:t>
      </w:r>
      <w:r>
        <w:rPr>
          <w:rStyle w:val="11"/>
          <w:rFonts w:hint="eastAsia" w:ascii="仿宋" w:hAnsi="仿宋" w:eastAsia="仿宋"/>
          <w:sz w:val="32"/>
          <w:szCs w:val="32"/>
          <w:lang w:val="en-US" w:eastAsia="zh-CN"/>
        </w:rPr>
        <w:t>213.38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2.49</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卫生健康支出</w:t>
      </w:r>
      <w:r>
        <w:rPr>
          <w:rStyle w:val="11"/>
          <w:rFonts w:hint="eastAsia" w:ascii="仿宋" w:hAnsi="仿宋" w:eastAsia="仿宋"/>
          <w:sz w:val="32"/>
          <w:szCs w:val="32"/>
          <w:lang w:val="en-US" w:eastAsia="zh-CN"/>
        </w:rPr>
        <w:t>1503.14</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479.05</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住房保障支出</w:t>
      </w:r>
      <w:r>
        <w:rPr>
          <w:rStyle w:val="11"/>
          <w:rFonts w:hint="eastAsia" w:ascii="仿宋" w:hAnsi="仿宋" w:eastAsia="仿宋"/>
          <w:sz w:val="32"/>
          <w:szCs w:val="32"/>
          <w:lang w:val="en-US" w:eastAsia="zh-CN"/>
        </w:rPr>
        <w:t>118.75</w:t>
      </w:r>
      <w:r>
        <w:rPr>
          <w:rStyle w:val="11"/>
          <w:rFonts w:ascii="仿宋" w:hAnsi="仿宋" w:eastAsia="仿宋"/>
          <w:sz w:val="32"/>
          <w:szCs w:val="32"/>
        </w:rPr>
        <w:t>万元</w:t>
      </w:r>
      <w:r>
        <w:rPr>
          <w:rStyle w:val="11"/>
          <w:rFonts w:hint="eastAsia" w:ascii="仿宋" w:hAnsi="仿宋" w:eastAsia="仿宋"/>
          <w:sz w:val="32"/>
          <w:szCs w:val="32"/>
          <w:lang w:eastAsia="zh-CN"/>
        </w:rPr>
        <w:t>，</w:t>
      </w:r>
      <w:r>
        <w:rPr>
          <w:rStyle w:val="11"/>
          <w:rFonts w:ascii="仿宋" w:hAnsi="仿宋" w:eastAsia="仿宋"/>
          <w:sz w:val="32"/>
          <w:szCs w:val="32"/>
        </w:rPr>
        <w:t>较上年预算安排增加</w:t>
      </w:r>
      <w:r>
        <w:rPr>
          <w:rStyle w:val="11"/>
          <w:rFonts w:hint="eastAsia" w:ascii="仿宋" w:hAnsi="仿宋" w:eastAsia="仿宋"/>
          <w:sz w:val="32"/>
          <w:szCs w:val="32"/>
          <w:lang w:val="en-US" w:eastAsia="zh-CN"/>
        </w:rPr>
        <w:t>4.16</w:t>
      </w:r>
      <w:r>
        <w:rPr>
          <w:rStyle w:val="11"/>
          <w:rFonts w:ascii="仿宋" w:hAnsi="仿宋" w:eastAsia="仿宋"/>
          <w:sz w:val="32"/>
          <w:szCs w:val="32"/>
        </w:rPr>
        <w:t>万元。</w:t>
      </w:r>
      <w:r>
        <w:fldChar w:fldCharType="end"/>
      </w:r>
    </w:p>
    <w:p w14:paraId="64E81F8C">
      <w:pPr>
        <w:ind w:firstLine="640" w:firstLineChars="200"/>
      </w:pPr>
      <w:r>
        <w:rPr>
          <w:rStyle w:val="11"/>
          <w:rFonts w:hint="eastAsia" w:ascii="仿宋" w:hAnsi="仿宋" w:eastAsia="仿宋"/>
          <w:sz w:val="32"/>
          <w:szCs w:val="32"/>
        </w:rPr>
        <w:t>按</w:t>
      </w:r>
      <w:r>
        <w:rPr>
          <w:rStyle w:val="11"/>
          <w:rFonts w:hint="eastAsia" w:ascii="仿宋" w:hAnsi="仿宋" w:eastAsia="仿宋"/>
          <w:color w:val="auto"/>
          <w:sz w:val="32"/>
          <w:szCs w:val="32"/>
        </w:rPr>
        <w:t>支出项目</w:t>
      </w:r>
      <w:r>
        <w:rPr>
          <w:rStyle w:val="11"/>
          <w:rFonts w:hint="eastAsia" w:ascii="仿宋" w:hAnsi="仿宋" w:eastAsia="仿宋"/>
          <w:sz w:val="32"/>
          <w:szCs w:val="32"/>
        </w:rPr>
        <w:t>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1788.28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400.87</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1444.24</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1.24</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342.8</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47</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71.53</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47</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0</w:t>
      </w:r>
      <w:r>
        <w:rPr>
          <w:rStyle w:val="11"/>
          <w:rFonts w:ascii="仿宋" w:hAnsi="仿宋" w:eastAsia="仿宋"/>
          <w:sz w:val="32"/>
          <w:szCs w:val="32"/>
        </w:rPr>
        <w:t>万元。</w:t>
      </w:r>
      <w:r>
        <w:fldChar w:fldCharType="end"/>
      </w:r>
    </w:p>
    <w:p w14:paraId="30CBFFCB">
      <w:pPr>
        <w:ind w:firstLine="420" w:firstLineChars="200"/>
      </w:pP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1C107A84">
      <w:pPr>
        <w:ind w:firstLine="320" w:firstLineChars="100"/>
        <w:rPr>
          <w:rStyle w:val="11"/>
          <w:rFonts w:hint="eastAsia" w:ascii="仿宋" w:hAnsi="仿宋" w:eastAsia="仿宋"/>
          <w:sz w:val="32"/>
          <w:szCs w:val="32"/>
        </w:rPr>
      </w:pPr>
      <w:r>
        <w:rPr>
          <w:rStyle w:val="11"/>
          <w:rFonts w:hint="eastAsia" w:ascii="仿宋" w:hAnsi="仿宋" w:eastAsia="仿宋"/>
          <w:sz w:val="32"/>
          <w:szCs w:val="32"/>
        </w:rPr>
        <w:t>本单位没有使用政府性基金预算拨款安排的支出</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169BE3C1">
      <w:pPr>
        <w:ind w:firstLine="320" w:firstLineChars="100"/>
        <w:rPr>
          <w:rStyle w:val="11"/>
          <w:rFonts w:hint="eastAsia" w:ascii="仿宋" w:hAnsi="仿宋" w:eastAsia="仿宋"/>
          <w:sz w:val="32"/>
          <w:szCs w:val="32"/>
        </w:rPr>
      </w:pPr>
      <w:r>
        <w:rPr>
          <w:rStyle w:val="11"/>
          <w:rFonts w:hint="eastAsia" w:ascii="仿宋" w:hAnsi="仿宋" w:eastAsia="仿宋"/>
          <w:sz w:val="32"/>
          <w:szCs w:val="32"/>
        </w:rPr>
        <w:t>本单位没有使用国有资本经营预算拨款安排的支出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8386E99">
      <w:pPr>
        <w:widowControl/>
        <w:spacing w:line="580" w:lineRule="exact"/>
        <w:ind w:firstLine="636"/>
        <w:jc w:val="left"/>
        <w:rPr>
          <w:rFonts w:hint="eastAsia" w:ascii="Adobe 仿宋 Std R" w:hAnsi="Adobe 仿宋 Std R" w:eastAsia="Adobe 仿宋 Std R"/>
          <w:color w:val="FF0000"/>
          <w:sz w:val="32"/>
          <w:szCs w:val="32"/>
          <w:lang w:eastAsia="zh-CN"/>
        </w:rPr>
      </w:pPr>
      <w:r>
        <w:rPr>
          <w:rStyle w:val="11"/>
          <w:rFonts w:hint="eastAsia" w:ascii="Adobe 仿宋 Std R" w:hAnsi="Adobe 仿宋 Std R" w:eastAsia="Adobe 仿宋 Std R"/>
          <w:sz w:val="32"/>
          <w:szCs w:val="32"/>
        </w:rPr>
        <w:t>本单位非行政参公单位，无机关运行经费</w:t>
      </w:r>
    </w:p>
    <w:p w14:paraId="2058FC9E">
      <w:pPr>
        <w:widowControl/>
        <w:spacing w:line="580" w:lineRule="exact"/>
        <w:ind w:firstLine="636"/>
        <w:jc w:val="left"/>
        <w:rPr>
          <w:rFonts w:ascii="Adobe 仿宋 Std R" w:hAnsi="Adobe 仿宋 Std R" w:eastAsia="Adobe 仿宋 Std R"/>
          <w:sz w:val="32"/>
          <w:szCs w:val="32"/>
        </w:rPr>
      </w:pP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12078.53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7199.83</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380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4498.7</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年12月31日, 单位共有车辆8辆,其中：一般公务用车实有数0辆。</w:t>
      </w:r>
    </w:p>
    <w:p w14:paraId="32683904">
      <w:pPr>
        <w:ind w:firstLine="642"/>
        <w:rPr>
          <w:rFonts w:ascii="仿宋_GB2312" w:eastAsia="仿宋_GB2312"/>
          <w:sz w:val="32"/>
          <w:szCs w:val="30"/>
          <w:u w:val="none"/>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仿宋_GB2312" w:eastAsia="仿宋_GB2312"/>
          <w:sz w:val="32"/>
          <w:szCs w:val="30"/>
          <w:u w:val="singl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none"/>
        </w:rPr>
        <w:t xml:space="preserve"> </w:t>
      </w:r>
      <w:r>
        <w:rPr>
          <w:rFonts w:hint="eastAsia" w:ascii="仿宋_GB2312" w:eastAsia="仿宋_GB2312"/>
          <w:sz w:val="32"/>
          <w:szCs w:val="30"/>
          <w:u w:val="none"/>
          <w:lang w:eastAsia="zh-CN"/>
        </w:rPr>
        <w:t>全身彩超</w:t>
      </w:r>
      <w:r>
        <w:rPr>
          <w:rFonts w:hint="eastAsia" w:ascii="仿宋_GB2312" w:eastAsia="仿宋_GB2312"/>
          <w:sz w:val="32"/>
          <w:szCs w:val="30"/>
          <w:u w:val="none"/>
          <w:lang w:val="en-US" w:eastAsia="zh-CN"/>
        </w:rPr>
        <w:t>2台500万元、DSA（三维）1台800万元、脑外手术机器人1台200万元、胸腹腔镜系统1套400万元</w:t>
      </w:r>
      <w:r>
        <w:rPr>
          <w:rFonts w:hint="eastAsia" w:ascii="仿宋_GB2312" w:eastAsia="仿宋_GB2312"/>
          <w:sz w:val="32"/>
          <w:szCs w:val="30"/>
          <w:u w:val="none"/>
        </w:rPr>
        <w:t xml:space="preserve"> </w:t>
      </w:r>
      <w:r>
        <w:rPr>
          <w:rFonts w:hint="eastAsia" w:ascii="仿宋_GB2312" w:eastAsia="仿宋_GB2312"/>
          <w:sz w:val="32"/>
          <w:szCs w:val="30"/>
          <w:u w:val="none"/>
        </w:rPr>
        <w:t>。</w:t>
      </w:r>
    </w:p>
    <w:p w14:paraId="4400133E">
      <w:pPr>
        <w:rPr>
          <w:rStyle w:val="11"/>
          <w:rFonts w:ascii="Adobe 仿宋 Std R" w:hAnsi="Adobe 仿宋 Std R" w:eastAsia="Adobe 仿宋 Std R"/>
          <w:b/>
          <w:sz w:val="32"/>
          <w:szCs w:val="32"/>
        </w:rPr>
      </w:pP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eastAsia="zh-CN"/>
        </w:rPr>
        <w:t>公立医院改革</w:t>
      </w:r>
      <w:r>
        <w:rPr>
          <w:rStyle w:val="11"/>
          <w:rFonts w:hint="eastAsia" w:ascii="Adobe 仿宋 Std R" w:hAnsi="Adobe 仿宋 Std R" w:eastAsia="Adobe 仿宋 Std R"/>
          <w:b/>
          <w:sz w:val="32"/>
          <w:szCs w:val="32"/>
        </w:rPr>
        <w:t>项目情况说明</w:t>
      </w:r>
    </w:p>
    <w:p w14:paraId="5106F659">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color w:val="auto"/>
          <w:sz w:val="32"/>
          <w:szCs w:val="32"/>
        </w:rPr>
        <w:t xml:space="preserve"> 1）项目概述</w:t>
      </w:r>
    </w:p>
    <w:p w14:paraId="02BE4D4C">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以破除以药补医机制为关键环节，全面深化县级公立医院改革管理体制，运行机制、补偿机制、价格调整、药品采购、人事编制、收入分配、医保制度、监管机制等综合改革，建立起维护公益性、调动积极性、保障可持续性的运作新机制。       </w:t>
      </w:r>
    </w:p>
    <w:p w14:paraId="17415831">
      <w:pPr>
        <w:numPr>
          <w:ilvl w:val="0"/>
          <w:numId w:val="1"/>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立项依据</w:t>
      </w:r>
    </w:p>
    <w:p w14:paraId="0DAA9A66">
      <w:pPr>
        <w:numPr>
          <w:ilvl w:val="0"/>
          <w:numId w:val="0"/>
        </w:numPr>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 xml:space="preserve">   庐山市财政局，庐山市卫生委员会下达关于提前下达2023年医疗卫生市本级财政补助资金的通知（庐财社指(2023）8号）。</w:t>
      </w:r>
    </w:p>
    <w:p w14:paraId="318AC797">
      <w:pPr>
        <w:numPr>
          <w:ilvl w:val="0"/>
          <w:numId w:val="1"/>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实施主体</w:t>
      </w:r>
    </w:p>
    <w:p w14:paraId="608B75A3">
      <w:pPr>
        <w:numPr>
          <w:ilvl w:val="0"/>
          <w:numId w:val="0"/>
        </w:numPr>
        <w:ind w:firstLine="640" w:firstLineChars="200"/>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lang w:eastAsia="zh-CN"/>
        </w:rPr>
        <w:t>庐山市人民医院</w:t>
      </w:r>
    </w:p>
    <w:p w14:paraId="1164C8E1">
      <w:pPr>
        <w:numPr>
          <w:ilvl w:val="0"/>
          <w:numId w:val="1"/>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实施方案</w:t>
      </w:r>
    </w:p>
    <w:p w14:paraId="7BA2ACC0">
      <w:pPr>
        <w:numPr>
          <w:ilvl w:val="0"/>
          <w:numId w:val="0"/>
        </w:numPr>
        <w:rPr>
          <w:rFonts w:hint="eastAsia" w:ascii="Adobe 仿宋 Std R" w:hAnsi="Adobe 仿宋 Std R" w:eastAsia="Adobe 仿宋 Std R"/>
          <w:color w:val="auto"/>
          <w:sz w:val="32"/>
          <w:szCs w:val="32"/>
        </w:rPr>
      </w:pPr>
      <w:r>
        <w:rPr>
          <w:rFonts w:hint="eastAsia" w:ascii="仿宋" w:hAnsi="仿宋" w:eastAsia="仿宋" w:cs="仿宋"/>
          <w:color w:val="auto"/>
          <w:sz w:val="32"/>
          <w:szCs w:val="32"/>
          <w:lang w:val="en-US" w:eastAsia="zh-CN"/>
        </w:rPr>
        <w:t xml:space="preserve">    江西省人民政府办公厅关于印发《江西省全面推开公立医院综合改革工作实施方案》的通知。</w:t>
      </w:r>
    </w:p>
    <w:p w14:paraId="42A6BF3C">
      <w:pPr>
        <w:numPr>
          <w:ilvl w:val="0"/>
          <w:numId w:val="1"/>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实施周期</w:t>
      </w:r>
    </w:p>
    <w:p w14:paraId="7E459450">
      <w:pPr>
        <w:numPr>
          <w:ilvl w:val="0"/>
          <w:numId w:val="0"/>
        </w:numPr>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 xml:space="preserve">    一年。</w:t>
      </w:r>
    </w:p>
    <w:p w14:paraId="395471AE">
      <w:pPr>
        <w:numPr>
          <w:ilvl w:val="0"/>
          <w:numId w:val="2"/>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年度预算安排</w:t>
      </w:r>
    </w:p>
    <w:p w14:paraId="308DFE8B">
      <w:pPr>
        <w:widowControl/>
        <w:spacing w:line="580" w:lineRule="exact"/>
        <w:ind w:firstLine="636"/>
        <w:jc w:val="left"/>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lang w:val="en-US" w:eastAsia="zh-CN"/>
        </w:rPr>
        <w:t>2025年预算安排47万元。</w:t>
      </w:r>
    </w:p>
    <w:p w14:paraId="7482D13D">
      <w:pPr>
        <w:ind w:firstLine="642"/>
        <w:rPr>
          <w:rFonts w:ascii="Adobe 仿宋 Std R" w:hAnsi="Adobe 仿宋 Std R" w:eastAsia="Adobe 仿宋 Std R"/>
          <w:sz w:val="32"/>
          <w:szCs w:val="32"/>
        </w:rPr>
      </w:pPr>
    </w:p>
    <w:p w14:paraId="5805AC30">
      <w:pPr>
        <w:widowControl/>
        <w:spacing w:line="580" w:lineRule="exact"/>
        <w:ind w:firstLine="636"/>
        <w:jc w:val="left"/>
        <w:rPr>
          <w:rStyle w:val="11"/>
          <w:rFonts w:hint="eastAsia" w:ascii="仿宋" w:hAnsi="仿宋" w:eastAsia="仿宋"/>
          <w:sz w:val="32"/>
          <w:szCs w:val="32"/>
        </w:rPr>
      </w:pPr>
    </w:p>
    <w:p w14:paraId="41AB6182">
      <w:pPr>
        <w:widowControl/>
        <w:spacing w:line="580" w:lineRule="exact"/>
        <w:ind w:firstLine="636"/>
        <w:jc w:val="left"/>
        <w:rPr>
          <w:rFonts w:ascii="Adobe 仿宋 Std R" w:hAnsi="Adobe 仿宋 Std R" w:eastAsia="Adobe 仿宋 Std R"/>
          <w:sz w:val="32"/>
          <w:szCs w:val="32"/>
        </w:rPr>
      </w:pP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5D67D2B4">
      <w:pPr>
        <w:ind w:firstLine="640" w:firstLineChars="200"/>
        <w:jc w:val="left"/>
        <w:rPr>
          <w:rFonts w:hint="eastAsia"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${page540426799.ds254512694_REP_JXJC_AGENCY_WZR_NAME}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庐山市人民医院</w:t>
      </w:r>
      <w:r>
        <w:rPr>
          <w:color w:val="auto"/>
        </w:rPr>
        <w:fldChar w:fldCharType="end"/>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57828F5E">
      <w:pPr>
        <w:ind w:firstLine="640" w:firstLineChars="200"/>
        <w:jc w:val="left"/>
        <w:rPr>
          <w:rFonts w:hint="eastAsia" w:ascii="仿宋" w:hAnsi="仿宋" w:eastAsia="仿宋"/>
          <w:bCs/>
          <w:sz w:val="32"/>
          <w:szCs w:val="32"/>
        </w:rPr>
      </w:pPr>
      <w:r>
        <w:rPr>
          <w:rFonts w:hint="eastAsia" w:ascii="仿宋" w:hAnsi="仿宋" w:eastAsia="仿宋"/>
          <w:bCs/>
          <w:sz w:val="32"/>
          <w:szCs w:val="32"/>
        </w:rPr>
        <w:t>因公出国0万元,比上年增0万元，主要原因是：与上年安排保持一致。</w:t>
      </w:r>
    </w:p>
    <w:p w14:paraId="65A0DC8E">
      <w:pPr>
        <w:ind w:firstLine="640" w:firstLineChars="200"/>
        <w:jc w:val="left"/>
        <w:rPr>
          <w:rFonts w:hint="eastAsia" w:ascii="仿宋" w:hAnsi="仿宋" w:eastAsia="仿宋"/>
          <w:bCs/>
          <w:sz w:val="32"/>
          <w:szCs w:val="32"/>
        </w:rPr>
      </w:pPr>
      <w:r>
        <w:rPr>
          <w:rFonts w:hint="eastAsia" w:ascii="仿宋" w:hAnsi="仿宋" w:eastAsia="仿宋"/>
          <w:bCs/>
          <w:sz w:val="32"/>
          <w:szCs w:val="32"/>
        </w:rPr>
        <w:t>公务接待0万元,比上年增0万元，主要原因是：与上年安排保持一致。</w:t>
      </w:r>
    </w:p>
    <w:p w14:paraId="1CA3BA90">
      <w:pPr>
        <w:ind w:firstLine="640" w:firstLineChars="200"/>
        <w:jc w:val="left"/>
        <w:rPr>
          <w:rFonts w:hint="eastAsia" w:ascii="仿宋" w:hAnsi="仿宋" w:eastAsia="仿宋"/>
          <w:bCs/>
          <w:sz w:val="32"/>
          <w:szCs w:val="32"/>
        </w:rPr>
      </w:pPr>
      <w:r>
        <w:rPr>
          <w:rFonts w:hint="eastAsia" w:ascii="仿宋" w:hAnsi="仿宋" w:eastAsia="仿宋"/>
          <w:bCs/>
          <w:sz w:val="32"/>
          <w:szCs w:val="32"/>
        </w:rPr>
        <w:t>公务用车运行0万元,比上年增0万元，主要原因是：与上年安排保持一致。</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公务用车购置0万元,比上年增0万元，主要原因是：与上年安排保持一致。</w:t>
      </w:r>
    </w:p>
    <w:p w14:paraId="0D2BA0FE">
      <w:pPr>
        <w:widowControl/>
        <w:spacing w:line="580" w:lineRule="exact"/>
        <w:ind w:firstLine="636"/>
        <w:jc w:val="left"/>
        <w:rPr>
          <w:rStyle w:val="11"/>
          <w:rFonts w:hint="eastAsia" w:ascii="仿宋" w:hAnsi="仿宋" w:eastAsia="仿宋"/>
          <w:color w:val="FF0000"/>
          <w:sz w:val="32"/>
          <w:szCs w:val="32"/>
        </w:rPr>
      </w:pPr>
    </w:p>
    <w:p w14:paraId="4ABACB0E">
      <w:pPr>
        <w:widowControl/>
        <w:spacing w:line="580" w:lineRule="exact"/>
        <w:ind w:firstLine="636"/>
        <w:jc w:val="left"/>
        <w:rPr>
          <w:rStyle w:val="11"/>
          <w:rFonts w:hint="eastAsia" w:ascii="仿宋" w:hAnsi="仿宋" w:eastAsia="仿宋"/>
          <w:sz w:val="32"/>
          <w:szCs w:val="32"/>
        </w:rPr>
      </w:pPr>
    </w:p>
    <w:p w14:paraId="490A3954">
      <w:pPr>
        <w:widowControl/>
        <w:spacing w:line="580" w:lineRule="exact"/>
        <w:ind w:firstLine="636"/>
        <w:jc w:val="left"/>
        <w:rPr>
          <w:rStyle w:val="11"/>
          <w:rFonts w:hint="eastAsia" w:ascii="仿宋" w:hAnsi="仿宋" w:eastAsia="仿宋"/>
          <w:sz w:val="32"/>
          <w:szCs w:val="32"/>
        </w:rPr>
      </w:pPr>
    </w:p>
    <w:p w14:paraId="1B007772">
      <w:pPr>
        <w:widowControl/>
        <w:shd w:val="clear" w:color="auto" w:fill="FFFFFF"/>
        <w:spacing w:line="640" w:lineRule="atLeast"/>
        <w:jc w:val="both"/>
        <w:rPr>
          <w:rFonts w:ascii="仿宋_GB2312" w:eastAsia="仿宋_GB2312"/>
          <w:b/>
          <w:sz w:val="32"/>
          <w:szCs w:val="30"/>
        </w:rPr>
      </w:pPr>
    </w:p>
    <w:p w14:paraId="4843B4F0">
      <w:pPr>
        <w:widowControl/>
        <w:shd w:val="clear" w:color="auto" w:fill="FFFFFF"/>
        <w:spacing w:line="640" w:lineRule="atLeast"/>
        <w:jc w:val="both"/>
        <w:rPr>
          <w:rFonts w:ascii="仿宋_GB2312" w:eastAsia="仿宋_GB2312"/>
          <w:b/>
          <w:sz w:val="32"/>
          <w:szCs w:val="30"/>
        </w:rPr>
      </w:pPr>
    </w:p>
    <w:p w14:paraId="11B5BF03">
      <w:pPr>
        <w:widowControl/>
        <w:shd w:val="clear" w:color="auto" w:fill="FFFFFF"/>
        <w:spacing w:line="640" w:lineRule="atLeast"/>
        <w:jc w:val="both"/>
        <w:rPr>
          <w:rFonts w:ascii="仿宋_GB2312" w:eastAsia="仿宋_GB2312"/>
          <w:b/>
          <w:sz w:val="32"/>
          <w:szCs w:val="30"/>
        </w:rPr>
      </w:pPr>
    </w:p>
    <w:p w14:paraId="5264F91E">
      <w:pPr>
        <w:widowControl/>
        <w:shd w:val="clear" w:color="auto" w:fill="FFFFFF"/>
        <w:spacing w:line="640" w:lineRule="atLeast"/>
        <w:jc w:val="both"/>
        <w:rPr>
          <w:rFonts w:ascii="仿宋_GB2312" w:eastAsia="仿宋_GB2312"/>
          <w:b/>
          <w:sz w:val="32"/>
          <w:szCs w:val="30"/>
        </w:rPr>
      </w:pPr>
    </w:p>
    <w:p w14:paraId="360B61C2">
      <w:pPr>
        <w:widowControl/>
        <w:shd w:val="clear" w:color="auto" w:fill="FFFFFF"/>
        <w:spacing w:line="640" w:lineRule="atLeast"/>
        <w:jc w:val="both"/>
        <w:rPr>
          <w:rFonts w:ascii="仿宋_GB2312" w:eastAsia="仿宋_GB2312"/>
          <w:b/>
          <w:sz w:val="32"/>
          <w:szCs w:val="30"/>
        </w:rPr>
      </w:pPr>
    </w:p>
    <w:p w14:paraId="17C9C581">
      <w:pPr>
        <w:widowControl/>
        <w:shd w:val="clear" w:color="auto" w:fill="FFFFFF"/>
        <w:spacing w:line="640" w:lineRule="atLeast"/>
        <w:jc w:val="both"/>
        <w:rPr>
          <w:rFonts w:ascii="仿宋_GB2312" w:eastAsia="仿宋_GB2312"/>
          <w:b/>
          <w:sz w:val="32"/>
          <w:szCs w:val="30"/>
        </w:rPr>
      </w:pP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3"/>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5AA1E7"/>
    <w:multiLevelType w:val="singleLevel"/>
    <w:tmpl w:val="C65AA1E7"/>
    <w:lvl w:ilvl="0" w:tentative="0">
      <w:start w:val="2"/>
      <w:numFmt w:val="decimal"/>
      <w:suff w:val="nothing"/>
      <w:lvlText w:val="%1）"/>
      <w:lvlJc w:val="left"/>
      <w:pPr>
        <w:ind w:left="1122" w:leftChars="0" w:firstLine="0" w:firstLineChars="0"/>
      </w:pPr>
    </w:lvl>
  </w:abstractNum>
  <w:abstractNum w:abstractNumId="1">
    <w:nsid w:val="C8D3594E"/>
    <w:multiLevelType w:val="singleLevel"/>
    <w:tmpl w:val="C8D3594E"/>
    <w:lvl w:ilvl="0" w:tentative="0">
      <w:start w:val="6"/>
      <w:numFmt w:val="decimal"/>
      <w:suff w:val="nothing"/>
      <w:lvlText w:val="%1）"/>
      <w:lvlJc w:val="left"/>
      <w:pPr>
        <w:ind w:left="1122" w:leftChars="0" w:firstLine="0" w:firstLineChars="0"/>
      </w:p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Q5ZTdhNDIxZDFkNjNjOGI2YWI4OTRiYWQwMGU2ZjA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7F3582A"/>
    <w:rsid w:val="08EC3843"/>
    <w:rsid w:val="0A0925FF"/>
    <w:rsid w:val="0C97247A"/>
    <w:rsid w:val="0D1A7920"/>
    <w:rsid w:val="0D2269B3"/>
    <w:rsid w:val="0DB3098E"/>
    <w:rsid w:val="0FBB61B8"/>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2F8142B4"/>
    <w:rsid w:val="304075B1"/>
    <w:rsid w:val="311C29BA"/>
    <w:rsid w:val="317425DE"/>
    <w:rsid w:val="318814ED"/>
    <w:rsid w:val="31931AC3"/>
    <w:rsid w:val="3328400E"/>
    <w:rsid w:val="351512FA"/>
    <w:rsid w:val="374647FA"/>
    <w:rsid w:val="39A3581F"/>
    <w:rsid w:val="39CE49D8"/>
    <w:rsid w:val="3A841EE9"/>
    <w:rsid w:val="3A9F1A72"/>
    <w:rsid w:val="3ACF1B11"/>
    <w:rsid w:val="3B7D1841"/>
    <w:rsid w:val="3BA35A87"/>
    <w:rsid w:val="3BA6547C"/>
    <w:rsid w:val="3DD2151D"/>
    <w:rsid w:val="3F383632"/>
    <w:rsid w:val="3FA910A9"/>
    <w:rsid w:val="3FF84E58"/>
    <w:rsid w:val="401B37EF"/>
    <w:rsid w:val="4052753A"/>
    <w:rsid w:val="41737C65"/>
    <w:rsid w:val="42DC038C"/>
    <w:rsid w:val="43BF53DB"/>
    <w:rsid w:val="45D833CA"/>
    <w:rsid w:val="464E5AFF"/>
    <w:rsid w:val="4DB628F2"/>
    <w:rsid w:val="4E0D4F31"/>
    <w:rsid w:val="4EFF051F"/>
    <w:rsid w:val="528E6F80"/>
    <w:rsid w:val="53516268"/>
    <w:rsid w:val="55924F68"/>
    <w:rsid w:val="55EE43AE"/>
    <w:rsid w:val="56C47F55"/>
    <w:rsid w:val="573A53AA"/>
    <w:rsid w:val="58C223CA"/>
    <w:rsid w:val="5AB93E8B"/>
    <w:rsid w:val="5EA31F07"/>
    <w:rsid w:val="5EDA0640"/>
    <w:rsid w:val="5F193B70"/>
    <w:rsid w:val="61D17BB5"/>
    <w:rsid w:val="61E31A71"/>
    <w:rsid w:val="62283DE4"/>
    <w:rsid w:val="62CA5BF5"/>
    <w:rsid w:val="63E33020"/>
    <w:rsid w:val="656229B9"/>
    <w:rsid w:val="658856FB"/>
    <w:rsid w:val="67B10C38"/>
    <w:rsid w:val="67DC7D34"/>
    <w:rsid w:val="68391507"/>
    <w:rsid w:val="68E97589"/>
    <w:rsid w:val="6BE248E5"/>
    <w:rsid w:val="6C617282"/>
    <w:rsid w:val="6CCB135B"/>
    <w:rsid w:val="6EAF555B"/>
    <w:rsid w:val="6EDB6140"/>
    <w:rsid w:val="6F2C7111"/>
    <w:rsid w:val="6FC54622"/>
    <w:rsid w:val="714A36AC"/>
    <w:rsid w:val="71AF11DD"/>
    <w:rsid w:val="72746F20"/>
    <w:rsid w:val="73543105"/>
    <w:rsid w:val="73A85115"/>
    <w:rsid w:val="759E1500"/>
    <w:rsid w:val="77016E8C"/>
    <w:rsid w:val="7C1C38B8"/>
    <w:rsid w:val="7D1C2D3E"/>
    <w:rsid w:val="7EAD5634"/>
    <w:rsid w:val="7F3149A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uiPriority w:val="0"/>
    <w:rPr>
      <w:b/>
      <w:kern w:val="44"/>
      <w:sz w:val="44"/>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3718</Words>
  <Characters>3935</Characters>
  <Lines>53</Lines>
  <Paragraphs>15</Paragraphs>
  <TotalTime>2</TotalTime>
  <ScaleCrop>false</ScaleCrop>
  <LinksUpToDate>false</LinksUpToDate>
  <CharactersWithSpaces>4049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邹蓉</cp:lastModifiedBy>
  <dcterms:modified xsi:type="dcterms:W3CDTF">2025-01-08T09:06:37Z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71ECD1639C7F45DE85E3DE8D80F2018C</vt:lpwstr>
  </property>
  <property fmtid="{D5CDD505-2E9C-101B-9397-08002B2CF9AE}" pid="4" name="KSOTemplateDocerSaveRecord">
    <vt:lpwstr>eyJoZGlkIjoiMGE0ZDBjZGY3YWNhNWM3MDYwYmM5MGNjYTM4NWY3YjAiLCJ1c2VySWQiOiI0Njg1NDA0NjQifQ==</vt:lpwstr>
  </property>
</Properties>
</file>