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rPr>
          <w:rFonts w:ascii="黑体" w:hAnsi="黑体" w:eastAsia="黑体" w:cs="Times New Roman"/>
          <w:b/>
          <w:bCs/>
          <w:color w:val="000000"/>
          <w:kern w:val="0"/>
          <w:sz w:val="44"/>
          <w:szCs w:val="44"/>
        </w:rPr>
      </w:pPr>
      <w:r>
        <w:rPr>
          <w:rFonts w:hint="eastAsia" w:ascii="黑体" w:hAnsi="黑体" w:eastAsia="黑体" w:cs="Times New Roman"/>
          <w:b/>
          <w:bCs/>
          <w:color w:val="auto"/>
          <w:kern w:val="0"/>
          <w:sz w:val="44"/>
          <w:szCs w:val="44"/>
          <w:lang w:eastAsia="zh-CN"/>
        </w:rPr>
        <w:t>庐山市中医医院</w:t>
      </w:r>
      <w:r>
        <w:rPr>
          <w:rFonts w:ascii="黑体" w:hAnsi="黑体" w:eastAsia="黑体" w:cs="Times New Roman"/>
          <w:b/>
          <w:bCs/>
          <w:color w:val="0000FF"/>
          <w:kern w:val="0"/>
          <w:sz w:val="44"/>
          <w:szCs w:val="44"/>
        </w:rPr>
        <w:fldChar w:fldCharType="begin"/>
      </w:r>
      <w:r>
        <w:rPr>
          <w:rFonts w:ascii="黑体" w:hAnsi="黑体" w:eastAsia="黑体" w:cs="Times New Roman"/>
          <w:b/>
          <w:bCs/>
          <w:color w:val="0000FF"/>
          <w:kern w:val="0"/>
          <w:sz w:val="44"/>
          <w:szCs w:val="44"/>
        </w:rPr>
        <w:instrText xml:space="preserve">MERGEFIELD ${page540426799.ds254512694_REP_JXJC_AGENCY_WZR_NAME}</w:instrText>
      </w:r>
      <w:r>
        <w:rPr>
          <w:rFonts w:ascii="黑体" w:hAnsi="黑体" w:eastAsia="黑体" w:cs="Times New Roman"/>
          <w:b/>
          <w:bCs/>
          <w:color w:val="0000FF"/>
          <w:kern w:val="0"/>
          <w:sz w:val="44"/>
          <w:szCs w:val="44"/>
        </w:rPr>
        <w:fldChar w:fldCharType="separate"/>
      </w:r>
      <w:r>
        <w:rPr>
          <w:color w:val="0000FF"/>
        </w:rPr>
        <w:fldChar w:fldCharType="end"/>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14:textFill>
            <w14:solidFill>
              <w14:schemeClr w14:val="tx1"/>
            </w14:solidFill>
          </w14:textFill>
        </w:rPr>
        <w:t>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eastAsia="zh-CN"/>
        </w:rPr>
        <w:t>庐山市中医医院</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eastAsia="zh-CN"/>
        </w:rPr>
        <w:t>庐山市中医医院</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eastAsia="zh-CN"/>
        </w:rPr>
        <w:t>庐山市中医医院</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bCs/>
          <w:color w:val="000000"/>
          <w:sz w:val="32"/>
          <w:szCs w:val="32"/>
          <w:lang w:eastAsia="zh-CN"/>
        </w:rPr>
        <w:t>庐山市中医医院</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numPr>
          <w:ilvl w:val="0"/>
          <w:numId w:val="1"/>
        </w:numPr>
        <w:spacing w:line="580" w:lineRule="exact"/>
        <w:jc w:val="left"/>
        <w:rPr>
          <w:rFonts w:hint="eastAsia" w:asciiTheme="minorEastAsia" w:hAnsiTheme="minorEastAsia"/>
          <w:b/>
          <w:color w:val="auto"/>
          <w:sz w:val="36"/>
          <w:szCs w:val="36"/>
        </w:rPr>
      </w:pPr>
      <w:r>
        <w:rPr>
          <w:rFonts w:hint="eastAsia" w:asciiTheme="minorEastAsia" w:hAnsiTheme="minorEastAsia"/>
          <w:b/>
          <w:color w:val="auto"/>
          <w:sz w:val="36"/>
          <w:szCs w:val="36"/>
        </w:rPr>
        <w:t>单位主要职责</w:t>
      </w:r>
    </w:p>
    <w:p w14:paraId="60D8F1BF">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olor w:val="auto"/>
          <w:sz w:val="32"/>
          <w:szCs w:val="32"/>
        </w:rPr>
      </w:pPr>
      <w:r>
        <w:rPr>
          <w:rFonts w:hint="eastAsia" w:ascii="仿宋_GB2312" w:hAnsi="仿宋" w:eastAsia="仿宋_GB2312" w:cs="Times New Roman"/>
          <w:sz w:val="32"/>
          <w:szCs w:val="32"/>
          <w:lang w:val="en-US" w:eastAsia="zh-CN"/>
        </w:rPr>
        <w:t xml:space="preserve"> </w:t>
      </w:r>
      <w:r>
        <w:rPr>
          <w:rFonts w:hint="eastAsia" w:ascii="仿宋_GB2312" w:hAnsi="仿宋_GB2312" w:eastAsia="仿宋_GB2312"/>
          <w:color w:val="auto"/>
          <w:sz w:val="32"/>
          <w:szCs w:val="32"/>
        </w:rPr>
        <w:t>1、为人民群众提供中西医医疗、预防、保健、计划生育、康复等医疗卫生服务。 </w:t>
      </w:r>
    </w:p>
    <w:p w14:paraId="5194FBB8">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2、贯彻落实医药卫生体制改革、中西医并重方针和国家中医药法律法规，执行中医药政策；拟定实施中医药、中西医结合发展战略、规划；指导全县各医疗机构发展中医药业务建设。</w:t>
      </w:r>
    </w:p>
    <w:p w14:paraId="7DF0EFFB">
      <w:pPr>
        <w:keepNext w:val="0"/>
        <w:keepLines w:val="0"/>
        <w:pageBreakBefore w:val="0"/>
        <w:kinsoku/>
        <w:wordWrap/>
        <w:overflowPunct/>
        <w:topLinePunct w:val="0"/>
        <w:autoSpaceDE/>
        <w:autoSpaceDN/>
        <w:bidi w:val="0"/>
        <w:adjustRightInd/>
        <w:snapToGrid/>
        <w:spacing w:line="600" w:lineRule="exact"/>
        <w:ind w:firstLine="63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3、确保全市人民中西医疗健康需求，建立与地方经济发展相适应的中西医结合医疗环境。加强中医医院标准化管理。</w:t>
      </w:r>
    </w:p>
    <w:p w14:paraId="7CE2EA7A">
      <w:pPr>
        <w:keepNext w:val="0"/>
        <w:keepLines w:val="0"/>
        <w:pageBreakBefore w:val="0"/>
        <w:kinsoku/>
        <w:wordWrap/>
        <w:overflowPunct/>
        <w:topLinePunct w:val="0"/>
        <w:autoSpaceDE/>
        <w:autoSpaceDN/>
        <w:bidi w:val="0"/>
        <w:adjustRightInd/>
        <w:snapToGrid/>
        <w:spacing w:line="600" w:lineRule="exact"/>
        <w:ind w:firstLine="63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4、贯彻落实国家基本药物制度和药品集中采购工作，执行医用耗材集中采购工作；负责医院内部的药品和医疗器械管理工作。 </w:t>
      </w:r>
    </w:p>
    <w:p w14:paraId="60407CF0">
      <w:pPr>
        <w:keepNext w:val="0"/>
        <w:keepLines w:val="0"/>
        <w:pageBreakBefore w:val="0"/>
        <w:kinsoku/>
        <w:wordWrap/>
        <w:overflowPunct/>
        <w:topLinePunct w:val="0"/>
        <w:autoSpaceDE/>
        <w:autoSpaceDN/>
        <w:bidi w:val="0"/>
        <w:adjustRightInd/>
        <w:snapToGrid/>
        <w:spacing w:line="600" w:lineRule="exact"/>
        <w:ind w:firstLine="63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5、承担意外灾害事故、疫情等突发公共卫生事件的医疗急救及社区预防、保健和康复医疗服务工作，开展各种医疗保健卫生知识宣传普及。 </w:t>
      </w:r>
    </w:p>
    <w:p w14:paraId="76529639">
      <w:pPr>
        <w:keepNext w:val="0"/>
        <w:keepLines w:val="0"/>
        <w:pageBreakBefore w:val="0"/>
        <w:kinsoku/>
        <w:wordWrap/>
        <w:overflowPunct/>
        <w:topLinePunct w:val="0"/>
        <w:autoSpaceDE/>
        <w:autoSpaceDN/>
        <w:bidi w:val="0"/>
        <w:adjustRightInd/>
        <w:snapToGrid/>
        <w:spacing w:line="600" w:lineRule="exact"/>
        <w:ind w:firstLine="63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6、充分发挥中医药在国家基本公共卫生服务中的优势和作用，负责全市基本公共卫生服务中医药健康管理项目的实施和日常管理。 </w:t>
      </w:r>
    </w:p>
    <w:p w14:paraId="2460B199">
      <w:pPr>
        <w:keepNext w:val="0"/>
        <w:keepLines w:val="0"/>
        <w:pageBreakBefore w:val="0"/>
        <w:kinsoku/>
        <w:wordWrap/>
        <w:overflowPunct/>
        <w:topLinePunct w:val="0"/>
        <w:autoSpaceDE/>
        <w:autoSpaceDN/>
        <w:bidi w:val="0"/>
        <w:adjustRightInd/>
        <w:snapToGrid/>
        <w:spacing w:line="600" w:lineRule="exact"/>
        <w:ind w:firstLine="63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7、组织实施中西医药科学研究，推进医学科技成果转化和推广应用；承担中医药人才培养，中医药继续医学教育工作。</w:t>
      </w:r>
    </w:p>
    <w:p w14:paraId="4A67A1B9">
      <w:pPr>
        <w:keepNext w:val="0"/>
        <w:keepLines w:val="0"/>
        <w:pageBreakBefore w:val="0"/>
        <w:kinsoku/>
        <w:wordWrap/>
        <w:overflowPunct/>
        <w:topLinePunct w:val="0"/>
        <w:autoSpaceDE/>
        <w:autoSpaceDN/>
        <w:bidi w:val="0"/>
        <w:adjustRightInd/>
        <w:snapToGrid/>
        <w:spacing w:line="600" w:lineRule="exact"/>
        <w:ind w:firstLine="63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8、做好城镇职工基本医疗保险、城镇居民基本医疗保险和新型农村合作医疗保险等定点医疗机构的各项工作。 </w:t>
      </w:r>
    </w:p>
    <w:p w14:paraId="113220EE">
      <w:pPr>
        <w:keepNext w:val="0"/>
        <w:keepLines w:val="0"/>
        <w:pageBreakBefore w:val="0"/>
        <w:kinsoku/>
        <w:wordWrap/>
        <w:overflowPunct/>
        <w:topLinePunct w:val="0"/>
        <w:autoSpaceDE/>
        <w:autoSpaceDN/>
        <w:bidi w:val="0"/>
        <w:adjustRightInd/>
        <w:snapToGrid/>
        <w:spacing w:line="600" w:lineRule="exact"/>
        <w:ind w:firstLine="63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9、参与卫生扶贫、重要会议与重大活动的医疗卫生保障工作。 </w:t>
      </w:r>
    </w:p>
    <w:p w14:paraId="13E01E10">
      <w:pPr>
        <w:keepNext w:val="0"/>
        <w:keepLines w:val="0"/>
        <w:pageBreakBefore w:val="0"/>
        <w:kinsoku/>
        <w:wordWrap/>
        <w:overflowPunct/>
        <w:topLinePunct w:val="0"/>
        <w:autoSpaceDE/>
        <w:autoSpaceDN/>
        <w:bidi w:val="0"/>
        <w:adjustRightInd/>
        <w:snapToGrid/>
        <w:spacing w:line="600" w:lineRule="exact"/>
        <w:ind w:firstLine="630"/>
        <w:jc w:val="both"/>
        <w:textAlignment w:val="auto"/>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10、承担市委政府及市卫生和计划生育委员会交办的其他卫生工作。</w:t>
      </w:r>
    </w:p>
    <w:p w14:paraId="3ACEA78A">
      <w:pPr>
        <w:widowControl/>
        <w:numPr>
          <w:ilvl w:val="0"/>
          <w:numId w:val="0"/>
        </w:numPr>
        <w:spacing w:line="580" w:lineRule="exact"/>
        <w:jc w:val="left"/>
        <w:rPr>
          <w:rFonts w:hint="default" w:asciiTheme="minorEastAsia" w:hAnsiTheme="minorEastAsia" w:eastAsiaTheme="minorEastAsia"/>
          <w:b/>
          <w:color w:val="FF0000"/>
          <w:sz w:val="36"/>
          <w:szCs w:val="36"/>
          <w:lang w:val="en-US" w:eastAsia="zh-CN"/>
        </w:rPr>
      </w:pPr>
    </w:p>
    <w:p w14:paraId="6A2A716D">
      <w:pPr>
        <w:rPr>
          <w:b/>
          <w:sz w:val="36"/>
          <w:szCs w:val="36"/>
        </w:rPr>
      </w:pPr>
      <w:r>
        <w:rPr>
          <w:rFonts w:hint="eastAsia"/>
          <w:b/>
          <w:sz w:val="36"/>
          <w:szCs w:val="36"/>
        </w:rPr>
        <w:t>二、机构设置及人员情况</w:t>
      </w:r>
    </w:p>
    <w:p w14:paraId="4128FC58">
      <w:pPr>
        <w:ind w:firstLine="640" w:firstLineChars="200"/>
        <w:rPr>
          <w:rFonts w:hint="eastAsia" w:ascii="仿宋_GB2312" w:hAnsi="仿宋_GB2312" w:eastAsia="仿宋_GB2312" w:cs="仿宋_GB2312"/>
          <w:sz w:val="32"/>
          <w:szCs w:val="32"/>
          <w:lang w:val="en-US" w:eastAsia="zh-CN"/>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_GB2312" w:eastAsia="仿宋_GB2312"/>
          <w:b/>
          <w:bCs/>
          <w:color w:val="000000"/>
          <w:sz w:val="32"/>
          <w:szCs w:val="32"/>
          <w:lang w:eastAsia="zh-CN"/>
        </w:rPr>
        <w:t>庐山市中医医院</w:t>
      </w:r>
      <w:r>
        <w:rPr>
          <w:rFonts w:hint="eastAsia" w:ascii="仿宋" w:hAnsi="仿宋" w:eastAsia="仿宋"/>
          <w:sz w:val="32"/>
          <w:szCs w:val="32"/>
        </w:rPr>
        <w:t>内设处室</w:t>
      </w:r>
      <w:r>
        <w:rPr>
          <w:rFonts w:hint="eastAsia" w:ascii="仿宋_GB2312" w:eastAsia="仿宋_GB2312"/>
          <w:sz w:val="32"/>
          <w:szCs w:val="30"/>
          <w:u w:val="single"/>
        </w:rPr>
        <w:t xml:space="preserve">    </w:t>
      </w:r>
      <w:r>
        <w:rPr>
          <w:rFonts w:hint="eastAsia" w:ascii="仿宋_GB2312" w:eastAsia="仿宋_GB2312"/>
          <w:sz w:val="32"/>
          <w:szCs w:val="30"/>
          <w:u w:val="single"/>
          <w:lang w:val="en-US" w:eastAsia="zh-CN"/>
        </w:rPr>
        <w:t>33</w:t>
      </w:r>
      <w:r>
        <w:rPr>
          <w:rFonts w:hint="eastAsia" w:ascii="仿宋_GB2312" w:eastAsia="仿宋_GB2312"/>
          <w:sz w:val="32"/>
          <w:szCs w:val="30"/>
          <w:u w:val="single"/>
        </w:rPr>
        <w:t xml:space="preserve"> </w:t>
      </w:r>
      <w:r>
        <w:rPr>
          <w:rFonts w:ascii="仿宋" w:hAnsi="仿宋" w:eastAsia="仿宋"/>
          <w:sz w:val="32"/>
          <w:szCs w:val="32"/>
        </w:rPr>
        <w:t xml:space="preserve"> </w:t>
      </w:r>
      <w:r>
        <w:rPr>
          <w:rFonts w:hint="eastAsia" w:ascii="仿宋" w:hAnsi="仿宋" w:eastAsia="仿宋"/>
          <w:sz w:val="32"/>
          <w:szCs w:val="32"/>
        </w:rPr>
        <w:t>个，</w:t>
      </w:r>
      <w:r>
        <w:rPr>
          <w:rStyle w:val="14"/>
        </w:rPr>
        <w:t>包括</w:t>
      </w:r>
      <w:r>
        <w:rPr>
          <w:rStyle w:val="14"/>
          <w:rFonts w:hint="eastAsia"/>
        </w:rPr>
        <w:t>：</w:t>
      </w:r>
      <w:r>
        <w:rPr>
          <w:rFonts w:hint="eastAsia" w:ascii="仿宋_GB2312" w:hAnsi="仿宋_GB2312" w:eastAsia="仿宋_GB2312" w:cs="仿宋_GB2312"/>
          <w:sz w:val="32"/>
          <w:szCs w:val="32"/>
          <w:lang w:val="en-US" w:eastAsia="zh-CN"/>
        </w:rPr>
        <w:t>行政科室14个，分别为医院办公室、财务科、总务科、信息科、设备科、保卫科、医保办、采购办、党建办公室、医务科、护理部、院感办、公共卫生科、审计室；业务科室19个，分别为内科、外科、妇产科、针灸科（康复医学科）、骨伤科、肛肠科、口腔科、手术麻醉科、门诊部、急诊科、血液净化中心、药剂科、检验科、放射科、超声科、心电图室、胃肠镜室、体检科、消毒供应中心。</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92</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hint="eastAsia" w:ascii="仿宋" w:hAnsi="仿宋" w:eastAsia="仿宋"/>
          <w:sz w:val="32"/>
          <w:szCs w:val="32"/>
          <w:lang w:eastAsia="zh-CN"/>
        </w:rPr>
        <w:t>事业</w:t>
      </w:r>
      <w:r>
        <w:rPr>
          <w:rFonts w:ascii="仿宋" w:hAnsi="仿宋" w:eastAsia="仿宋"/>
          <w:sz w:val="32"/>
          <w:szCs w:val="32"/>
        </w:rPr>
        <w:t>编制人数</w:t>
      </w:r>
      <w:r>
        <w:rPr>
          <w:rFonts w:hint="eastAsia" w:ascii="仿宋" w:hAnsi="仿宋" w:eastAsia="仿宋"/>
          <w:sz w:val="32"/>
          <w:szCs w:val="32"/>
          <w:lang w:val="en-US" w:eastAsia="zh-CN"/>
        </w:rPr>
        <w:t>92</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308</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182</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hint="eastAsia" w:ascii="仿宋" w:hAnsi="仿宋" w:eastAsia="仿宋"/>
          <w:sz w:val="32"/>
          <w:szCs w:val="32"/>
          <w:lang w:eastAsia="zh-CN"/>
        </w:rPr>
        <w:t>事业</w:t>
      </w:r>
      <w:r>
        <w:rPr>
          <w:rFonts w:ascii="仿宋" w:hAnsi="仿宋" w:eastAsia="仿宋"/>
          <w:sz w:val="32"/>
          <w:szCs w:val="32"/>
        </w:rPr>
        <w:t>编制在职人数</w:t>
      </w:r>
      <w:r>
        <w:rPr>
          <w:rFonts w:hint="eastAsia" w:ascii="仿宋" w:hAnsi="仿宋" w:eastAsia="仿宋"/>
          <w:sz w:val="32"/>
          <w:szCs w:val="32"/>
          <w:lang w:val="en-US" w:eastAsia="zh-CN"/>
        </w:rPr>
        <w:t>92</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31</w:t>
      </w:r>
      <w:r>
        <w:rPr>
          <w:rFonts w:ascii="仿宋" w:hAnsi="仿宋" w:eastAsia="仿宋"/>
          <w:sz w:val="32"/>
          <w:szCs w:val="32"/>
        </w:rPr>
        <w:t>人,遗属人数</w:t>
      </w:r>
      <w:r>
        <w:rPr>
          <w:rFonts w:hint="eastAsia" w:ascii="仿宋" w:hAnsi="仿宋" w:eastAsia="仿宋"/>
          <w:sz w:val="32"/>
          <w:szCs w:val="32"/>
          <w:lang w:val="en-US" w:eastAsia="zh-CN"/>
        </w:rPr>
        <w:t>3</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color w:val="auto"/>
          <w:sz w:val="32"/>
          <w:szCs w:val="30"/>
          <w:lang w:eastAsia="zh-CN"/>
        </w:rPr>
        <w:t>庐山市中医医院</w:t>
      </w:r>
      <w:r>
        <w:rPr>
          <w:rFonts w:hint="eastAsia" w:ascii="仿宋_GB2312" w:eastAsia="仿宋_GB2312"/>
          <w:b/>
          <w:color w:val="auto"/>
          <w:sz w:val="32"/>
          <w:szCs w:val="30"/>
        </w:rPr>
        <w:t>2</w:t>
      </w:r>
      <w:r>
        <w:rPr>
          <w:rFonts w:hint="eastAsia" w:ascii="仿宋_GB2312" w:eastAsia="仿宋_GB2312"/>
          <w:b/>
          <w:sz w:val="32"/>
          <w:szCs w:val="30"/>
        </w:rPr>
        <w:t>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1"/>
          <w:rFonts w:ascii="仿宋" w:hAnsi="仿宋" w:eastAsia="仿宋"/>
          <w:bCs/>
          <w:sz w:val="32"/>
          <w:szCs w:val="32"/>
        </w:rPr>
      </w:pPr>
    </w:p>
    <w:p w14:paraId="18783953">
      <w:pPr>
        <w:ind w:firstLine="640" w:firstLineChars="200"/>
        <w:jc w:val="left"/>
        <w:rPr>
          <w:rStyle w:val="11"/>
          <w:rFonts w:ascii="仿宋" w:hAnsi="仿宋" w:eastAsia="仿宋"/>
          <w:bCs/>
          <w:sz w:val="32"/>
          <w:szCs w:val="32"/>
        </w:rPr>
      </w:pPr>
    </w:p>
    <w:p w14:paraId="5D285DC7">
      <w:pPr>
        <w:ind w:firstLine="640" w:firstLineChars="200"/>
        <w:jc w:val="left"/>
        <w:rPr>
          <w:rStyle w:val="11"/>
          <w:rFonts w:ascii="仿宋" w:hAnsi="仿宋" w:eastAsia="仿宋"/>
          <w:bCs/>
          <w:sz w:val="32"/>
          <w:szCs w:val="32"/>
        </w:rPr>
      </w:pPr>
    </w:p>
    <w:p w14:paraId="59E77F81">
      <w:pPr>
        <w:ind w:firstLine="640" w:firstLineChars="200"/>
        <w:jc w:val="left"/>
        <w:rPr>
          <w:rStyle w:val="11"/>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color w:val="auto"/>
          <w:sz w:val="32"/>
          <w:szCs w:val="30"/>
          <w:lang w:eastAsia="zh-CN"/>
        </w:rPr>
        <w:t>庐山市中医医院</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_GB2312" w:eastAsia="仿宋_GB2312"/>
          <w:b/>
          <w:color w:val="auto"/>
          <w:sz w:val="32"/>
          <w:szCs w:val="30"/>
          <w:lang w:eastAsia="zh-CN"/>
        </w:rPr>
        <w:t>庐山市中医医院</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10730.41</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1063.83</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930.41</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247.83</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增加变化原因为单位运行成本增加，以及人员增加导致人员经费增加。</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Fonts w:hint="eastAsia" w:ascii="仿宋_GB2312" w:eastAsia="仿宋_GB2312"/>
          <w:b/>
          <w:color w:val="auto"/>
          <w:sz w:val="32"/>
          <w:szCs w:val="30"/>
          <w:lang w:eastAsia="zh-CN"/>
        </w:rPr>
        <w:t>庐山市中医医院</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10730.41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1063.83</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增加变化原因为单位运行成本增长，支出增加。</w:t>
      </w:r>
    </w:p>
    <w:p w14:paraId="347A5A02">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olor w:val="auto"/>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701.14</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142.71</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620.3</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0.31</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80.53</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10029.27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921.12</w:t>
      </w:r>
      <w:r>
        <w:rPr>
          <w:rStyle w:val="11"/>
          <w:rFonts w:ascii="仿宋" w:hAnsi="仿宋" w:eastAsia="仿宋"/>
          <w:sz w:val="32"/>
          <w:szCs w:val="32"/>
        </w:rPr>
        <w:t>万元;其中：</w:t>
      </w:r>
      <w:r>
        <w:rPr>
          <w:rStyle w:val="11"/>
          <w:rFonts w:hint="eastAsia" w:ascii="仿宋" w:hAnsi="仿宋" w:eastAsia="仿宋"/>
          <w:sz w:val="32"/>
          <w:szCs w:val="32"/>
          <w:lang w:eastAsia="zh-CN"/>
        </w:rPr>
        <w:t>工资福利支出</w:t>
      </w:r>
      <w:r>
        <w:rPr>
          <w:rStyle w:val="11"/>
          <w:rFonts w:hint="eastAsia" w:ascii="仿宋" w:hAnsi="仿宋" w:eastAsia="仿宋"/>
          <w:sz w:val="32"/>
          <w:szCs w:val="32"/>
          <w:lang w:val="en-US" w:eastAsia="zh-CN"/>
        </w:rPr>
        <w:t>3300万元，</w:t>
      </w:r>
      <w:r>
        <w:rPr>
          <w:rStyle w:val="11"/>
          <w:rFonts w:ascii="仿宋" w:hAnsi="仿宋" w:eastAsia="仿宋"/>
          <w:sz w:val="32"/>
          <w:szCs w:val="32"/>
        </w:rPr>
        <w:t>商品和服务支出</w:t>
      </w:r>
      <w:r>
        <w:rPr>
          <w:rStyle w:val="11"/>
          <w:rFonts w:hint="eastAsia" w:ascii="仿宋" w:hAnsi="仿宋" w:eastAsia="仿宋"/>
          <w:sz w:val="32"/>
          <w:szCs w:val="32"/>
          <w:lang w:val="en-US" w:eastAsia="zh-CN"/>
        </w:rPr>
        <w:t>4278.69</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2450.58</w:t>
      </w:r>
      <w:r>
        <w:rPr>
          <w:rStyle w:val="11"/>
          <w:rFonts w:ascii="仿宋" w:hAnsi="仿宋" w:eastAsia="仿宋"/>
          <w:sz w:val="32"/>
          <w:szCs w:val="32"/>
        </w:rPr>
        <w:t>万元。</w:t>
      </w:r>
      <w:r>
        <w:fldChar w:fldCharType="end"/>
      </w:r>
    </w:p>
    <w:p w14:paraId="1F108E63">
      <w:pPr>
        <w:ind w:firstLine="640" w:firstLineChars="200"/>
        <w:rPr>
          <w:rStyle w:val="11"/>
          <w:rFonts w:ascii="仿宋" w:hAnsi="仿宋" w:eastAsia="仿宋"/>
          <w:b/>
          <w:sz w:val="20"/>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万元,较上年预算安排增加（减少）</w:t>
      </w:r>
      <w:r>
        <w:rPr>
          <w:rStyle w:val="11"/>
          <w:rFonts w:hint="eastAsia" w:ascii="仿宋" w:hAnsi="仿宋" w:eastAsia="仿宋"/>
          <w:sz w:val="32"/>
          <w:szCs w:val="32"/>
          <w:lang w:val="en-US" w:eastAsia="zh-CN"/>
        </w:rPr>
        <w:t>0</w:t>
      </w:r>
      <w:r>
        <w:rPr>
          <w:rStyle w:val="11"/>
          <w:rFonts w:ascii="仿宋" w:hAnsi="仿宋" w:eastAsia="仿宋"/>
          <w:sz w:val="32"/>
          <w:szCs w:val="32"/>
        </w:rPr>
        <w:t>万元;社会保障和就业支出</w:t>
      </w:r>
      <w:r>
        <w:rPr>
          <w:rStyle w:val="11"/>
          <w:rFonts w:hint="eastAsia" w:ascii="仿宋" w:hAnsi="仿宋" w:eastAsia="仿宋"/>
          <w:sz w:val="32"/>
          <w:szCs w:val="32"/>
          <w:lang w:val="en-US" w:eastAsia="zh-CN"/>
        </w:rPr>
        <w:t>294.58</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32.59</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9944.91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843.87</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351.34</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112.98</w:t>
      </w:r>
      <w:r>
        <w:rPr>
          <w:rStyle w:val="11"/>
          <w:rFonts w:ascii="仿宋" w:hAnsi="仿宋" w:eastAsia="仿宋"/>
          <w:sz w:val="32"/>
          <w:szCs w:val="32"/>
        </w:rPr>
        <w:t>万元;</w:t>
      </w:r>
      <w:r>
        <w:rPr>
          <w:rStyle w:val="11"/>
          <w:rFonts w:hint="eastAsia" w:ascii="仿宋" w:hAnsi="仿宋" w:eastAsia="仿宋"/>
          <w:sz w:val="32"/>
          <w:szCs w:val="32"/>
          <w:lang w:eastAsia="zh-CN"/>
        </w:rPr>
        <w:t>城乡社区支出</w:t>
      </w:r>
      <w:r>
        <w:rPr>
          <w:rStyle w:val="11"/>
          <w:rFonts w:hint="eastAsia" w:ascii="仿宋" w:hAnsi="仿宋" w:eastAsia="仿宋"/>
          <w:sz w:val="32"/>
          <w:szCs w:val="32"/>
          <w:lang w:val="en-US" w:eastAsia="zh-CN"/>
        </w:rPr>
        <w:t>139.58万元，</w:t>
      </w:r>
      <w:r>
        <w:rPr>
          <w:rStyle w:val="11"/>
          <w:rFonts w:ascii="仿宋" w:hAnsi="仿宋" w:eastAsia="仿宋"/>
          <w:sz w:val="32"/>
          <w:szCs w:val="32"/>
        </w:rPr>
        <w:t>较上年预算安排增加</w:t>
      </w:r>
      <w:r>
        <w:rPr>
          <w:rStyle w:val="11"/>
          <w:rFonts w:hint="eastAsia" w:ascii="仿宋" w:hAnsi="仿宋" w:eastAsia="仿宋"/>
          <w:sz w:val="32"/>
          <w:szCs w:val="32"/>
          <w:lang w:val="en-US" w:eastAsia="zh-CN"/>
        </w:rPr>
        <w:t>139.58万元</w:t>
      </w:r>
      <w:r>
        <w:rPr>
          <w:rStyle w:val="11"/>
          <w:rFonts w:ascii="仿宋" w:hAnsi="仿宋" w:eastAsia="仿宋"/>
          <w:sz w:val="32"/>
          <w:szCs w:val="32"/>
        </w:rPr>
        <w:t>。</w:t>
      </w:r>
      <w:r>
        <w:fldChar w:fldCharType="end"/>
      </w:r>
    </w:p>
    <w:p w14:paraId="752E5B1D">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支出经济分类</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3920.3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416.44</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4279</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9.5</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80.53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75.04</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2450.58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581.85</w:t>
      </w:r>
      <w:r>
        <w:rPr>
          <w:rStyle w:val="11"/>
          <w:rFonts w:ascii="仿宋" w:hAnsi="仿宋" w:eastAsia="仿宋"/>
          <w:sz w:val="32"/>
          <w:szCs w:val="32"/>
        </w:rPr>
        <w:t>万元。</w:t>
      </w:r>
      <w:r>
        <w:fldChar w:fldCharType="end"/>
      </w: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${page540426799.ds254512694_REP_JXJC_AGENCY_WZR_NAME}</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庐山市中医医院</w:t>
      </w:r>
      <w:r>
        <w:rPr>
          <w:rStyle w:val="11"/>
          <w:rFonts w:ascii="仿宋" w:hAnsi="仿宋" w:eastAsia="仿宋"/>
          <w:color w:val="auto"/>
          <w:sz w:val="32"/>
          <w:szCs w:val="32"/>
        </w:rPr>
        <w:t>厅</w:t>
      </w:r>
      <w:r>
        <w:rPr>
          <w:color w:val="auto"/>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930.41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247.83</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增加变化原因为人员增加，人员经费增加。</w:t>
      </w:r>
    </w:p>
    <w:p w14:paraId="53F56414">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万元,较上年预算安排增加（减少）</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92.58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20.41</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卫生健康支出</w:t>
      </w:r>
      <w:r>
        <w:rPr>
          <w:rStyle w:val="11"/>
          <w:rFonts w:hint="eastAsia" w:ascii="仿宋" w:hAnsi="仿宋" w:eastAsia="仿宋"/>
          <w:sz w:val="32"/>
          <w:szCs w:val="32"/>
          <w:lang w:val="en-US" w:eastAsia="zh-CN"/>
        </w:rPr>
        <w:t>646.91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74.87</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住房保障支出</w:t>
      </w:r>
      <w:r>
        <w:rPr>
          <w:rStyle w:val="11"/>
          <w:rFonts w:hint="eastAsia" w:ascii="仿宋" w:hAnsi="仿宋" w:eastAsia="仿宋"/>
          <w:sz w:val="32"/>
          <w:szCs w:val="32"/>
          <w:lang w:val="en-US" w:eastAsia="zh-CN"/>
        </w:rPr>
        <w:t>51.34</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较上年预算安排增加</w:t>
      </w:r>
      <w:r>
        <w:rPr>
          <w:rStyle w:val="11"/>
          <w:rFonts w:hint="eastAsia" w:ascii="仿宋" w:hAnsi="仿宋" w:eastAsia="仿宋"/>
          <w:sz w:val="32"/>
          <w:szCs w:val="32"/>
          <w:lang w:val="en-US" w:eastAsia="zh-CN"/>
        </w:rPr>
        <w:t>12.98</w:t>
      </w:r>
      <w:r>
        <w:rPr>
          <w:rStyle w:val="11"/>
          <w:rFonts w:ascii="仿宋" w:hAnsi="仿宋" w:eastAsia="仿宋"/>
          <w:sz w:val="32"/>
          <w:szCs w:val="32"/>
        </w:rPr>
        <w:t>万元</w:t>
      </w:r>
      <w:r>
        <w:rPr>
          <w:rStyle w:val="11"/>
          <w:rFonts w:hint="eastAsia" w:ascii="仿宋" w:hAnsi="仿宋" w:eastAsia="仿宋"/>
          <w:sz w:val="32"/>
          <w:szCs w:val="32"/>
          <w:lang w:eastAsia="zh-CN"/>
        </w:rPr>
        <w:t>；城乡社区支出</w:t>
      </w:r>
      <w:r>
        <w:rPr>
          <w:rStyle w:val="11"/>
          <w:rFonts w:hint="eastAsia" w:ascii="仿宋" w:hAnsi="仿宋" w:eastAsia="仿宋"/>
          <w:sz w:val="32"/>
          <w:szCs w:val="32"/>
          <w:lang w:val="en-US" w:eastAsia="zh-CN"/>
        </w:rPr>
        <w:t>139.58万元，</w:t>
      </w:r>
      <w:r>
        <w:rPr>
          <w:rStyle w:val="11"/>
          <w:rFonts w:ascii="仿宋" w:hAnsi="仿宋" w:eastAsia="仿宋"/>
          <w:sz w:val="32"/>
          <w:szCs w:val="32"/>
        </w:rPr>
        <w:t>较上年预算安排增加</w:t>
      </w:r>
      <w:r>
        <w:rPr>
          <w:rStyle w:val="11"/>
          <w:rFonts w:hint="eastAsia" w:ascii="仿宋" w:hAnsi="仿宋" w:eastAsia="仿宋"/>
          <w:sz w:val="32"/>
          <w:szCs w:val="32"/>
          <w:lang w:val="en-US" w:eastAsia="zh-CN"/>
        </w:rPr>
        <w:t>139.58万元</w:t>
      </w:r>
      <w:r>
        <w:rPr>
          <w:rStyle w:val="11"/>
          <w:rFonts w:ascii="仿宋" w:hAnsi="仿宋" w:eastAsia="仿宋"/>
          <w:sz w:val="32"/>
          <w:szCs w:val="32"/>
        </w:rPr>
        <w:t>。</w:t>
      </w:r>
      <w:r>
        <w:fldChar w:fldCharType="end"/>
      </w:r>
    </w:p>
    <w:p w14:paraId="64E81F8C">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支出项目</w:t>
      </w:r>
      <w:r>
        <w:rPr>
          <w:rStyle w:val="11"/>
          <w:rFonts w:hint="eastAsia" w:ascii="仿宋" w:hAnsi="仿宋" w:eastAsia="仿宋"/>
          <w:sz w:val="32"/>
          <w:szCs w:val="32"/>
        </w:rPr>
        <w:t>类别划分：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701.14</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142.71</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620.3</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0.31</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80.53</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229.27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105.12</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89.69</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139.58</w:t>
      </w:r>
      <w:r>
        <w:rPr>
          <w:rStyle w:val="11"/>
          <w:rFonts w:ascii="仿宋" w:hAnsi="仿宋" w:eastAsia="仿宋"/>
          <w:sz w:val="32"/>
          <w:szCs w:val="32"/>
        </w:rPr>
        <w:t>万元。</w:t>
      </w:r>
      <w:r>
        <w:fldChar w:fldCharType="end"/>
      </w:r>
    </w:p>
    <w:p w14:paraId="30CBFFCB">
      <w:pPr>
        <w:ind w:firstLine="420" w:firstLineChars="200"/>
      </w:pPr>
    </w:p>
    <w:p w14:paraId="0B4F38DD">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026059DE">
      <w:pPr>
        <w:ind w:firstLine="640" w:firstLineChars="200"/>
        <w:rPr>
          <w:rFonts w:ascii="Adobe 仿宋 Std R" w:hAnsi="Adobe 仿宋 Std R" w:eastAsia="Adobe 仿宋 Std R"/>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Fonts w:hint="eastAsia" w:ascii="Adobe 仿宋 Std R" w:hAnsi="Adobe 仿宋 Std R" w:eastAsia="Adobe 仿宋 Std R"/>
          <w:color w:val="auto"/>
          <w:sz w:val="32"/>
          <w:lang w:eastAsia="zh-CN"/>
        </w:rPr>
        <w:t>庐山市中医院</w:t>
      </w:r>
      <w:r>
        <w:rPr>
          <w:rFonts w:ascii="Adobe 仿宋 Std R" w:hAnsi="Adobe 仿宋 Std R" w:eastAsia="Adobe 仿宋 Std R"/>
          <w:sz w:val="32"/>
          <w:szCs w:val="32"/>
        </w:rPr>
        <w:t>政府性基金支出预算</w:t>
      </w:r>
      <w:r>
        <w:rPr>
          <w:rFonts w:hint="eastAsia" w:ascii="Adobe 仿宋 Std R" w:hAnsi="Adobe 仿宋 Std R" w:eastAsia="Adobe 仿宋 Std R"/>
          <w:sz w:val="32"/>
          <w:szCs w:val="32"/>
        </w:rPr>
        <w:t>为</w:t>
      </w:r>
      <w:r>
        <w:rPr>
          <w:rFonts w:hint="eastAsia" w:ascii="Adobe 仿宋 Std R" w:hAnsi="Adobe 仿宋 Std R" w:eastAsia="Adobe 仿宋 Std R"/>
          <w:sz w:val="32"/>
          <w:szCs w:val="32"/>
          <w:lang w:val="en-US" w:eastAsia="zh-CN"/>
        </w:rPr>
        <w:t>139.58万元。</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${page540426799.ds357974894_REP_BGT_T_HC1100002019_DXQ02DW_S_ZFXJJ}</w:instrText>
      </w:r>
      <w:r>
        <w:rPr>
          <w:rFonts w:ascii="Adobe 仿宋 Std R" w:hAnsi="Adobe 仿宋 Std R" w:eastAsia="Adobe 仿宋 Std R"/>
          <w:sz w:val="32"/>
          <w:szCs w:val="32"/>
        </w:rPr>
        <w:fldChar w:fldCharType="end"/>
      </w:r>
      <w:r>
        <w:rPr>
          <w:rFonts w:ascii="Adobe 仿宋 Std R" w:hAnsi="Adobe 仿宋 Std R" w:eastAsia="Adobe 仿宋 Std R"/>
        </w:rPr>
        <w:fldChar w:fldCharType="begin"/>
      </w:r>
      <w:r>
        <w:rPr>
          <w:rFonts w:ascii="Adobe 仿宋 Std R" w:hAnsi="Adobe 仿宋 Std R" w:eastAsia="Adobe 仿宋 Std R"/>
        </w:rPr>
        <w:instrText xml:space="preserve">MERGEFIELD ${page400644146.ds215660413_REP_BGT_T_HC1100002019_DXQ02_S_ZFXJJ}</w:instrText>
      </w:r>
      <w:r>
        <w:rPr>
          <w:rFonts w:ascii="Adobe 仿宋 Std R" w:hAnsi="Adobe 仿宋 Std R" w:eastAsia="Adobe 仿宋 Std R"/>
        </w:rPr>
        <w:fldChar w:fldCharType="end"/>
      </w:r>
    </w:p>
    <w:p w14:paraId="44024A2A">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支出项目</w:t>
      </w:r>
      <w:r>
        <w:rPr>
          <w:rStyle w:val="11"/>
          <w:rFonts w:hint="eastAsia" w:ascii="仿宋" w:hAnsi="仿宋" w:eastAsia="仿宋"/>
          <w:sz w:val="32"/>
          <w:szCs w:val="32"/>
        </w:rPr>
        <w:t>类别划分：</w:t>
      </w:r>
      <w:r>
        <w:rPr>
          <w:rStyle w:val="11"/>
          <w:rFonts w:hint="eastAsia" w:ascii="仿宋" w:hAnsi="仿宋" w:eastAsia="仿宋"/>
          <w:sz w:val="32"/>
          <w:szCs w:val="32"/>
          <w:lang w:eastAsia="zh-CN"/>
        </w:rPr>
        <w:t>项目支出</w:t>
      </w:r>
      <w:r>
        <w:rPr>
          <w:rStyle w:val="11"/>
          <w:rFonts w:hint="eastAsia" w:ascii="仿宋" w:hAnsi="仿宋" w:eastAsia="仿宋"/>
          <w:sz w:val="32"/>
          <w:szCs w:val="32"/>
          <w:lang w:val="en-US" w:eastAsia="zh-CN"/>
        </w:rPr>
        <w:t>139.58万元，较上年预算安排增加139.58万元。</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${page400644146.ds215660413_REP_BGT_T_HC1100002019_DXQ02_JBZCQKJJ}</w:instrText>
      </w:r>
      <w:r>
        <w:rPr>
          <w:rStyle w:val="11"/>
          <w:rFonts w:ascii="仿宋" w:hAnsi="仿宋" w:eastAsia="仿宋"/>
          <w:sz w:val="32"/>
          <w:szCs w:val="32"/>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${page400644146.ds215660413_REP_BGT_T_HC1100002019_DXQ02_XMZCQKJJ}</w:instrText>
      </w:r>
      <w:r>
        <w:rPr>
          <w:rStyle w:val="11"/>
          <w:rFonts w:ascii="仿宋" w:hAnsi="仿宋" w:eastAsia="仿宋"/>
          <w:sz w:val="32"/>
          <w:szCs w:val="32"/>
        </w:rPr>
        <w:fldChar w:fldCharType="end"/>
      </w: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01CDDC96">
      <w:pPr>
        <w:ind w:firstLine="320" w:firstLineChars="100"/>
        <w:rPr>
          <w:rStyle w:val="11"/>
          <w:rFonts w:hint="eastAsia" w:ascii="Adobe 仿宋 Std R" w:hAnsi="Adobe 仿宋 Std R" w:eastAsia="Adobe 仿宋 Std R"/>
          <w:color w:val="FF0000"/>
          <w:sz w:val="32"/>
          <w:szCs w:val="32"/>
          <w:lang w:eastAsia="zh-CN"/>
        </w:rPr>
      </w:pPr>
      <w:r>
        <w:rPr>
          <w:rStyle w:val="11"/>
          <w:rFonts w:hint="eastAsia" w:ascii="Adobe 仿宋 Std R" w:hAnsi="Adobe 仿宋 Std R" w:eastAsia="Adobe 仿宋 Std R"/>
          <w:b w:val="0"/>
          <w:bCs w:val="0"/>
          <w:color w:val="000000" w:themeColor="text1"/>
          <w:sz w:val="32"/>
          <w:szCs w:val="32"/>
          <w14:textFill>
            <w14:solidFill>
              <w14:schemeClr w14:val="tx1"/>
            </w14:solidFill>
          </w14:textFill>
        </w:rPr>
        <w:t>本</w:t>
      </w:r>
      <w:r>
        <w:rPr>
          <w:rStyle w:val="11"/>
          <w:rFonts w:hint="eastAsia" w:ascii="Adobe 仿宋 Std R" w:hAnsi="Adobe 仿宋 Std R" w:eastAsia="Adobe 仿宋 Std R"/>
          <w:b w:val="0"/>
          <w:bCs w:val="0"/>
          <w:color w:val="000000" w:themeColor="text1"/>
          <w:sz w:val="32"/>
          <w:szCs w:val="32"/>
          <w:lang w:val="en-US" w:eastAsia="zh-CN"/>
          <w14:textFill>
            <w14:solidFill>
              <w14:schemeClr w14:val="tx1"/>
            </w14:solidFill>
          </w14:textFill>
        </w:rPr>
        <w:t>单位</w:t>
      </w:r>
      <w:r>
        <w:rPr>
          <w:rStyle w:val="11"/>
          <w:rFonts w:hint="eastAsia" w:ascii="Adobe 仿宋 Std R" w:hAnsi="Adobe 仿宋 Std R" w:eastAsia="Adobe 仿宋 Std R"/>
          <w:b w:val="0"/>
          <w:bCs w:val="0"/>
          <w:color w:val="000000" w:themeColor="text1"/>
          <w:sz w:val="32"/>
          <w:szCs w:val="32"/>
          <w14:textFill>
            <w14:solidFill>
              <w14:schemeClr w14:val="tx1"/>
            </w14:solidFill>
          </w14:textFill>
        </w:rPr>
        <w:t>没有使用国有资本经营预算拨款安排的支出</w:t>
      </w:r>
      <w:r>
        <w:rPr>
          <w:rStyle w:val="11"/>
          <w:rFonts w:hint="eastAsia" w:ascii="Adobe 仿宋 Std R" w:hAnsi="Adobe 仿宋 Std R" w:eastAsia="Adobe 仿宋 Std R"/>
          <w:b w:val="0"/>
          <w:bCs w:val="0"/>
          <w:color w:val="000000" w:themeColor="text1"/>
          <w:sz w:val="32"/>
          <w:szCs w:val="32"/>
          <w:lang w:eastAsia="zh-CN"/>
          <w14:textFill>
            <w14:solidFill>
              <w14:schemeClr w14:val="tx1"/>
            </w14:solidFill>
          </w14:textFill>
        </w:rPr>
        <w:t>。</w:t>
      </w:r>
    </w:p>
    <w:p w14:paraId="76E3493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28386E99">
      <w:pPr>
        <w:widowControl/>
        <w:spacing w:line="580" w:lineRule="exact"/>
        <w:ind w:firstLine="636"/>
        <w:jc w:val="left"/>
        <w:rPr>
          <w:rFonts w:hint="eastAsia" w:ascii="Adobe 仿宋 Std R" w:hAnsi="Adobe 仿宋 Std R" w:eastAsia="Adobe 仿宋 Std R"/>
          <w:b w:val="0"/>
          <w:bCs/>
          <w:color w:val="000000" w:themeColor="text1"/>
          <w:sz w:val="32"/>
          <w:szCs w:val="32"/>
          <w:lang w:eastAsia="zh-CN"/>
          <w14:textFill>
            <w14:solidFill>
              <w14:schemeClr w14:val="tx1"/>
            </w14:solidFill>
          </w14:textFill>
        </w:rPr>
      </w:pPr>
      <w:r>
        <w:rPr>
          <w:rStyle w:val="11"/>
          <w:rFonts w:hint="eastAsia" w:ascii="Adobe 仿宋 Std R" w:hAnsi="Adobe 仿宋 Std R" w:eastAsia="Adobe 仿宋 Std R"/>
          <w:b w:val="0"/>
          <w:bCs/>
          <w:color w:val="000000" w:themeColor="text1"/>
          <w:sz w:val="32"/>
          <w:szCs w:val="32"/>
          <w14:textFill>
            <w14:solidFill>
              <w14:schemeClr w14:val="tx1"/>
            </w14:solidFill>
          </w14:textFill>
        </w:rPr>
        <w:t>本单位非行政参公单位，无机关运行经费</w:t>
      </w:r>
      <w:r>
        <w:rPr>
          <w:rStyle w:val="11"/>
          <w:rFonts w:hint="eastAsia" w:ascii="Adobe 仿宋 Std R" w:hAnsi="Adobe 仿宋 Std R" w:eastAsia="Adobe 仿宋 Std R"/>
          <w:b w:val="0"/>
          <w:bCs/>
          <w:color w:val="000000" w:themeColor="text1"/>
          <w:sz w:val="32"/>
          <w:szCs w:val="32"/>
          <w:lang w:eastAsia="zh-CN"/>
          <w14:textFill>
            <w14:solidFill>
              <w14:schemeClr w14:val="tx1"/>
            </w14:solidFill>
          </w14:textFill>
        </w:rPr>
        <w:t>。</w:t>
      </w:r>
    </w:p>
    <w:p w14:paraId="2058FC9E">
      <w:pPr>
        <w:widowControl/>
        <w:spacing w:line="580" w:lineRule="exact"/>
        <w:ind w:firstLine="636"/>
        <w:jc w:val="left"/>
        <w:rPr>
          <w:rFonts w:ascii="Adobe 仿宋 Std R" w:hAnsi="Adobe 仿宋 Std R" w:eastAsia="Adobe 仿宋 Std R"/>
          <w:sz w:val="32"/>
          <w:szCs w:val="32"/>
        </w:rPr>
      </w:pPr>
    </w:p>
    <w:p w14:paraId="13492D4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1911.50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1710.5</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30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171</w:t>
      </w:r>
      <w:r>
        <w:rPr>
          <w:rFonts w:hint="eastAsia" w:ascii="Adobe 仿宋 Std R" w:hAnsi="Adobe 仿宋 Std R" w:eastAsia="Adobe 仿宋 Std R"/>
          <w:sz w:val="32"/>
          <w:szCs w:val="32"/>
        </w:rPr>
        <w:t>万元。</w:t>
      </w:r>
    </w:p>
    <w:p w14:paraId="58B2EF7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bookmarkStart w:id="0" w:name="_GoBack"/>
      <w:bookmarkEnd w:id="0"/>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4</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3268390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single"/>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eastAsia="zh-CN"/>
        </w:rPr>
        <w:t>医用磁共振设备</w:t>
      </w:r>
      <w:r>
        <w:rPr>
          <w:rFonts w:hint="eastAsia" w:ascii="仿宋_GB2312" w:eastAsia="仿宋_GB2312"/>
          <w:sz w:val="32"/>
          <w:szCs w:val="30"/>
        </w:rPr>
        <w:t>。</w:t>
      </w:r>
    </w:p>
    <w:p w14:paraId="4400133E">
      <w:pPr>
        <w:rPr>
          <w:rStyle w:val="11"/>
          <w:rFonts w:ascii="Adobe 仿宋 Std R" w:hAnsi="Adobe 仿宋 Std R" w:eastAsia="Adobe 仿宋 Std R"/>
          <w:b/>
          <w:sz w:val="32"/>
          <w:szCs w:val="32"/>
        </w:rPr>
      </w:pPr>
    </w:p>
    <w:p w14:paraId="310667B9">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Style w:val="11"/>
          <w:rFonts w:hint="eastAsia" w:ascii="Adobe 仿宋 Std R" w:hAnsi="Adobe 仿宋 Std R" w:eastAsia="Adobe 仿宋 Std R"/>
          <w:b/>
          <w:sz w:val="32"/>
          <w:szCs w:val="32"/>
          <w:lang w:eastAsia="zh-CN"/>
        </w:rPr>
        <w:t>基本公共卫生服务</w:t>
      </w:r>
      <w:r>
        <w:rPr>
          <w:rStyle w:val="11"/>
          <w:rFonts w:hint="eastAsia" w:ascii="Adobe 仿宋 Std R" w:hAnsi="Adobe 仿宋 Std R" w:eastAsia="Adobe 仿宋 Std R"/>
          <w:b/>
          <w:sz w:val="32"/>
          <w:szCs w:val="32"/>
        </w:rPr>
        <w:t>项目情况说明</w:t>
      </w:r>
    </w:p>
    <w:p w14:paraId="2DAE5645">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6646FC5E">
      <w:pPr>
        <w:ind w:left="1587" w:leftChars="608" w:hanging="310" w:hangingChars="97"/>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为进一步做好基本公共卫生服务项目，促进基 本公共卫生服务均等化工作。</w:t>
      </w:r>
    </w:p>
    <w:p w14:paraId="4A13D933">
      <w:pPr>
        <w:numPr>
          <w:ilvl w:val="0"/>
          <w:numId w:val="2"/>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066B08FD">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庐财社指【2024】78号</w:t>
      </w:r>
    </w:p>
    <w:p w14:paraId="0C790ED6">
      <w:pPr>
        <w:numPr>
          <w:ilvl w:val="0"/>
          <w:numId w:val="2"/>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154C234E">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庐山市中医医院</w:t>
      </w:r>
    </w:p>
    <w:p w14:paraId="27D7048E">
      <w:pPr>
        <w:numPr>
          <w:ilvl w:val="0"/>
          <w:numId w:val="2"/>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100799A4">
      <w:pPr>
        <w:numPr>
          <w:ilvl w:val="0"/>
          <w:numId w:val="0"/>
        </w:numPr>
        <w:ind w:left="1122" w:leftChars="0" w:firstLine="320" w:firstLineChars="1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进一步加强公共卫生工作，提升我市公共卫生服务能力水平。</w:t>
      </w:r>
    </w:p>
    <w:p w14:paraId="60A7DC50">
      <w:pPr>
        <w:numPr>
          <w:ilvl w:val="0"/>
          <w:numId w:val="2"/>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实施周期</w:t>
      </w:r>
    </w:p>
    <w:p w14:paraId="071EB351">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2025年1月-12月</w:t>
      </w:r>
    </w:p>
    <w:p w14:paraId="0D1FF598">
      <w:pPr>
        <w:numPr>
          <w:ilvl w:val="0"/>
          <w:numId w:val="2"/>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年度预算安排</w:t>
      </w:r>
    </w:p>
    <w:p w14:paraId="7027D19D">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68.9万元</w:t>
      </w:r>
    </w:p>
    <w:p w14:paraId="41AB6182">
      <w:pPr>
        <w:widowControl/>
        <w:spacing w:line="580" w:lineRule="exact"/>
        <w:jc w:val="left"/>
        <w:rPr>
          <w:rFonts w:ascii="Adobe 仿宋 Std R" w:hAnsi="Adobe 仿宋 Std R" w:eastAsia="Adobe 仿宋 Std R"/>
          <w:sz w:val="32"/>
          <w:szCs w:val="32"/>
        </w:rPr>
      </w:pP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color w:val="000000" w:themeColor="text1"/>
          <w:sz w:val="32"/>
          <w:szCs w:val="32"/>
          <w:lang w:eastAsia="zh-CN"/>
          <w14:textFill>
            <w14:solidFill>
              <w14:schemeClr w14:val="tx1"/>
            </w14:solidFill>
          </w14:textFill>
        </w:rPr>
        <w:t>庐山市中医医院</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1"/>
          <w:rFonts w:hint="eastAsia" w:ascii="仿宋" w:hAnsi="仿宋" w:eastAsia="仿宋"/>
          <w:b w:val="0"/>
          <w:bCs/>
          <w:color w:val="000000" w:themeColor="text1"/>
          <w:sz w:val="32"/>
          <w:szCs w:val="32"/>
          <w14:textFill>
            <w14:solidFill>
              <w14:schemeClr w14:val="tx1"/>
            </w14:solidFill>
          </w14:textFill>
        </w:rPr>
        <w:t>与上年安排保持一致</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1"/>
          <w:rFonts w:hint="eastAsia" w:ascii="仿宋" w:hAnsi="仿宋" w:eastAsia="仿宋"/>
          <w:b w:val="0"/>
          <w:bCs/>
          <w:color w:val="000000" w:themeColor="text1"/>
          <w:sz w:val="32"/>
          <w:szCs w:val="32"/>
          <w14:textFill>
            <w14:solidFill>
              <w14:schemeClr w14:val="tx1"/>
            </w14:solidFill>
          </w14:textFill>
        </w:rPr>
        <w:t>与上年安排保持一致</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1"/>
          <w:rFonts w:hint="eastAsia" w:ascii="仿宋" w:hAnsi="仿宋" w:eastAsia="仿宋"/>
          <w:b w:val="0"/>
          <w:bCs/>
          <w:color w:val="000000" w:themeColor="text1"/>
          <w:sz w:val="32"/>
          <w:szCs w:val="32"/>
          <w14:textFill>
            <w14:solidFill>
              <w14:schemeClr w14:val="tx1"/>
            </w14:solidFill>
          </w14:textFill>
        </w:rPr>
        <w:t>与上年安排保持一致</w:t>
      </w:r>
      <w:r>
        <w:rPr>
          <w:rFonts w:ascii="仿宋" w:hAnsi="仿宋" w:eastAsia="仿宋"/>
          <w:bCs/>
          <w:sz w:val="32"/>
          <w:szCs w:val="32"/>
        </w:rPr>
        <w:t>。</w:t>
      </w:r>
    </w:p>
    <w:p w14:paraId="40EBFB4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Style w:val="11"/>
          <w:rFonts w:hint="eastAsia" w:ascii="仿宋" w:hAnsi="仿宋" w:eastAsia="仿宋"/>
          <w:b w:val="0"/>
          <w:bCs/>
          <w:color w:val="000000" w:themeColor="text1"/>
          <w:sz w:val="32"/>
          <w:szCs w:val="32"/>
          <w14:textFill>
            <w14:solidFill>
              <w14:schemeClr w14:val="tx1"/>
            </w14:solidFill>
          </w14:textFill>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4ABACB0E">
      <w:pPr>
        <w:widowControl/>
        <w:spacing w:line="580" w:lineRule="exact"/>
        <w:ind w:firstLine="636"/>
        <w:jc w:val="left"/>
        <w:rPr>
          <w:rStyle w:val="11"/>
          <w:rFonts w:hint="eastAsia" w:ascii="仿宋" w:hAnsi="仿宋" w:eastAsia="仿宋"/>
          <w:sz w:val="32"/>
          <w:szCs w:val="32"/>
        </w:rPr>
      </w:pPr>
    </w:p>
    <w:p w14:paraId="490A3954">
      <w:pPr>
        <w:widowControl/>
        <w:spacing w:line="580" w:lineRule="exact"/>
        <w:ind w:firstLine="636"/>
        <w:jc w:val="left"/>
        <w:rPr>
          <w:rStyle w:val="11"/>
          <w:rFonts w:hint="eastAsia" w:ascii="仿宋" w:hAnsi="仿宋" w:eastAsia="仿宋"/>
          <w:sz w:val="32"/>
          <w:szCs w:val="32"/>
        </w:rPr>
      </w:pP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3"/>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3"/>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C29588"/>
    <w:multiLevelType w:val="singleLevel"/>
    <w:tmpl w:val="C4C29588"/>
    <w:lvl w:ilvl="0" w:tentative="0">
      <w:start w:val="1"/>
      <w:numFmt w:val="chineseCounting"/>
      <w:suff w:val="nothing"/>
      <w:lvlText w:val="%1、"/>
      <w:lvlJc w:val="left"/>
      <w:rPr>
        <w:rFonts w:hint="eastAsia"/>
      </w:rPr>
    </w:lvl>
  </w:abstractNum>
  <w:abstractNum w:abstractNumId="1">
    <w:nsid w:val="EE23914B"/>
    <w:multiLevelType w:val="singleLevel"/>
    <w:tmpl w:val="EE23914B"/>
    <w:lvl w:ilvl="0" w:tentative="0">
      <w:start w:val="2"/>
      <w:numFmt w:val="decimal"/>
      <w:suff w:val="nothing"/>
      <w:lvlText w:val="%1）"/>
      <w:lvlJc w:val="left"/>
      <w:pPr>
        <w:ind w:left="1122" w:leftChars="0" w:firstLine="0" w:firstLineChars="0"/>
      </w:pPr>
    </w:lvl>
  </w:abstractNum>
  <w:abstractNum w:abstractNumId="2">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97247A"/>
    <w:rsid w:val="0D1A7920"/>
    <w:rsid w:val="0D2269B3"/>
    <w:rsid w:val="0DB3098E"/>
    <w:rsid w:val="12220323"/>
    <w:rsid w:val="13FB007C"/>
    <w:rsid w:val="16B036C0"/>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B0B3F07"/>
    <w:rsid w:val="2B2339AC"/>
    <w:rsid w:val="2C57797E"/>
    <w:rsid w:val="2F685FDB"/>
    <w:rsid w:val="304075B1"/>
    <w:rsid w:val="311C29BA"/>
    <w:rsid w:val="318814ED"/>
    <w:rsid w:val="31931AC3"/>
    <w:rsid w:val="32BA55D4"/>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DB628F2"/>
    <w:rsid w:val="4E0D4F31"/>
    <w:rsid w:val="4EFF051F"/>
    <w:rsid w:val="528E6F80"/>
    <w:rsid w:val="53516268"/>
    <w:rsid w:val="55924F68"/>
    <w:rsid w:val="55EE43AE"/>
    <w:rsid w:val="56C47F55"/>
    <w:rsid w:val="573A53AA"/>
    <w:rsid w:val="5AB93E8B"/>
    <w:rsid w:val="5EA31F07"/>
    <w:rsid w:val="5EDA0640"/>
    <w:rsid w:val="5F193B70"/>
    <w:rsid w:val="61611E78"/>
    <w:rsid w:val="61D17BB5"/>
    <w:rsid w:val="61E31A71"/>
    <w:rsid w:val="62283DE4"/>
    <w:rsid w:val="63E33020"/>
    <w:rsid w:val="656229B9"/>
    <w:rsid w:val="658856FB"/>
    <w:rsid w:val="67B10C38"/>
    <w:rsid w:val="67DC7D34"/>
    <w:rsid w:val="68E97589"/>
    <w:rsid w:val="6BE248E5"/>
    <w:rsid w:val="6C617282"/>
    <w:rsid w:val="6CCB135B"/>
    <w:rsid w:val="6EAF555B"/>
    <w:rsid w:val="6EDB6140"/>
    <w:rsid w:val="6F2C7111"/>
    <w:rsid w:val="714A36AC"/>
    <w:rsid w:val="71AF11DD"/>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3868</Words>
  <Characters>4220</Characters>
  <Lines>53</Lines>
  <Paragraphs>15</Paragraphs>
  <TotalTime>2</TotalTime>
  <ScaleCrop>false</ScaleCrop>
  <LinksUpToDate>false</LinksUpToDate>
  <CharactersWithSpaces>4283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Vincent</cp:lastModifiedBy>
  <dcterms:modified xsi:type="dcterms:W3CDTF">2025-01-08T01:22:13Z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C9216361F46947DBA591BCFC421A4D5C_13</vt:lpwstr>
  </property>
  <property fmtid="{D5CDD505-2E9C-101B-9397-08002B2CF9AE}" pid="4" name="KSOTemplateDocerSaveRecord">
    <vt:lpwstr>eyJoZGlkIjoiNTBlYzM3M2ZkOGY3NWY3ZjdhMjIyMDk3OWQ5NmM0MzQiLCJ1c2VySWQiOiI4MTMxMDU0NDAifQ==</vt:lpwstr>
  </property>
</Properties>
</file>