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庐山市妇幼保健计划生育服务中心（庐山市妇幼保健院）</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2"/>
        <w:spacing w:line="600" w:lineRule="atLeast"/>
        <w:jc w:val="center"/>
        <w:rPr>
          <w:rFonts w:ascii="黑体" w:hAnsi="黑体" w:eastAsia="黑体"/>
          <w:color w:val="auto"/>
          <w:sz w:val="32"/>
          <w:szCs w:val="32"/>
        </w:rPr>
      </w:pPr>
    </w:p>
    <w:p w14:paraId="69E2A7D1">
      <w:pPr>
        <w:pStyle w:val="12"/>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2"/>
        <w:rPr>
          <w:rFonts w:ascii="宋体" w:hAnsi="宋体"/>
          <w:color w:val="auto"/>
        </w:rPr>
      </w:pPr>
    </w:p>
    <w:p w14:paraId="76C06260">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庐山市妇幼保健计划生育服务中心（庐山市妇幼保健院）</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庐山市妇幼保健计划生育服务中心（庐山市妇幼保健院）</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518D6B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庐山市妇幼保健计划生育服务中心（庐山市妇幼保健院）</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508696F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43A519E3">
      <w:pPr>
        <w:widowControl/>
        <w:spacing w:line="580" w:lineRule="exact"/>
        <w:jc w:val="center"/>
        <w:rPr>
          <w:rFonts w:ascii="仿宋_GB2312" w:eastAsia="仿宋_GB2312"/>
          <w:b/>
          <w:color w:val="auto"/>
          <w:sz w:val="32"/>
          <w:szCs w:val="30"/>
        </w:rPr>
      </w:pPr>
    </w:p>
    <w:p w14:paraId="4FDF4162">
      <w:pPr>
        <w:widowControl/>
        <w:spacing w:line="580" w:lineRule="exact"/>
        <w:jc w:val="center"/>
        <w:rPr>
          <w:rFonts w:ascii="仿宋_GB2312" w:eastAsia="仿宋_GB2312"/>
          <w:b/>
          <w:color w:val="auto"/>
          <w:sz w:val="32"/>
          <w:szCs w:val="30"/>
        </w:rPr>
      </w:pPr>
    </w:p>
    <w:p w14:paraId="22629C16">
      <w:pPr>
        <w:widowControl/>
        <w:spacing w:line="580" w:lineRule="exact"/>
        <w:jc w:val="center"/>
        <w:rPr>
          <w:rFonts w:ascii="仿宋_GB2312" w:eastAsia="仿宋_GB2312"/>
          <w:b/>
          <w:color w:val="auto"/>
          <w:sz w:val="32"/>
          <w:szCs w:val="30"/>
        </w:rPr>
      </w:pPr>
    </w:p>
    <w:p w14:paraId="7D1AD10C">
      <w:pPr>
        <w:widowControl/>
        <w:spacing w:line="580" w:lineRule="exact"/>
        <w:jc w:val="center"/>
        <w:rPr>
          <w:rFonts w:ascii="仿宋_GB2312" w:eastAsia="仿宋_GB2312"/>
          <w:b/>
          <w:color w:val="auto"/>
          <w:sz w:val="32"/>
          <w:szCs w:val="30"/>
        </w:rPr>
      </w:pPr>
    </w:p>
    <w:p w14:paraId="42382EA6">
      <w:pPr>
        <w:widowControl/>
        <w:spacing w:line="580" w:lineRule="exact"/>
        <w:jc w:val="center"/>
        <w:rPr>
          <w:rFonts w:ascii="仿宋_GB2312" w:eastAsia="仿宋_GB2312"/>
          <w:b/>
          <w:color w:val="auto"/>
          <w:sz w:val="32"/>
          <w:szCs w:val="30"/>
        </w:rPr>
      </w:pPr>
    </w:p>
    <w:p w14:paraId="11CE88EC">
      <w:pPr>
        <w:widowControl/>
        <w:spacing w:line="580" w:lineRule="exact"/>
        <w:jc w:val="center"/>
        <w:rPr>
          <w:rFonts w:ascii="仿宋_GB2312" w:eastAsia="仿宋_GB2312"/>
          <w:b/>
          <w:color w:val="auto"/>
          <w:sz w:val="32"/>
          <w:szCs w:val="30"/>
        </w:rPr>
      </w:pPr>
    </w:p>
    <w:p w14:paraId="02B8B3EF">
      <w:pPr>
        <w:widowControl/>
        <w:spacing w:line="580" w:lineRule="exact"/>
        <w:jc w:val="center"/>
        <w:rPr>
          <w:rFonts w:ascii="仿宋_GB2312" w:eastAsia="仿宋_GB2312"/>
          <w:b/>
          <w:color w:val="auto"/>
          <w:sz w:val="32"/>
          <w:szCs w:val="30"/>
        </w:rPr>
      </w:pPr>
    </w:p>
    <w:p w14:paraId="575192EB">
      <w:pPr>
        <w:widowControl/>
        <w:spacing w:line="580" w:lineRule="exact"/>
        <w:jc w:val="center"/>
        <w:rPr>
          <w:rFonts w:ascii="仿宋_GB2312" w:eastAsia="仿宋_GB2312"/>
          <w:b/>
          <w:color w:val="auto"/>
          <w:sz w:val="32"/>
          <w:szCs w:val="30"/>
        </w:rPr>
      </w:pPr>
    </w:p>
    <w:p w14:paraId="6CB8539A">
      <w:pPr>
        <w:widowControl/>
        <w:spacing w:line="580" w:lineRule="exact"/>
        <w:jc w:val="center"/>
        <w:rPr>
          <w:rFonts w:ascii="仿宋_GB2312" w:eastAsia="仿宋_GB2312"/>
          <w:b/>
          <w:color w:val="auto"/>
          <w:sz w:val="32"/>
          <w:szCs w:val="30"/>
        </w:rPr>
      </w:pPr>
    </w:p>
    <w:p w14:paraId="24246850">
      <w:pPr>
        <w:widowControl/>
        <w:spacing w:line="580" w:lineRule="exact"/>
        <w:jc w:val="center"/>
        <w:rPr>
          <w:rFonts w:ascii="仿宋_GB2312" w:eastAsia="仿宋_GB2312"/>
          <w:b/>
          <w:color w:val="auto"/>
          <w:sz w:val="32"/>
          <w:szCs w:val="30"/>
        </w:rPr>
      </w:pPr>
    </w:p>
    <w:p w14:paraId="16222B78">
      <w:pPr>
        <w:widowControl/>
        <w:spacing w:line="580" w:lineRule="exact"/>
        <w:jc w:val="center"/>
        <w:rPr>
          <w:rFonts w:ascii="仿宋_GB2312" w:eastAsia="仿宋_GB2312"/>
          <w:b/>
          <w:color w:val="auto"/>
          <w:sz w:val="32"/>
          <w:szCs w:val="30"/>
        </w:rPr>
      </w:pPr>
    </w:p>
    <w:p w14:paraId="5F0BE573">
      <w:pPr>
        <w:widowControl/>
        <w:spacing w:line="580" w:lineRule="exact"/>
        <w:jc w:val="center"/>
        <w:rPr>
          <w:rFonts w:ascii="仿宋_GB2312" w:eastAsia="仿宋_GB2312"/>
          <w:b/>
          <w:color w:val="auto"/>
          <w:sz w:val="32"/>
          <w:szCs w:val="30"/>
        </w:rPr>
      </w:pPr>
    </w:p>
    <w:p w14:paraId="03A478C5">
      <w:pPr>
        <w:widowControl/>
        <w:spacing w:line="580" w:lineRule="exact"/>
        <w:jc w:val="center"/>
        <w:rPr>
          <w:rFonts w:ascii="仿宋_GB2312" w:eastAsia="仿宋_GB2312"/>
          <w:b/>
          <w:color w:val="auto"/>
          <w:sz w:val="32"/>
          <w:szCs w:val="30"/>
        </w:rPr>
      </w:pPr>
    </w:p>
    <w:p w14:paraId="51BB8BA4">
      <w:pPr>
        <w:widowControl/>
        <w:spacing w:line="580" w:lineRule="exact"/>
        <w:jc w:val="center"/>
        <w:rPr>
          <w:rFonts w:ascii="仿宋_GB2312" w:eastAsia="仿宋_GB2312"/>
          <w:b/>
          <w:color w:val="auto"/>
          <w:sz w:val="32"/>
          <w:szCs w:val="30"/>
        </w:rPr>
      </w:pPr>
    </w:p>
    <w:p w14:paraId="496DAD1F">
      <w:pPr>
        <w:widowControl/>
        <w:spacing w:line="580" w:lineRule="exact"/>
        <w:jc w:val="center"/>
        <w:rPr>
          <w:rFonts w:ascii="仿宋_GB2312" w:eastAsia="仿宋_GB2312"/>
          <w:b/>
          <w:color w:val="auto"/>
          <w:sz w:val="32"/>
          <w:szCs w:val="30"/>
        </w:rPr>
      </w:pPr>
    </w:p>
    <w:p w14:paraId="2BCD70A6">
      <w:pPr>
        <w:widowControl/>
        <w:spacing w:line="580" w:lineRule="exact"/>
        <w:jc w:val="center"/>
        <w:rPr>
          <w:rFonts w:ascii="仿宋_GB2312" w:eastAsia="仿宋_GB2312"/>
          <w:b/>
          <w:color w:val="auto"/>
          <w:sz w:val="32"/>
          <w:szCs w:val="30"/>
        </w:rPr>
      </w:pPr>
    </w:p>
    <w:p w14:paraId="355C9FDD">
      <w:pPr>
        <w:widowControl/>
        <w:spacing w:line="580" w:lineRule="exact"/>
        <w:jc w:val="center"/>
        <w:rPr>
          <w:rFonts w:ascii="仿宋_GB2312" w:eastAsia="仿宋_GB2312"/>
          <w:b/>
          <w:color w:val="auto"/>
          <w:sz w:val="32"/>
          <w:szCs w:val="30"/>
        </w:rPr>
      </w:pPr>
    </w:p>
    <w:p w14:paraId="7899C015">
      <w:pPr>
        <w:widowControl/>
        <w:spacing w:line="580" w:lineRule="exact"/>
        <w:jc w:val="center"/>
        <w:rPr>
          <w:rFonts w:ascii="仿宋_GB2312" w:eastAsia="仿宋_GB2312"/>
          <w:b/>
          <w:color w:val="auto"/>
          <w:sz w:val="32"/>
          <w:szCs w:val="30"/>
        </w:rPr>
      </w:pPr>
    </w:p>
    <w:p w14:paraId="46D4EB4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庐山市妇幼保健计划生育服务中心（庐山市妇幼保健院）</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color w:val="auto"/>
          <w:sz w:val="36"/>
          <w:szCs w:val="36"/>
        </w:rPr>
      </w:pPr>
    </w:p>
    <w:p w14:paraId="30E02E61">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19AEBFF7">
      <w:pPr>
        <w:widowControl/>
        <w:ind w:firstLine="640" w:firstLineChars="200"/>
        <w:rPr>
          <w:rFonts w:ascii="仿宋" w:hAnsi="仿宋" w:eastAsia="仿宋" w:cs="Times New Roman"/>
          <w:color w:val="auto"/>
          <w:kern w:val="0"/>
          <w:sz w:val="32"/>
          <w:szCs w:val="32"/>
        </w:rPr>
      </w:pPr>
      <w:r>
        <w:rPr>
          <w:rFonts w:hint="eastAsia" w:ascii="仿宋" w:hAnsi="仿宋" w:eastAsia="仿宋" w:cs="Times New Roman"/>
          <w:color w:val="auto"/>
          <w:kern w:val="0"/>
          <w:sz w:val="32"/>
          <w:szCs w:val="32"/>
        </w:rPr>
        <w:t>庐山市妇幼保健计划生育服务中心，挂“庐山市妇幼保健院”牌子，为庐山市卫生和计划生育委员会下属副科级级全额拨款事业单位，中心主要职责为;为本辖区内妇女儿童提供妇产保健、妇女保健、儿童保健等妇幼保健服务和妇女儿童常见病防治等，承担计划生育宣传教育、技术服务、优生指导、药具发放、信息咨询、随访服务、生殖保健、人员培训等任务；开展孕前优生健康检查、农村及城镇“两癌”筛查、婚前免费医学检查、计划生育服务等工作；向辖区群众宣传普及健康知识，倡导健康行为和生活方式，提高健康素养和健康水平；承担基本医疗服务工作。受庐山市卫生和计划生育委员会委托承担辖区内妇幼保健业务管理、项目管理、培训和技术支持工作。</w:t>
      </w:r>
    </w:p>
    <w:p w14:paraId="700DD35C">
      <w:pPr>
        <w:widowControl/>
        <w:spacing w:line="580" w:lineRule="exact"/>
        <w:ind w:firstLine="640"/>
        <w:jc w:val="left"/>
        <w:rPr>
          <w:rFonts w:ascii="Adobe 仿宋 Std R" w:hAnsi="Adobe 仿宋 Std R" w:eastAsia="Adobe 仿宋 Std R"/>
          <w:color w:val="auto"/>
          <w:sz w:val="32"/>
          <w:szCs w:val="30"/>
        </w:rPr>
      </w:pPr>
    </w:p>
    <w:p w14:paraId="6A2A716D">
      <w:pPr>
        <w:rPr>
          <w:b/>
          <w:color w:val="auto"/>
          <w:sz w:val="36"/>
          <w:szCs w:val="36"/>
        </w:rPr>
      </w:pPr>
      <w:r>
        <w:rPr>
          <w:rFonts w:hint="eastAsia"/>
          <w:b/>
          <w:color w:val="auto"/>
          <w:sz w:val="36"/>
          <w:szCs w:val="36"/>
        </w:rPr>
        <w:t>二、机构设置及人员情况</w:t>
      </w:r>
    </w:p>
    <w:p w14:paraId="1A7AA0A2">
      <w:pPr>
        <w:ind w:firstLine="640" w:firstLineChars="200"/>
        <w:rPr>
          <w:rStyle w:val="14"/>
          <w:color w:val="auto"/>
        </w:rPr>
      </w:pPr>
      <w:r>
        <w:rPr>
          <w:rFonts w:hint="eastAsia" w:ascii="仿宋" w:hAnsi="仿宋" w:eastAsia="仿宋"/>
          <w:color w:val="auto"/>
          <w:sz w:val="32"/>
          <w:szCs w:val="32"/>
          <w:lang w:val="en-US" w:eastAsia="zh-CN"/>
        </w:rPr>
        <w:t>2025年</w:t>
      </w:r>
      <w:r>
        <w:rPr>
          <w:rFonts w:hint="eastAsia" w:ascii="仿宋" w:hAnsi="仿宋" w:eastAsia="仿宋"/>
          <w:color w:val="auto"/>
          <w:sz w:val="32"/>
          <w:szCs w:val="32"/>
          <w:lang w:val="en-US" w:eastAsia="zh-CN"/>
        </w:rPr>
        <w:fldChar w:fldCharType="begin"/>
      </w:r>
      <w:r>
        <w:rPr>
          <w:rFonts w:hint="eastAsia" w:ascii="仿宋" w:hAnsi="仿宋" w:eastAsia="仿宋"/>
          <w:color w:val="auto"/>
          <w:sz w:val="32"/>
          <w:szCs w:val="32"/>
          <w:lang w:val="en-US" w:eastAsia="zh-CN"/>
        </w:rPr>
        <w:instrText xml:space="preserve">MERGEFIELD ${page540426799.ds254512694_REP_JXJC_AGENCY_WZR_NAME}</w:instrText>
      </w:r>
      <w:r>
        <w:rPr>
          <w:rFonts w:hint="eastAsia" w:ascii="仿宋" w:hAnsi="仿宋" w:eastAsia="仿宋"/>
          <w:color w:val="auto"/>
          <w:sz w:val="32"/>
          <w:szCs w:val="32"/>
          <w:lang w:val="en-US" w:eastAsia="zh-CN"/>
        </w:rPr>
        <w:fldChar w:fldCharType="separate"/>
      </w:r>
      <w:r>
        <w:rPr>
          <w:rFonts w:hint="eastAsia" w:ascii="仿宋" w:hAnsi="仿宋" w:eastAsia="仿宋"/>
          <w:color w:val="auto"/>
          <w:sz w:val="32"/>
          <w:szCs w:val="32"/>
          <w:lang w:val="en-US" w:eastAsia="zh-CN"/>
        </w:rPr>
        <w:t>庐山市妇幼保健计划生育服务中心（庐山市妇幼保健院）</w:t>
      </w:r>
      <w:r>
        <w:rPr>
          <w:rFonts w:hint="eastAsia" w:ascii="仿宋" w:hAnsi="仿宋" w:eastAsia="仿宋"/>
          <w:color w:val="auto"/>
          <w:sz w:val="32"/>
          <w:szCs w:val="32"/>
          <w:lang w:val="en-US" w:eastAsia="zh-CN"/>
        </w:rPr>
        <w:fldChar w:fldCharType="end"/>
      </w:r>
      <w:r>
        <w:rPr>
          <w:rFonts w:hint="eastAsia" w:ascii="仿宋" w:hAnsi="仿宋" w:eastAsia="仿宋"/>
          <w:color w:val="auto"/>
          <w:sz w:val="32"/>
          <w:szCs w:val="32"/>
          <w:lang w:val="en-US" w:eastAsia="zh-CN"/>
        </w:rPr>
        <w:t>内设处室8个，包括：行政科、总务科、公卫科、医务科、药剂科、护理部、婚育中心、预防接种。</w:t>
      </w:r>
    </w:p>
    <w:p w14:paraId="58DBA5BD">
      <w:pPr>
        <w:ind w:left="0" w:leftChars="0" w:firstLine="640" w:firstLineChars="200"/>
        <w:rPr>
          <w:rFonts w:hint="eastAsia" w:ascii="仿宋" w:hAnsi="仿宋" w:eastAsia="仿宋"/>
          <w:color w:val="auto"/>
          <w:sz w:val="32"/>
          <w:szCs w:val="32"/>
          <w:lang w:val="en-US" w:eastAsia="zh-CN"/>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60</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164</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139</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25</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4A8F97AE">
      <w:pPr>
        <w:widowControl/>
        <w:spacing w:line="580" w:lineRule="exact"/>
        <w:jc w:val="center"/>
        <w:rPr>
          <w:rFonts w:hint="eastAsia" w:ascii="仿宋_GB2312" w:eastAsia="仿宋_GB2312"/>
          <w:b/>
          <w:color w:val="auto"/>
          <w:sz w:val="32"/>
          <w:szCs w:val="30"/>
        </w:rPr>
      </w:pPr>
    </w:p>
    <w:p w14:paraId="5B76BECF">
      <w:pPr>
        <w:widowControl/>
        <w:spacing w:line="580" w:lineRule="exact"/>
        <w:jc w:val="center"/>
        <w:rPr>
          <w:rFonts w:hint="eastAsia" w:ascii="仿宋_GB2312" w:eastAsia="仿宋_GB2312"/>
          <w:b/>
          <w:color w:val="auto"/>
          <w:sz w:val="32"/>
          <w:szCs w:val="30"/>
        </w:rPr>
      </w:pPr>
    </w:p>
    <w:p w14:paraId="64C0A32A">
      <w:pPr>
        <w:widowControl/>
        <w:spacing w:line="580" w:lineRule="exact"/>
        <w:jc w:val="center"/>
        <w:rPr>
          <w:rFonts w:hint="eastAsia" w:ascii="仿宋_GB2312" w:eastAsia="仿宋_GB2312"/>
          <w:b/>
          <w:color w:val="auto"/>
          <w:sz w:val="32"/>
          <w:szCs w:val="30"/>
        </w:rPr>
      </w:pPr>
    </w:p>
    <w:p w14:paraId="71936C0D">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庐山市妇幼保健计划生育服务中心（庐山市妇幼保健院）</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4C58407A">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4CDA4259">
      <w:pPr>
        <w:ind w:firstLine="640" w:firstLineChars="200"/>
        <w:jc w:val="left"/>
        <w:rPr>
          <w:rStyle w:val="11"/>
          <w:rFonts w:ascii="仿宋" w:hAnsi="仿宋" w:eastAsia="仿宋"/>
          <w:bCs/>
          <w:color w:val="auto"/>
          <w:sz w:val="32"/>
          <w:szCs w:val="32"/>
        </w:rPr>
      </w:pPr>
    </w:p>
    <w:p w14:paraId="18783953">
      <w:pPr>
        <w:ind w:firstLine="640" w:firstLineChars="200"/>
        <w:jc w:val="left"/>
        <w:rPr>
          <w:rStyle w:val="11"/>
          <w:rFonts w:ascii="仿宋" w:hAnsi="仿宋" w:eastAsia="仿宋"/>
          <w:bCs/>
          <w:color w:val="auto"/>
          <w:sz w:val="32"/>
          <w:szCs w:val="32"/>
        </w:rPr>
      </w:pPr>
    </w:p>
    <w:p w14:paraId="5D285DC7">
      <w:pPr>
        <w:ind w:firstLine="640" w:firstLineChars="200"/>
        <w:jc w:val="left"/>
        <w:rPr>
          <w:rStyle w:val="11"/>
          <w:rFonts w:ascii="仿宋" w:hAnsi="仿宋" w:eastAsia="仿宋"/>
          <w:bCs/>
          <w:color w:val="auto"/>
          <w:sz w:val="32"/>
          <w:szCs w:val="32"/>
        </w:rPr>
      </w:pPr>
    </w:p>
    <w:p w14:paraId="5FC92AE3">
      <w:pPr>
        <w:ind w:firstLine="640" w:firstLineChars="200"/>
        <w:jc w:val="left"/>
        <w:rPr>
          <w:rStyle w:val="11"/>
          <w:rFonts w:ascii="仿宋" w:hAnsi="仿宋" w:eastAsia="仿宋"/>
          <w:bCs/>
          <w:color w:val="auto"/>
          <w:sz w:val="32"/>
          <w:szCs w:val="32"/>
        </w:rPr>
      </w:pPr>
    </w:p>
    <w:p w14:paraId="5C8AC87D">
      <w:pPr>
        <w:ind w:firstLine="640" w:firstLineChars="200"/>
        <w:jc w:val="left"/>
        <w:rPr>
          <w:rStyle w:val="11"/>
          <w:rFonts w:ascii="仿宋" w:hAnsi="仿宋" w:eastAsia="仿宋"/>
          <w:bCs/>
          <w:color w:val="auto"/>
          <w:sz w:val="32"/>
          <w:szCs w:val="32"/>
        </w:rPr>
      </w:pPr>
    </w:p>
    <w:p w14:paraId="7A25EFF9">
      <w:pPr>
        <w:ind w:firstLine="640" w:firstLineChars="200"/>
        <w:jc w:val="left"/>
        <w:rPr>
          <w:rStyle w:val="11"/>
          <w:rFonts w:ascii="仿宋" w:hAnsi="仿宋" w:eastAsia="仿宋"/>
          <w:bCs/>
          <w:color w:val="auto"/>
          <w:sz w:val="32"/>
          <w:szCs w:val="32"/>
        </w:rPr>
      </w:pPr>
    </w:p>
    <w:p w14:paraId="084C1C52">
      <w:pPr>
        <w:ind w:firstLine="640" w:firstLineChars="200"/>
        <w:jc w:val="left"/>
        <w:rPr>
          <w:rStyle w:val="11"/>
          <w:rFonts w:ascii="仿宋" w:hAnsi="仿宋" w:eastAsia="仿宋"/>
          <w:bCs/>
          <w:color w:val="auto"/>
          <w:sz w:val="32"/>
          <w:szCs w:val="32"/>
        </w:rPr>
      </w:pPr>
    </w:p>
    <w:p w14:paraId="37C5A793">
      <w:pPr>
        <w:ind w:firstLine="640" w:firstLineChars="200"/>
        <w:jc w:val="left"/>
        <w:rPr>
          <w:rStyle w:val="11"/>
          <w:rFonts w:ascii="仿宋" w:hAnsi="仿宋" w:eastAsia="仿宋"/>
          <w:bCs/>
          <w:color w:val="auto"/>
          <w:sz w:val="32"/>
          <w:szCs w:val="32"/>
        </w:rPr>
      </w:pPr>
    </w:p>
    <w:p w14:paraId="615CCEE0">
      <w:pPr>
        <w:ind w:firstLine="640" w:firstLineChars="200"/>
        <w:jc w:val="left"/>
        <w:rPr>
          <w:rStyle w:val="11"/>
          <w:rFonts w:ascii="仿宋" w:hAnsi="仿宋" w:eastAsia="仿宋"/>
          <w:bCs/>
          <w:color w:val="auto"/>
          <w:sz w:val="32"/>
          <w:szCs w:val="32"/>
        </w:rPr>
      </w:pPr>
    </w:p>
    <w:p w14:paraId="53F6291A">
      <w:pPr>
        <w:ind w:firstLine="640" w:firstLineChars="200"/>
        <w:jc w:val="left"/>
        <w:rPr>
          <w:rStyle w:val="11"/>
          <w:rFonts w:ascii="仿宋" w:hAnsi="仿宋" w:eastAsia="仿宋"/>
          <w:bCs/>
          <w:color w:val="auto"/>
          <w:sz w:val="32"/>
          <w:szCs w:val="32"/>
        </w:rPr>
      </w:pPr>
    </w:p>
    <w:p w14:paraId="02946541">
      <w:pPr>
        <w:ind w:firstLine="640" w:firstLineChars="200"/>
        <w:jc w:val="left"/>
        <w:rPr>
          <w:rStyle w:val="11"/>
          <w:rFonts w:ascii="仿宋" w:hAnsi="仿宋" w:eastAsia="仿宋"/>
          <w:bCs/>
          <w:color w:val="auto"/>
          <w:sz w:val="32"/>
          <w:szCs w:val="32"/>
        </w:rPr>
      </w:pPr>
    </w:p>
    <w:p w14:paraId="29A390EC">
      <w:pPr>
        <w:ind w:firstLine="640" w:firstLineChars="200"/>
        <w:jc w:val="left"/>
        <w:rPr>
          <w:rStyle w:val="11"/>
          <w:rFonts w:ascii="仿宋" w:hAnsi="仿宋" w:eastAsia="仿宋"/>
          <w:bCs/>
          <w:color w:val="auto"/>
          <w:sz w:val="32"/>
          <w:szCs w:val="32"/>
        </w:rPr>
      </w:pPr>
    </w:p>
    <w:p w14:paraId="3AC96503">
      <w:pPr>
        <w:ind w:firstLine="640" w:firstLineChars="200"/>
        <w:jc w:val="left"/>
        <w:rPr>
          <w:rStyle w:val="11"/>
          <w:rFonts w:ascii="仿宋" w:hAnsi="仿宋" w:eastAsia="仿宋"/>
          <w:bCs/>
          <w:color w:val="auto"/>
          <w:sz w:val="32"/>
          <w:szCs w:val="32"/>
        </w:rPr>
      </w:pPr>
    </w:p>
    <w:p w14:paraId="59E77F81">
      <w:pPr>
        <w:ind w:firstLine="640" w:firstLineChars="200"/>
        <w:jc w:val="left"/>
        <w:rPr>
          <w:rStyle w:val="11"/>
          <w:rFonts w:ascii="仿宋" w:hAnsi="仿宋" w:eastAsia="仿宋"/>
          <w:bCs/>
          <w:color w:val="auto"/>
          <w:sz w:val="32"/>
          <w:szCs w:val="32"/>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庐山市妇幼保健计划生育服务中心（庐山市妇幼保健院）</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(一)收入预算情况</w:t>
      </w:r>
    </w:p>
    <w:p w14:paraId="53245BA8">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庐山市妇幼保健计划生育服务中心（庐山市妇幼保健院）</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3688.49</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477.36</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1088.49</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177.36</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增加变化原因为2025年业务扩展、新增项目本级配套资金，人员增加且工资按年度增长。</w:t>
      </w:r>
    </w:p>
    <w:p w14:paraId="45D45D83">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庐山市妇幼保健计划生育服务中心（庐山市妇幼保健院）</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3688.49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477.36</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增加变化原因为2025年业务扩展支出、新增项目本级配套资金支出，人员支出等。</w:t>
      </w:r>
    </w:p>
    <w:p w14:paraId="347A5A02">
      <w:pPr>
        <w:widowControl/>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921.41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165.82</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858.32</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0.2</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62.89</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2767.08</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311.54</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1637.06</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400</w:t>
      </w:r>
      <w:r>
        <w:rPr>
          <w:rStyle w:val="11"/>
          <w:rFonts w:ascii="仿宋" w:hAnsi="仿宋" w:eastAsia="仿宋"/>
          <w:color w:val="auto"/>
          <w:sz w:val="32"/>
          <w:szCs w:val="32"/>
        </w:rPr>
        <w:t>万元。</w:t>
      </w:r>
      <w:r>
        <w:rPr>
          <w:color w:val="auto"/>
        </w:rPr>
        <w:fldChar w:fldCharType="end"/>
      </w:r>
    </w:p>
    <w:p w14:paraId="1F108E63">
      <w:pPr>
        <w:ind w:firstLine="640" w:firstLineChars="200"/>
        <w:rPr>
          <w:rStyle w:val="11"/>
          <w:rFonts w:ascii="仿宋" w:hAnsi="仿宋" w:eastAsia="仿宋"/>
          <w:b/>
          <w:color w:val="auto"/>
          <w:sz w:val="20"/>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highlight w:val="none"/>
        </w:rPr>
        <w:t>一般公共服务支出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万元;社会保障和就业支</w:t>
      </w:r>
      <w:r>
        <w:rPr>
          <w:rStyle w:val="11"/>
          <w:rFonts w:ascii="仿宋" w:hAnsi="仿宋" w:eastAsia="仿宋"/>
          <w:color w:val="auto"/>
          <w:sz w:val="32"/>
          <w:szCs w:val="32"/>
        </w:rPr>
        <w:t>出</w:t>
      </w:r>
      <w:r>
        <w:rPr>
          <w:rStyle w:val="11"/>
          <w:rFonts w:hint="eastAsia" w:ascii="仿宋" w:hAnsi="仿宋" w:eastAsia="仿宋"/>
          <w:color w:val="auto"/>
          <w:sz w:val="32"/>
          <w:szCs w:val="32"/>
          <w:lang w:val="en-US" w:eastAsia="zh-CN"/>
        </w:rPr>
        <w:t>131.1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25.68</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3485.41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437.73</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71.98</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13.95</w:t>
      </w:r>
      <w:r>
        <w:rPr>
          <w:rStyle w:val="11"/>
          <w:rFonts w:ascii="仿宋" w:hAnsi="仿宋" w:eastAsia="仿宋"/>
          <w:color w:val="auto"/>
          <w:sz w:val="32"/>
          <w:szCs w:val="32"/>
        </w:rPr>
        <w:t>万元。</w:t>
      </w:r>
      <w:r>
        <w:rPr>
          <w:color w:val="auto"/>
        </w:rPr>
        <w:fldChar w:fldCharType="end"/>
      </w:r>
    </w:p>
    <w:p w14:paraId="752E5B1D">
      <w:pPr>
        <w:ind w:firstLine="640" w:firstLineChars="200"/>
        <w:rPr>
          <w:color w:val="auto"/>
        </w:rPr>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1587.02</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13.9</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1637.26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317.17</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64.21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62.68</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400</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111.41</w:t>
      </w:r>
      <w:r>
        <w:rPr>
          <w:rStyle w:val="11"/>
          <w:rFonts w:ascii="仿宋" w:hAnsi="仿宋" w:eastAsia="仿宋"/>
          <w:color w:val="auto"/>
          <w:sz w:val="32"/>
          <w:szCs w:val="32"/>
        </w:rPr>
        <w:t>万元。</w:t>
      </w:r>
      <w:r>
        <w:rPr>
          <w:color w:val="auto"/>
        </w:rPr>
        <w:fldChar w:fldCharType="end"/>
      </w:r>
    </w:p>
    <w:p w14:paraId="1F9283F6">
      <w:pPr>
        <w:ind w:firstLine="321" w:firstLineChars="1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(三)财政拨款支出情况</w:t>
      </w:r>
    </w:p>
    <w:p w14:paraId="087C15FB">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庐山市妇幼保健计划生育服务中心（庐山市妇幼保健院）</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1088.49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177.36</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增加变化原因为为人员增加社会保障缴纳基数调增，民生项目增加本级配套资金。</w:t>
      </w:r>
    </w:p>
    <w:p w14:paraId="53F56414">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${page400644146.ds247441498_REP_BGT_T_HC1100002019DXQ01_GNCBMX}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lang w:val="en-US" w:eastAsia="zh-CN"/>
        </w:rPr>
        <w:t>131.1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25.68</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卫生健康支出</w:t>
      </w:r>
      <w:r>
        <w:rPr>
          <w:rStyle w:val="11"/>
          <w:rFonts w:hint="eastAsia" w:ascii="仿宋" w:hAnsi="仿宋" w:eastAsia="仿宋"/>
          <w:color w:val="auto"/>
          <w:sz w:val="32"/>
          <w:szCs w:val="32"/>
          <w:lang w:val="en-US" w:eastAsia="zh-CN"/>
        </w:rPr>
        <w:t>885.41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137.73</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住房保障支出</w:t>
      </w:r>
      <w:r>
        <w:rPr>
          <w:rStyle w:val="11"/>
          <w:rFonts w:hint="eastAsia" w:ascii="仿宋" w:hAnsi="仿宋" w:eastAsia="仿宋"/>
          <w:color w:val="auto"/>
          <w:sz w:val="32"/>
          <w:szCs w:val="32"/>
          <w:lang w:val="en-US" w:eastAsia="zh-CN"/>
        </w:rPr>
        <w:t>71.98</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13.95</w:t>
      </w:r>
      <w:r>
        <w:rPr>
          <w:rStyle w:val="11"/>
          <w:rFonts w:ascii="仿宋" w:hAnsi="仿宋" w:eastAsia="仿宋"/>
          <w:color w:val="auto"/>
          <w:sz w:val="32"/>
          <w:szCs w:val="32"/>
        </w:rPr>
        <w:t>万元。</w:t>
      </w:r>
      <w:r>
        <w:rPr>
          <w:color w:val="auto"/>
        </w:rPr>
        <w:fldChar w:fldCharType="end"/>
      </w:r>
    </w:p>
    <w:p w14:paraId="64E81F8C">
      <w:pPr>
        <w:ind w:firstLine="640" w:firstLineChars="200"/>
        <w:rPr>
          <w:color w:val="auto"/>
        </w:rPr>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highlight w:val="none"/>
          <w:lang w:val="en-US" w:eastAsia="zh-CN"/>
        </w:rPr>
        <w:t>921.41</w:t>
      </w:r>
      <w:r>
        <w:rPr>
          <w:rStyle w:val="11"/>
          <w:rFonts w:ascii="仿宋" w:hAnsi="仿宋" w:eastAsia="仿宋"/>
          <w:color w:val="auto"/>
          <w:sz w:val="32"/>
          <w:szCs w:val="32"/>
          <w:highlight w:val="none"/>
        </w:rPr>
        <w:t>万</w:t>
      </w:r>
      <w:r>
        <w:rPr>
          <w:rStyle w:val="11"/>
          <w:rFonts w:ascii="仿宋" w:hAnsi="仿宋" w:eastAsia="仿宋"/>
          <w:color w:val="auto"/>
          <w:sz w:val="32"/>
          <w:szCs w:val="32"/>
        </w:rPr>
        <w:t>元,较上年预算安排增加</w:t>
      </w:r>
      <w:r>
        <w:rPr>
          <w:rStyle w:val="11"/>
          <w:rFonts w:hint="eastAsia" w:ascii="仿宋" w:hAnsi="仿宋" w:eastAsia="仿宋"/>
          <w:color w:val="auto"/>
          <w:sz w:val="32"/>
          <w:szCs w:val="32"/>
          <w:lang w:val="en-US" w:eastAsia="zh-CN"/>
        </w:rPr>
        <w:t>177.36</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858.32</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0.2</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62.89</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167.08</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11.54</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167.08</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w:t>
      </w:r>
      <w:r>
        <w:rPr>
          <w:color w:val="auto"/>
        </w:rPr>
        <w:fldChar w:fldCharType="end"/>
      </w:r>
    </w:p>
    <w:p w14:paraId="30CBFFCB">
      <w:pPr>
        <w:ind w:firstLine="420" w:firstLineChars="200"/>
        <w:rPr>
          <w:color w:val="auto"/>
        </w:rPr>
      </w:pPr>
    </w:p>
    <w:p w14:paraId="0B4F38DD">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(四)政府性基金情况</w:t>
      </w:r>
    </w:p>
    <w:p w14:paraId="305AB9D4">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本单位没有使用政府性基金预算拨款安排的支出</w:t>
      </w:r>
      <w:r>
        <w:rPr>
          <w:rStyle w:val="11"/>
          <w:rFonts w:hint="eastAsia" w:ascii="仿宋" w:hAnsi="仿宋" w:eastAsia="仿宋"/>
          <w:color w:val="auto"/>
          <w:sz w:val="32"/>
          <w:szCs w:val="32"/>
          <w:lang w:eastAsia="zh-CN"/>
        </w:rPr>
        <w:t>。</w:t>
      </w:r>
    </w:p>
    <w:p w14:paraId="6EE05F8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（五）国有资本经营情况</w:t>
      </w:r>
    </w:p>
    <w:p w14:paraId="2457B334">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本</w:t>
      </w:r>
      <w:r>
        <w:rPr>
          <w:rFonts w:hint="eastAsia" w:ascii="Adobe 仿宋 Std R" w:hAnsi="Adobe 仿宋 Std R" w:eastAsia="Adobe 仿宋 Std R"/>
          <w:color w:val="auto"/>
          <w:sz w:val="32"/>
          <w:szCs w:val="32"/>
          <w:lang w:val="en-US" w:eastAsia="zh-CN"/>
        </w:rPr>
        <w:t>单位</w:t>
      </w:r>
      <w:r>
        <w:rPr>
          <w:rFonts w:hint="eastAsia" w:ascii="Adobe 仿宋 Std R" w:hAnsi="Adobe 仿宋 Std R" w:eastAsia="Adobe 仿宋 Std R"/>
          <w:color w:val="auto"/>
          <w:sz w:val="32"/>
          <w:szCs w:val="32"/>
        </w:rPr>
        <w:t>没有使用国有资本经营预算拨款安排的支出</w:t>
      </w:r>
      <w:r>
        <w:rPr>
          <w:rFonts w:hint="eastAsia" w:ascii="Adobe 仿宋 Std R" w:hAnsi="Adobe 仿宋 Std R" w:eastAsia="Adobe 仿宋 Std R"/>
          <w:color w:val="auto"/>
          <w:sz w:val="32"/>
          <w:szCs w:val="32"/>
          <w:lang w:eastAsia="zh-CN"/>
        </w:rPr>
        <w:t>。</w:t>
      </w:r>
    </w:p>
    <w:p w14:paraId="76E34934">
      <w:pPr>
        <w:numPr>
          <w:ilvl w:val="0"/>
          <w:numId w:val="1"/>
        </w:numPr>
        <w:ind w:left="480" w:leftChars="0" w:firstLine="0" w:firstLineChars="0"/>
        <w:rPr>
          <w:rStyle w:val="11"/>
          <w:rFonts w:hint="eastAsia"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机关运行经费等重要事项的说明</w:t>
      </w:r>
    </w:p>
    <w:p w14:paraId="2058FC9E">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本单位非行政参公单位，无机关运行经费</w:t>
      </w:r>
      <w:r>
        <w:rPr>
          <w:rFonts w:hint="eastAsia" w:ascii="Adobe 仿宋 Std R" w:hAnsi="Adobe 仿宋 Std R" w:eastAsia="Adobe 仿宋 Std R"/>
          <w:color w:val="auto"/>
          <w:sz w:val="32"/>
          <w:szCs w:val="32"/>
          <w:lang w:eastAsia="zh-CN"/>
        </w:rPr>
        <w:t>。</w:t>
      </w:r>
    </w:p>
    <w:p w14:paraId="13492D4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(七)政府采购情况</w:t>
      </w:r>
    </w:p>
    <w:p w14:paraId="0477A1F7">
      <w:pPr>
        <w:rPr>
          <w:rFonts w:ascii="Adobe 仿宋 Std R" w:hAnsi="Adobe 仿宋 Std R" w:eastAsia="Adobe 仿宋 Std R"/>
          <w:color w:val="auto"/>
          <w:sz w:val="32"/>
          <w:szCs w:val="32"/>
        </w:rPr>
      </w:pPr>
      <w:r>
        <w:rPr>
          <w:rStyle w:val="11"/>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517.98</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517.98</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58B2EF70">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1</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32683904">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辆，安排购置单位价值200万元以上大型设备具体为：</w:t>
      </w:r>
      <w:r>
        <w:rPr>
          <w:rFonts w:hint="eastAsia" w:ascii="Adobe 仿宋 Std R" w:hAnsi="Adobe 仿宋 Std R" w:eastAsia="Adobe 仿宋 Std R"/>
          <w:color w:val="auto"/>
          <w:sz w:val="32"/>
          <w:szCs w:val="32"/>
          <w:lang w:val="en-US" w:eastAsia="zh-CN"/>
        </w:rPr>
        <w:t>0</w:t>
      </w:r>
      <w:r>
        <w:rPr>
          <w:rFonts w:hint="eastAsia" w:ascii="仿宋_GB2312" w:eastAsia="仿宋_GB2312"/>
          <w:color w:val="auto"/>
          <w:sz w:val="32"/>
          <w:szCs w:val="30"/>
        </w:rPr>
        <w:t>。</w:t>
      </w:r>
      <w:bookmarkStart w:id="0" w:name="_GoBack"/>
      <w:bookmarkEnd w:id="0"/>
    </w:p>
    <w:p w14:paraId="5BDCC914">
      <w:pPr>
        <w:ind w:firstLine="321" w:firstLineChars="100"/>
        <w:rPr>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（九）</w:t>
      </w:r>
      <w:r>
        <w:rPr>
          <w:rStyle w:val="11"/>
          <w:rFonts w:hint="eastAsia" w:ascii="Adobe 仿宋 Std R" w:hAnsi="Adobe 仿宋 Std R" w:eastAsia="Adobe 仿宋 Std R"/>
          <w:b/>
          <w:color w:val="auto"/>
          <w:sz w:val="32"/>
          <w:szCs w:val="32"/>
          <w:lang w:val="en-US" w:eastAsia="zh-CN"/>
        </w:rPr>
        <w:t>免费提供出生缺陷防控服务</w:t>
      </w:r>
      <w:r>
        <w:rPr>
          <w:rStyle w:val="11"/>
          <w:rFonts w:hint="eastAsia" w:ascii="Adobe 仿宋 Std R" w:hAnsi="Adobe 仿宋 Std R" w:eastAsia="Adobe 仿宋 Std R"/>
          <w:b/>
          <w:color w:val="auto"/>
          <w:sz w:val="32"/>
          <w:szCs w:val="32"/>
        </w:rPr>
        <w:t>项目情况说明</w:t>
      </w:r>
    </w:p>
    <w:p w14:paraId="29955D9E">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p>
    <w:p w14:paraId="4AFC9DD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为全市孕产妇免费提供产前筛查和新生儿疾病筛查，包括胎儿颈部透明检查、胎儿六大畸形超声常规检查、产前血清学筛查、地中海贫血基因检测及新生儿遗传代谢病筛查、听力筛查、遗产性耳聋基因检测、先天性心脏病筛查等。</w:t>
      </w:r>
    </w:p>
    <w:p w14:paraId="3A7E94D4">
      <w:pPr>
        <w:numPr>
          <w:ilvl w:val="0"/>
          <w:numId w:val="2"/>
        </w:numPr>
        <w:ind w:left="630"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立项依据</w:t>
      </w:r>
    </w:p>
    <w:p w14:paraId="1C648001">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为贯彻落实《江西省人民政府关于印发2023年民生实事安排方案的通知》（赣府发【2023】5号）和《江西省民生实事工程实施领导小组办公室关于印发2023年10件民生实事具体实施方案的通知》（赣民生办【2023】1号）工作要求。</w:t>
      </w:r>
    </w:p>
    <w:p w14:paraId="272322E3">
      <w:pPr>
        <w:numPr>
          <w:ilvl w:val="0"/>
          <w:numId w:val="2"/>
        </w:numPr>
        <w:ind w:left="630"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实施主体</w:t>
      </w:r>
    </w:p>
    <w:p w14:paraId="7B34ADFC">
      <w:pPr>
        <w:numPr>
          <w:ilvl w:val="0"/>
          <w:numId w:val="0"/>
        </w:numPr>
        <w:ind w:left="0" w:leftChars="0" w:firstLine="320" w:firstLineChars="1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庐山市妇幼保健计划生育服务中心（庐山市妇幼保健院）</w:t>
      </w:r>
    </w:p>
    <w:p w14:paraId="521EC707">
      <w:pPr>
        <w:numPr>
          <w:ilvl w:val="0"/>
          <w:numId w:val="2"/>
        </w:numPr>
        <w:ind w:left="630"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实施方案</w:t>
      </w:r>
    </w:p>
    <w:p w14:paraId="6C1D8283">
      <w:pPr>
        <w:numPr>
          <w:ilvl w:val="0"/>
          <w:numId w:val="0"/>
        </w:numPr>
        <w:ind w:left="0" w:leftChars="0" w:firstLine="640" w:firstLineChars="200"/>
        <w:rPr>
          <w:rFonts w:hint="default" w:ascii="Adobe 仿宋 Std R" w:hAnsi="Adobe 仿宋 Std R" w:eastAsia="Adobe 仿宋 Std R"/>
          <w:color w:val="auto"/>
          <w:sz w:val="32"/>
          <w:szCs w:val="32"/>
          <w:lang w:val="en-US"/>
        </w:rPr>
      </w:pPr>
      <w:r>
        <w:rPr>
          <w:rFonts w:hint="eastAsia" w:ascii="Adobe 仿宋 Std R" w:hAnsi="Adobe 仿宋 Std R" w:eastAsia="Adobe 仿宋 Std R"/>
          <w:color w:val="auto"/>
          <w:sz w:val="32"/>
          <w:szCs w:val="32"/>
          <w:lang w:val="en-US" w:eastAsia="zh-CN"/>
        </w:rPr>
        <w:t>根据九江市卫生健康委员会、九江市财政局《关于印发九江市“免费提供出生缺陷防控服务”实施方案的通知》（九卫妇幼字【2024】3号）文件要求实施。</w:t>
      </w:r>
    </w:p>
    <w:p w14:paraId="36B29787">
      <w:pPr>
        <w:numPr>
          <w:ilvl w:val="0"/>
          <w:numId w:val="2"/>
        </w:numPr>
        <w:ind w:left="630"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实施周期</w:t>
      </w:r>
    </w:p>
    <w:p w14:paraId="62BA58A5">
      <w:pPr>
        <w:numPr>
          <w:ilvl w:val="0"/>
          <w:numId w:val="0"/>
        </w:numPr>
        <w:ind w:firstLine="1280" w:firstLineChars="4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410AF00E">
      <w:pPr>
        <w:numPr>
          <w:ilvl w:val="0"/>
          <w:numId w:val="2"/>
        </w:numPr>
        <w:ind w:left="630"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年度预算安排</w:t>
      </w:r>
    </w:p>
    <w:p w14:paraId="4B61EF75">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109.73万元</w:t>
      </w:r>
    </w:p>
    <w:p w14:paraId="1BDBA6E8">
      <w:pPr>
        <w:ind w:firstLine="321" w:firstLineChars="100"/>
        <w:rPr>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十</w:t>
      </w: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事业收入工作</w:t>
      </w:r>
      <w:r>
        <w:rPr>
          <w:rStyle w:val="11"/>
          <w:rFonts w:hint="eastAsia" w:ascii="Adobe 仿宋 Std R" w:hAnsi="Adobe 仿宋 Std R" w:eastAsia="Adobe 仿宋 Std R"/>
          <w:b/>
          <w:color w:val="auto"/>
          <w:sz w:val="32"/>
          <w:szCs w:val="32"/>
        </w:rPr>
        <w:t>项目情况说明</w:t>
      </w:r>
    </w:p>
    <w:p w14:paraId="0768A7F9">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6892CB32">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确保我院基本运转及业务扩展，人员工资福利支出。</w:t>
      </w:r>
    </w:p>
    <w:p w14:paraId="718AFD72">
      <w:pPr>
        <w:numPr>
          <w:ilvl w:val="0"/>
          <w:numId w:val="3"/>
        </w:numPr>
        <w:ind w:left="840"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立项依据</w:t>
      </w:r>
    </w:p>
    <w:p w14:paraId="1CEBB9A9">
      <w:pPr>
        <w:numPr>
          <w:ilvl w:val="0"/>
          <w:numId w:val="0"/>
        </w:numPr>
        <w:ind w:left="0" w:leftChars="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庐山市妇幼保健计划生育服务中心2025年非税预测表</w:t>
      </w:r>
    </w:p>
    <w:p w14:paraId="348F33CC">
      <w:pPr>
        <w:numPr>
          <w:ilvl w:val="0"/>
          <w:numId w:val="4"/>
        </w:numPr>
        <w:ind w:left="840"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实施主体</w:t>
      </w:r>
    </w:p>
    <w:p w14:paraId="398B2997">
      <w:pPr>
        <w:numPr>
          <w:ilvl w:val="0"/>
          <w:numId w:val="0"/>
        </w:numPr>
        <w:ind w:left="0" w:leftChars="0"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庐山市妇幼保健计划生育服务中心（庐山市妇幼保健院）</w:t>
      </w:r>
    </w:p>
    <w:p w14:paraId="331FF5EC">
      <w:pPr>
        <w:numPr>
          <w:ilvl w:val="0"/>
          <w:numId w:val="4"/>
        </w:numPr>
        <w:ind w:left="840"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实施方案</w:t>
      </w:r>
    </w:p>
    <w:p w14:paraId="393CECF0">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仿宋" w:hAnsi="仿宋" w:eastAsia="仿宋"/>
          <w:color w:val="auto"/>
          <w:sz w:val="32"/>
          <w:szCs w:val="32"/>
        </w:rPr>
        <w:t>为本辖区内妇女儿童提供妇产保健、妇女保健、儿童保健等妇幼保健服务和妇女儿童常见病防治等，承担计划生育宣传教育、技术服务、优生指导、药具发放、信息咨询、随访服务、生殖保健、人员培训等任务；开展孕前优生健康检查、农村及城镇“两癌”筛查、婚前免费医学检查、</w:t>
      </w:r>
      <w:r>
        <w:rPr>
          <w:rFonts w:hint="eastAsia" w:ascii="仿宋" w:hAnsi="仿宋" w:eastAsia="仿宋"/>
          <w:color w:val="auto"/>
          <w:sz w:val="32"/>
          <w:szCs w:val="32"/>
          <w:lang w:val="en-US" w:eastAsia="zh-CN"/>
        </w:rPr>
        <w:t>免费提供出生缺陷防控服务、为适龄女生免费接种人乳头瘤病毒疫苗接种费用、</w:t>
      </w:r>
      <w:r>
        <w:rPr>
          <w:rFonts w:hint="eastAsia" w:ascii="仿宋" w:hAnsi="仿宋" w:eastAsia="仿宋"/>
          <w:color w:val="auto"/>
          <w:sz w:val="32"/>
          <w:szCs w:val="32"/>
        </w:rPr>
        <w:t>计划生育服务等工作；向辖区群众宣传普及健康知识，倡导健康行为和生活方式，提高健康素养和健康水平；承担基本医疗服务工作</w:t>
      </w:r>
      <w:r>
        <w:rPr>
          <w:rFonts w:hint="eastAsia" w:ascii="Adobe 仿宋 Std R" w:hAnsi="Adobe 仿宋 Std R" w:eastAsia="Adobe 仿宋 Std R"/>
          <w:color w:val="auto"/>
          <w:sz w:val="32"/>
          <w:szCs w:val="32"/>
          <w:lang w:val="en-US" w:eastAsia="zh-CN"/>
        </w:rPr>
        <w:t>。</w:t>
      </w:r>
    </w:p>
    <w:p w14:paraId="66E26AB2">
      <w:pPr>
        <w:numPr>
          <w:ilvl w:val="0"/>
          <w:numId w:val="4"/>
        </w:numPr>
        <w:ind w:left="840"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实施周期</w:t>
      </w:r>
    </w:p>
    <w:p w14:paraId="614FDDE9">
      <w:pPr>
        <w:numPr>
          <w:ilvl w:val="0"/>
          <w:numId w:val="0"/>
        </w:numPr>
        <w:ind w:firstLine="1280" w:firstLineChars="4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15E0E4E5">
      <w:pPr>
        <w:numPr>
          <w:ilvl w:val="0"/>
          <w:numId w:val="4"/>
        </w:numPr>
        <w:ind w:left="840"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年度预算安排</w:t>
      </w:r>
    </w:p>
    <w:p w14:paraId="2CE043A8">
      <w:pPr>
        <w:numPr>
          <w:ilvl w:val="0"/>
          <w:numId w:val="0"/>
        </w:numPr>
        <w:rPr>
          <w:rStyle w:val="11"/>
          <w:rFonts w:hint="eastAsia" w:ascii="Adobe 仿宋 Std R" w:hAnsi="Adobe 仿宋 Std R" w:eastAsia="Adobe 仿宋 Std R"/>
          <w:b/>
          <w:color w:val="auto"/>
          <w:sz w:val="32"/>
          <w:szCs w:val="32"/>
        </w:rPr>
      </w:pPr>
      <w:r>
        <w:rPr>
          <w:rFonts w:hint="eastAsia" w:ascii="Adobe 仿宋 Std R" w:hAnsi="Adobe 仿宋 Std R" w:eastAsia="Adobe 仿宋 Std R"/>
          <w:color w:val="auto"/>
          <w:sz w:val="32"/>
          <w:szCs w:val="32"/>
          <w:lang w:val="en-US" w:eastAsia="zh-CN"/>
        </w:rPr>
        <w:t xml:space="preserve">        2600万元。</w:t>
      </w:r>
    </w:p>
    <w:p w14:paraId="02778792">
      <w:pPr>
        <w:ind w:firstLine="321" w:firstLineChars="100"/>
        <w:rPr>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十一</w:t>
      </w: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公立医院改革补助资金</w:t>
      </w:r>
      <w:r>
        <w:rPr>
          <w:rStyle w:val="11"/>
          <w:rFonts w:hint="eastAsia" w:ascii="Adobe 仿宋 Std R" w:hAnsi="Adobe 仿宋 Std R" w:eastAsia="Adobe 仿宋 Std R"/>
          <w:b/>
          <w:color w:val="auto"/>
          <w:sz w:val="32"/>
          <w:szCs w:val="32"/>
        </w:rPr>
        <w:t>项目情况说明</w:t>
      </w:r>
    </w:p>
    <w:p w14:paraId="3D826667">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0DA3004A">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为进一步深化公立医院综合改革，做好公立医院精细化管理，巩固完善公立医院综合改革效果，加大在重点领域和关键环节突破创新力度，推进公立医院高质量发展。</w:t>
      </w:r>
    </w:p>
    <w:p w14:paraId="35B3E8A0">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02D45C7A">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根据庐山市财政局 庐山市卫生健康委员会文件《关于提前下达2025年社会保障市本级财政补助资金的通知》（庐财社指【2024】8号）。</w:t>
      </w:r>
    </w:p>
    <w:p w14:paraId="3D606525">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实施主体</w:t>
      </w:r>
    </w:p>
    <w:p w14:paraId="6156341A">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庐山市妇幼保健计划生育服务中心（庐山市妇幼保健院）</w:t>
      </w:r>
    </w:p>
    <w:p w14:paraId="558F2C4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实施方案</w:t>
      </w:r>
    </w:p>
    <w:p w14:paraId="017B3577">
      <w:pPr>
        <w:numPr>
          <w:ilvl w:val="0"/>
          <w:numId w:val="0"/>
        </w:numPr>
        <w:ind w:left="0" w:leftChars="0"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根据庐山市财政局 庐山市卫生健康委员会文件《关于下达2024年医疗服务与保障能力提升（公立医院综合改革）中央补助资金预算的通知》庐财社指【2024】44号</w:t>
      </w:r>
    </w:p>
    <w:p w14:paraId="6865D80A">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实施周期</w:t>
      </w:r>
    </w:p>
    <w:p w14:paraId="6E21A22A">
      <w:pPr>
        <w:numPr>
          <w:ilvl w:val="0"/>
          <w:numId w:val="0"/>
        </w:numPr>
        <w:ind w:firstLine="1280" w:firstLineChars="4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3BF1694E">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年度预算安排</w:t>
      </w:r>
    </w:p>
    <w:p w14:paraId="2CF794DA">
      <w:pPr>
        <w:numPr>
          <w:ilvl w:val="0"/>
          <w:numId w:val="0"/>
        </w:numPr>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 xml:space="preserve">        5万元。</w:t>
      </w:r>
    </w:p>
    <w:p w14:paraId="69038086">
      <w:pPr>
        <w:ind w:firstLine="321" w:firstLineChars="100"/>
        <w:rPr>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十二</w:t>
      </w: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基本公共卫生服务</w:t>
      </w:r>
      <w:r>
        <w:rPr>
          <w:rStyle w:val="11"/>
          <w:rFonts w:hint="eastAsia" w:ascii="Adobe 仿宋 Std R" w:hAnsi="Adobe 仿宋 Std R" w:eastAsia="Adobe 仿宋 Std R"/>
          <w:b/>
          <w:color w:val="auto"/>
          <w:sz w:val="32"/>
          <w:szCs w:val="32"/>
        </w:rPr>
        <w:t>项目情况说明</w:t>
      </w:r>
    </w:p>
    <w:p w14:paraId="4678E2BE">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项目概述</w:t>
      </w:r>
    </w:p>
    <w:p w14:paraId="0169A80B">
      <w:pPr>
        <w:keepNext w:val="0"/>
        <w:keepLines w:val="0"/>
        <w:widowControl/>
        <w:suppressLineNumbers w:val="0"/>
        <w:ind w:firstLine="640" w:firstLineChars="200"/>
        <w:jc w:val="left"/>
        <w:rPr>
          <w:rFonts w:hint="default" w:ascii="Adobe 仿宋 Std R" w:hAnsi="Adobe 仿宋 Std R" w:eastAsia="Adobe 仿宋 Std R"/>
          <w:color w:val="auto"/>
          <w:sz w:val="32"/>
          <w:szCs w:val="32"/>
          <w:lang w:val="en-US" w:eastAsia="zh-CN"/>
        </w:rPr>
      </w:pPr>
      <w:r>
        <w:rPr>
          <w:rFonts w:ascii="仿宋" w:hAnsi="仿宋" w:eastAsia="仿宋" w:cs="仿宋"/>
          <w:color w:val="auto"/>
          <w:kern w:val="0"/>
          <w:sz w:val="32"/>
          <w:szCs w:val="32"/>
          <w:lang w:val="en-US" w:eastAsia="zh-CN" w:bidi="ar"/>
        </w:rPr>
        <w:t>为进一步加强基本公共卫生服务工作，提高适龄妇女宫颈</w:t>
      </w:r>
      <w:r>
        <w:rPr>
          <w:rFonts w:hint="eastAsia" w:ascii="仿宋" w:hAnsi="仿宋" w:eastAsia="仿宋" w:cs="仿宋"/>
          <w:color w:val="auto"/>
          <w:kern w:val="0"/>
          <w:sz w:val="32"/>
          <w:szCs w:val="32"/>
          <w:lang w:val="en-US" w:eastAsia="zh-CN" w:bidi="ar"/>
        </w:rPr>
        <w:t>癌和乳腺癌的早诊早治率，降低“两癌”死亡率，提高孕前优生检测，降低出生缺陷，提升提高妇女、儿童健康水平，逐步形成妇女、儿童健康的长效机制。</w:t>
      </w:r>
    </w:p>
    <w:p w14:paraId="149F2489">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立项依据</w:t>
      </w:r>
    </w:p>
    <w:p w14:paraId="1DD40088">
      <w:pPr>
        <w:numPr>
          <w:ilvl w:val="0"/>
          <w:numId w:val="0"/>
        </w:numPr>
        <w:ind w:left="0" w:leftChars="0"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江西省卫生健康委员会《关于做好2024年基本公共卫生妇幼健康服务项目工作的通知》（赣卫妇幼字【2024】15号）</w:t>
      </w:r>
    </w:p>
    <w:p w14:paraId="796A09E7">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3）实施主体</w:t>
      </w:r>
    </w:p>
    <w:p w14:paraId="120651D7">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庐山市妇幼保健计划生育服务中心（庐山市妇幼保健院）</w:t>
      </w:r>
    </w:p>
    <w:p w14:paraId="6B00C869">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实施方案</w:t>
      </w:r>
    </w:p>
    <w:p w14:paraId="3A2CC2A9">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根据《2024年江西省农村妇女两癌检测项目实施方案》、《2024年江西免费孕前优生健康检查项目实施方案》文件要求实施。</w:t>
      </w:r>
    </w:p>
    <w:p w14:paraId="4A4E8E4E">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实施周期</w:t>
      </w:r>
    </w:p>
    <w:p w14:paraId="383F0C94">
      <w:pPr>
        <w:numPr>
          <w:ilvl w:val="0"/>
          <w:numId w:val="0"/>
        </w:numPr>
        <w:ind w:firstLine="1280" w:firstLineChars="4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5E79E2AA">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年度预算安排</w:t>
      </w:r>
    </w:p>
    <w:p w14:paraId="13777651">
      <w:pPr>
        <w:numPr>
          <w:ilvl w:val="0"/>
          <w:numId w:val="0"/>
        </w:numPr>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 xml:space="preserve">       11.787万元。</w:t>
      </w:r>
    </w:p>
    <w:p w14:paraId="65BCF8A0">
      <w:pPr>
        <w:ind w:firstLine="321" w:firstLineChars="100"/>
        <w:rPr>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十三</w:t>
      </w: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免费婚前检查</w:t>
      </w:r>
      <w:r>
        <w:rPr>
          <w:rStyle w:val="11"/>
          <w:rFonts w:hint="eastAsia" w:ascii="Adobe 仿宋 Std R" w:hAnsi="Adobe 仿宋 Std R" w:eastAsia="Adobe 仿宋 Std R"/>
          <w:b/>
          <w:color w:val="auto"/>
          <w:sz w:val="32"/>
          <w:szCs w:val="32"/>
        </w:rPr>
        <w:t>项目情况说明</w:t>
      </w:r>
    </w:p>
    <w:p w14:paraId="5BCF3442">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5F06969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为进一步提高婚前医学检查质量，降低出生缺陷，预防先天性疾病，按照300元/对标准对男女双方进行全身体格检查、基本检查和增加项目检查。</w:t>
      </w:r>
    </w:p>
    <w:p w14:paraId="2C2250F0">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2）立项依据</w:t>
      </w:r>
    </w:p>
    <w:p w14:paraId="25D99DB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根据庐山市卫生健康委员会《关于请求拨付2025年度妇幼健康项目资金的请求》庐卫文【2024】56号、《江西省人民政府关于印发2022年民生实事工程安排方案的通知》（赣府发【2022】3号）</w:t>
      </w:r>
    </w:p>
    <w:p w14:paraId="702FC6BA">
      <w:pPr>
        <w:numPr>
          <w:ilvl w:val="0"/>
          <w:numId w:val="0"/>
        </w:numPr>
        <w:tabs>
          <w:tab w:val="left" w:pos="1026"/>
        </w:tabs>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实施主体</w:t>
      </w:r>
    </w:p>
    <w:p w14:paraId="2C6AEAEF">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庐山市妇幼保健计划生育服务中心（庐山市妇幼保健院）</w:t>
      </w:r>
    </w:p>
    <w:p w14:paraId="7751834E">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实施方案</w:t>
      </w:r>
    </w:p>
    <w:p w14:paraId="69FA0DE5">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根据《江西省人民政府办公厅关于在全省开展免费婚前医学检查工作的指导意见》及《关于提高全市婚前医学检查补助标准的通知》（九妇儿工委办【2021】5号）文件要求实施</w:t>
      </w:r>
    </w:p>
    <w:p w14:paraId="35AE1052">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实施周期</w:t>
      </w:r>
    </w:p>
    <w:p w14:paraId="4A9CD843">
      <w:pPr>
        <w:numPr>
          <w:ilvl w:val="0"/>
          <w:numId w:val="0"/>
        </w:numPr>
        <w:ind w:firstLine="1280" w:firstLineChars="4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76D92A4A">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年度预算安排</w:t>
      </w:r>
    </w:p>
    <w:p w14:paraId="315301BC">
      <w:pPr>
        <w:numPr>
          <w:ilvl w:val="0"/>
          <w:numId w:val="0"/>
        </w:numPr>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 xml:space="preserve">        34.77万元。</w:t>
      </w:r>
    </w:p>
    <w:p w14:paraId="656F4657">
      <w:pPr>
        <w:ind w:firstLine="321" w:firstLineChars="100"/>
        <w:rPr>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十四</w:t>
      </w: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为适龄女生免费接种人乳头瘤病毒疫苗接种费用</w:t>
      </w:r>
      <w:r>
        <w:rPr>
          <w:rStyle w:val="11"/>
          <w:rFonts w:hint="eastAsia" w:ascii="Adobe 仿宋 Std R" w:hAnsi="Adobe 仿宋 Std R" w:eastAsia="Adobe 仿宋 Std R"/>
          <w:b/>
          <w:color w:val="auto"/>
          <w:sz w:val="32"/>
          <w:szCs w:val="32"/>
        </w:rPr>
        <w:t>项目情况说明</w:t>
      </w:r>
    </w:p>
    <w:p w14:paraId="1B314D27">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项目概述</w:t>
      </w:r>
    </w:p>
    <w:p w14:paraId="74E01EE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为全市处于初中阶段、未满14周岁、未接种过人乳头瘤病毒疫苗的女学生，按照知情自愿原则免费接种国产二价HPV疫苗接种费。</w:t>
      </w:r>
    </w:p>
    <w:p w14:paraId="5A694CBE">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w:t>
      </w:r>
      <w:r>
        <w:rPr>
          <w:rFonts w:hint="eastAsia" w:ascii="Adobe 仿宋 Std R" w:hAnsi="Adobe 仿宋 Std R" w:eastAsia="Adobe 仿宋 Std R"/>
          <w:color w:val="auto"/>
          <w:sz w:val="32"/>
          <w:szCs w:val="32"/>
          <w:lang w:val="en-US" w:eastAsia="zh-CN"/>
        </w:rPr>
        <w:t>）</w:t>
      </w:r>
      <w:r>
        <w:rPr>
          <w:rFonts w:hint="eastAsia" w:ascii="Adobe 仿宋 Std R" w:hAnsi="Adobe 仿宋 Std R" w:eastAsia="Adobe 仿宋 Std R"/>
          <w:color w:val="auto"/>
          <w:sz w:val="32"/>
          <w:szCs w:val="32"/>
        </w:rPr>
        <w:t>立项依据</w:t>
      </w:r>
    </w:p>
    <w:p w14:paraId="1CF548A1">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为贯彻落实《江西省人民政府关于印发2023年民生实事安排方案的通知》（赣府发【2023】5号）和《江西省民生实事工程实施领导小组办公室关于印发2023年10件民生实事具体实施方案的通知》（赣民生办【2023】1号）工作要求。</w:t>
      </w:r>
    </w:p>
    <w:p w14:paraId="1804515C">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实施主体</w:t>
      </w:r>
    </w:p>
    <w:p w14:paraId="3EFFC178">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庐山市妇幼保健计划生育服务中心（庐山市妇幼保健院）</w:t>
      </w:r>
    </w:p>
    <w:p w14:paraId="6463CDC7">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实施方案</w:t>
      </w:r>
    </w:p>
    <w:p w14:paraId="66EF8F79">
      <w:pPr>
        <w:numPr>
          <w:ilvl w:val="0"/>
          <w:numId w:val="0"/>
        </w:numPr>
        <w:ind w:leftChars="0"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根据九江市卫生健康委员会 九江市教育局 九江市妇女联合会 九江市财政局《关于开展2024年度“为适龄女生免费接种人乳头瘤病毒疫苗”工作的通知》九卫妇幼字【2024】4号文件要求</w:t>
      </w:r>
      <w:r>
        <w:rPr>
          <w:rFonts w:hint="eastAsia" w:ascii="Adobe 仿宋 Std R" w:hAnsi="Adobe 仿宋 Std R" w:eastAsia="Adobe 仿宋 Std R"/>
          <w:color w:val="auto"/>
          <w:sz w:val="32"/>
          <w:szCs w:val="32"/>
        </w:rPr>
        <w:t>实施</w:t>
      </w:r>
    </w:p>
    <w:p w14:paraId="6F408CE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实施周期</w:t>
      </w:r>
    </w:p>
    <w:p w14:paraId="75AE90F9">
      <w:pPr>
        <w:numPr>
          <w:ilvl w:val="0"/>
          <w:numId w:val="0"/>
        </w:numPr>
        <w:ind w:firstLine="1280" w:firstLineChars="4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09675E0F">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年度预算安排</w:t>
      </w:r>
    </w:p>
    <w:p w14:paraId="1EB51113">
      <w:pPr>
        <w:numPr>
          <w:ilvl w:val="0"/>
          <w:numId w:val="0"/>
        </w:numPr>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 xml:space="preserve">        3.175万元。</w:t>
      </w:r>
    </w:p>
    <w:p w14:paraId="08C9F289">
      <w:pPr>
        <w:ind w:firstLine="321" w:firstLineChars="100"/>
        <w:rPr>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十五</w:t>
      </w: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计划生育技术服务“四术”</w:t>
      </w:r>
      <w:r>
        <w:rPr>
          <w:rStyle w:val="11"/>
          <w:rFonts w:hint="eastAsia" w:ascii="Adobe 仿宋 Std R" w:hAnsi="Adobe 仿宋 Std R" w:eastAsia="Adobe 仿宋 Std R"/>
          <w:b/>
          <w:color w:val="auto"/>
          <w:sz w:val="32"/>
          <w:szCs w:val="32"/>
        </w:rPr>
        <w:t>项目情况说明</w:t>
      </w:r>
    </w:p>
    <w:p w14:paraId="511F3C7D">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p>
    <w:p w14:paraId="607ED80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为优化人口结构，提高人口素养，促进家庭幸福与社会和谐，开展人口与计划生育科普知识宣传教育，提升计划生育服务技术，保障和改善民生，促进社会和谐。</w:t>
      </w:r>
    </w:p>
    <w:p w14:paraId="18FB73B6">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2CE6C90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根据江西省人口与计划生育条例2021年9月29日江西省第十三届人民代表大会常务委员会第三十二次会议第四次修订中第十五条规定。</w:t>
      </w:r>
    </w:p>
    <w:p w14:paraId="2AD8F58D">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实施主体</w:t>
      </w:r>
    </w:p>
    <w:p w14:paraId="506C4AE3">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庐山市妇幼保健计划生育服务中心（庐山市妇幼保健院）</w:t>
      </w:r>
    </w:p>
    <w:p w14:paraId="2A26B47C">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实施方案</w:t>
      </w:r>
    </w:p>
    <w:p w14:paraId="5CE1E311">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根据省卫生健康委 省计划生育协会《关于做好2024年江西基本避孕服务项目工作的通知》赣卫妇幼字【2024】17号、九江市卫生健康委员会 九江市计划生育协会《2024年九江市面给基本避孕手术工作方案》文件要求实施。</w:t>
      </w:r>
    </w:p>
    <w:p w14:paraId="6FDCDEAE">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实施周期</w:t>
      </w:r>
    </w:p>
    <w:p w14:paraId="2E741544">
      <w:pPr>
        <w:numPr>
          <w:ilvl w:val="0"/>
          <w:numId w:val="0"/>
        </w:numPr>
        <w:ind w:firstLine="1280" w:firstLineChars="4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544B39A2">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年度预算安排</w:t>
      </w:r>
    </w:p>
    <w:p w14:paraId="2E2F33AA">
      <w:pPr>
        <w:numPr>
          <w:ilvl w:val="0"/>
          <w:numId w:val="0"/>
        </w:numPr>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 xml:space="preserve">        2.615万元。</w:t>
      </w:r>
    </w:p>
    <w:p w14:paraId="65E2678B">
      <w:pPr>
        <w:numPr>
          <w:ilvl w:val="0"/>
          <w:numId w:val="0"/>
        </w:numPr>
        <w:rPr>
          <w:rFonts w:hint="default" w:ascii="Adobe 仿宋 Std R" w:hAnsi="Adobe 仿宋 Std R" w:eastAsia="Adobe 仿宋 Std R"/>
          <w:color w:val="auto"/>
          <w:sz w:val="32"/>
          <w:szCs w:val="32"/>
          <w:lang w:val="en-US" w:eastAsia="zh-CN"/>
        </w:rPr>
      </w:pPr>
    </w:p>
    <w:p w14:paraId="0B4D8C54">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378EA2B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庐山市妇幼保健计划生育服务中心（庐山市妇幼保健院）</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_</w:t>
      </w:r>
      <w:r>
        <w:rPr>
          <w:rFonts w:hint="eastAsia" w:ascii="仿宋" w:hAnsi="仿宋" w:eastAsia="仿宋"/>
          <w:bCs/>
          <w:color w:val="auto"/>
          <w:sz w:val="32"/>
          <w:szCs w:val="32"/>
        </w:rPr>
        <w:t>万元，其中：</w:t>
      </w:r>
    </w:p>
    <w:p w14:paraId="3D4E5CE3">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_</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_</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0EBFB4B">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_</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${page400644146.ds215660413_REP_BGT_T_HC1100002019_DXQ02_ZCSGGZ}</w:instrText>
      </w:r>
      <w:r>
        <w:rPr>
          <w:rFonts w:ascii="仿宋" w:hAnsi="仿宋" w:eastAsia="仿宋"/>
          <w:bCs/>
          <w:color w:val="auto"/>
          <w:sz w:val="32"/>
          <w:szCs w:val="32"/>
        </w:rPr>
        <w:fldChar w:fldCharType="end"/>
      </w:r>
    </w:p>
    <w:p w14:paraId="4ABACB0E">
      <w:pPr>
        <w:widowControl/>
        <w:spacing w:line="580" w:lineRule="exact"/>
        <w:ind w:firstLine="636"/>
        <w:jc w:val="left"/>
        <w:rPr>
          <w:rStyle w:val="11"/>
          <w:rFonts w:hint="eastAsia" w:ascii="仿宋" w:hAnsi="仿宋" w:eastAsia="仿宋"/>
          <w:color w:val="auto"/>
          <w:sz w:val="32"/>
          <w:szCs w:val="32"/>
        </w:rPr>
      </w:pPr>
    </w:p>
    <w:p w14:paraId="490A3954">
      <w:pPr>
        <w:widowControl/>
        <w:spacing w:line="580" w:lineRule="exact"/>
        <w:ind w:firstLine="636"/>
        <w:jc w:val="left"/>
        <w:rPr>
          <w:rStyle w:val="11"/>
          <w:rFonts w:hint="eastAsia" w:ascii="仿宋" w:hAnsi="仿宋" w:eastAsia="仿宋"/>
          <w:color w:val="auto"/>
          <w:sz w:val="32"/>
          <w:szCs w:val="32"/>
        </w:rPr>
      </w:pPr>
    </w:p>
    <w:p w14:paraId="1B007772">
      <w:pPr>
        <w:widowControl/>
        <w:shd w:val="clear" w:color="auto" w:fill="FFFFFF"/>
        <w:spacing w:line="640" w:lineRule="atLeast"/>
        <w:jc w:val="both"/>
        <w:rPr>
          <w:rFonts w:ascii="仿宋_GB2312" w:eastAsia="仿宋_GB2312"/>
          <w:b/>
          <w:color w:val="auto"/>
          <w:sz w:val="32"/>
          <w:szCs w:val="30"/>
        </w:rPr>
      </w:pPr>
    </w:p>
    <w:p w14:paraId="08F8B793">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18F25113">
      <w:pPr>
        <w:widowControl/>
        <w:numPr>
          <w:ilvl w:val="0"/>
          <w:numId w:val="5"/>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5EDF9FE">
      <w:pPr>
        <w:widowControl/>
        <w:numPr>
          <w:ilvl w:val="0"/>
          <w:numId w:val="5"/>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1DA4C345">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1F19F72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color w:val="auto"/>
          <w:sz w:val="32"/>
          <w:szCs w:val="32"/>
        </w:rPr>
      </w:pPr>
    </w:p>
    <w:p w14:paraId="5E849E46">
      <w:pPr>
        <w:ind w:firstLine="640" w:firstLineChars="200"/>
        <w:rPr>
          <w:rFonts w:ascii="Adobe 仿宋 Std R" w:hAnsi="Adobe 仿宋 Std R" w:eastAsia="Adobe 仿宋 Std R"/>
          <w:color w:val="auto"/>
          <w:sz w:val="32"/>
          <w:szCs w:val="32"/>
        </w:rPr>
      </w:pPr>
    </w:p>
    <w:p w14:paraId="5234610A">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4EE214C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7015DFCB">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auto"/>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C3E66"/>
    <w:multiLevelType w:val="singleLevel"/>
    <w:tmpl w:val="C08C3E66"/>
    <w:lvl w:ilvl="0" w:tentative="0">
      <w:start w:val="6"/>
      <w:numFmt w:val="chineseCounting"/>
      <w:lvlText w:val="(%1)"/>
      <w:lvlJc w:val="left"/>
      <w:pPr>
        <w:tabs>
          <w:tab w:val="left" w:pos="312"/>
        </w:tabs>
        <w:ind w:left="480" w:leftChars="0" w:firstLine="0" w:firstLineChars="0"/>
      </w:pPr>
      <w:rPr>
        <w:rFonts w:hint="eastAsia"/>
      </w:rPr>
    </w:lvl>
  </w:abstractNum>
  <w:abstractNum w:abstractNumId="1">
    <w:nsid w:val="F803C5F4"/>
    <w:multiLevelType w:val="singleLevel"/>
    <w:tmpl w:val="F803C5F4"/>
    <w:lvl w:ilvl="0" w:tentative="0">
      <w:start w:val="3"/>
      <w:numFmt w:val="decimal"/>
      <w:suff w:val="nothing"/>
      <w:lvlText w:val="%1）"/>
      <w:lvlJc w:val="left"/>
      <w:pPr>
        <w:ind w:left="840" w:leftChars="0" w:firstLine="0" w:firstLineChars="0"/>
      </w:pPr>
    </w:lvl>
  </w:abstractNum>
  <w:abstractNum w:abstractNumId="2">
    <w:nsid w:val="220CCFE2"/>
    <w:multiLevelType w:val="singleLevel"/>
    <w:tmpl w:val="220CCFE2"/>
    <w:lvl w:ilvl="0" w:tentative="0">
      <w:start w:val="2"/>
      <w:numFmt w:val="decimal"/>
      <w:suff w:val="nothing"/>
      <w:lvlText w:val="%1）"/>
      <w:lvlJc w:val="left"/>
      <w:pPr>
        <w:ind w:left="840" w:leftChars="0" w:firstLine="0" w:firstLineChars="0"/>
      </w:pPr>
    </w:lvl>
  </w:abstractNum>
  <w:abstractNum w:abstractNumId="3">
    <w:nsid w:val="25BB562F"/>
    <w:multiLevelType w:val="singleLevel"/>
    <w:tmpl w:val="25BB562F"/>
    <w:lvl w:ilvl="0" w:tentative="0">
      <w:start w:val="2"/>
      <w:numFmt w:val="decimal"/>
      <w:suff w:val="nothing"/>
      <w:lvlText w:val="%1）"/>
      <w:lvlJc w:val="left"/>
      <w:pPr>
        <w:ind w:left="630" w:leftChars="0" w:firstLine="0" w:firstLineChars="0"/>
      </w:pPr>
    </w:lvl>
  </w:abstractNum>
  <w:abstractNum w:abstractNumId="4">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4785EAF"/>
    <w:rsid w:val="04FB7127"/>
    <w:rsid w:val="067A6028"/>
    <w:rsid w:val="068F47B3"/>
    <w:rsid w:val="08EC3843"/>
    <w:rsid w:val="0A0925FF"/>
    <w:rsid w:val="0A0E59AE"/>
    <w:rsid w:val="0C0B585A"/>
    <w:rsid w:val="0C97247A"/>
    <w:rsid w:val="0D1A7920"/>
    <w:rsid w:val="0D2269B3"/>
    <w:rsid w:val="0DB3098E"/>
    <w:rsid w:val="0EA62D91"/>
    <w:rsid w:val="0F8F388E"/>
    <w:rsid w:val="11390774"/>
    <w:rsid w:val="119360D6"/>
    <w:rsid w:val="12220323"/>
    <w:rsid w:val="13FB007C"/>
    <w:rsid w:val="14261483"/>
    <w:rsid w:val="15284D87"/>
    <w:rsid w:val="159D39C7"/>
    <w:rsid w:val="16B036C0"/>
    <w:rsid w:val="19C84D8B"/>
    <w:rsid w:val="1A705E7F"/>
    <w:rsid w:val="1ABF2D84"/>
    <w:rsid w:val="1E172FD7"/>
    <w:rsid w:val="1E491A3B"/>
    <w:rsid w:val="1F1F7406"/>
    <w:rsid w:val="201D50F2"/>
    <w:rsid w:val="206D0602"/>
    <w:rsid w:val="22430342"/>
    <w:rsid w:val="22D66EA9"/>
    <w:rsid w:val="23977FB1"/>
    <w:rsid w:val="245C3447"/>
    <w:rsid w:val="25B931E9"/>
    <w:rsid w:val="28263441"/>
    <w:rsid w:val="2828673B"/>
    <w:rsid w:val="290B705B"/>
    <w:rsid w:val="29981D60"/>
    <w:rsid w:val="2B2339AC"/>
    <w:rsid w:val="2C57797E"/>
    <w:rsid w:val="2D406CBA"/>
    <w:rsid w:val="2F215DE3"/>
    <w:rsid w:val="304075B1"/>
    <w:rsid w:val="30A77050"/>
    <w:rsid w:val="311C29BA"/>
    <w:rsid w:val="318814ED"/>
    <w:rsid w:val="31931AC3"/>
    <w:rsid w:val="3328400E"/>
    <w:rsid w:val="34675474"/>
    <w:rsid w:val="351512FA"/>
    <w:rsid w:val="374647FA"/>
    <w:rsid w:val="39A3581F"/>
    <w:rsid w:val="39CE49D8"/>
    <w:rsid w:val="3A841EE9"/>
    <w:rsid w:val="3A9F1A72"/>
    <w:rsid w:val="3ACF1B11"/>
    <w:rsid w:val="3B023801"/>
    <w:rsid w:val="3B7D1841"/>
    <w:rsid w:val="3BA35A87"/>
    <w:rsid w:val="3BA6547C"/>
    <w:rsid w:val="3C67259F"/>
    <w:rsid w:val="3DD2151D"/>
    <w:rsid w:val="3F383632"/>
    <w:rsid w:val="3FA910A9"/>
    <w:rsid w:val="3FF84E58"/>
    <w:rsid w:val="4052753A"/>
    <w:rsid w:val="41737C65"/>
    <w:rsid w:val="42DC038C"/>
    <w:rsid w:val="43BF53DB"/>
    <w:rsid w:val="44AB5913"/>
    <w:rsid w:val="44F05012"/>
    <w:rsid w:val="45D833CA"/>
    <w:rsid w:val="464E5AFF"/>
    <w:rsid w:val="497C2A20"/>
    <w:rsid w:val="49E30CA1"/>
    <w:rsid w:val="4A5D31C1"/>
    <w:rsid w:val="4BF47196"/>
    <w:rsid w:val="4DB628F2"/>
    <w:rsid w:val="4E0B07C7"/>
    <w:rsid w:val="4E0D4F31"/>
    <w:rsid w:val="4EFF051F"/>
    <w:rsid w:val="4FF0236A"/>
    <w:rsid w:val="528E6F80"/>
    <w:rsid w:val="52EF06B7"/>
    <w:rsid w:val="53516268"/>
    <w:rsid w:val="538434F5"/>
    <w:rsid w:val="55924F68"/>
    <w:rsid w:val="55EE43AE"/>
    <w:rsid w:val="56570A4D"/>
    <w:rsid w:val="56C47F55"/>
    <w:rsid w:val="573A53AA"/>
    <w:rsid w:val="59E7033A"/>
    <w:rsid w:val="5AB93E8B"/>
    <w:rsid w:val="5C7E5DE0"/>
    <w:rsid w:val="5EA31F07"/>
    <w:rsid w:val="5EDA0640"/>
    <w:rsid w:val="5F193B70"/>
    <w:rsid w:val="615764B7"/>
    <w:rsid w:val="61D17BB5"/>
    <w:rsid w:val="61E31A71"/>
    <w:rsid w:val="62283DE4"/>
    <w:rsid w:val="62E775FD"/>
    <w:rsid w:val="6318544A"/>
    <w:rsid w:val="63E33020"/>
    <w:rsid w:val="656229B9"/>
    <w:rsid w:val="658856FB"/>
    <w:rsid w:val="66F16B8A"/>
    <w:rsid w:val="67B10C38"/>
    <w:rsid w:val="67DC7D34"/>
    <w:rsid w:val="68E97589"/>
    <w:rsid w:val="6A0E1913"/>
    <w:rsid w:val="6BE248E5"/>
    <w:rsid w:val="6C617282"/>
    <w:rsid w:val="6CCB135B"/>
    <w:rsid w:val="6EAF555B"/>
    <w:rsid w:val="6EDB6140"/>
    <w:rsid w:val="6F2C7111"/>
    <w:rsid w:val="714A36AC"/>
    <w:rsid w:val="71AF11DD"/>
    <w:rsid w:val="71C01745"/>
    <w:rsid w:val="71D84CE0"/>
    <w:rsid w:val="72746F20"/>
    <w:rsid w:val="73543105"/>
    <w:rsid w:val="73A85115"/>
    <w:rsid w:val="73F751C6"/>
    <w:rsid w:val="759E1500"/>
    <w:rsid w:val="7AA339B1"/>
    <w:rsid w:val="7B0408F4"/>
    <w:rsid w:val="7C1C38B8"/>
    <w:rsid w:val="7D0962B5"/>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5713</Words>
  <Characters>6127</Characters>
  <Lines>53</Lines>
  <Paragraphs>15</Paragraphs>
  <TotalTime>15</TotalTime>
  <ScaleCrop>false</ScaleCrop>
  <LinksUpToDate>false</LinksUpToDate>
  <CharactersWithSpaces>6226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2025-01-09T04:37:15Z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9167B8A9F2794A539C0B7BF99165181B_13</vt:lpwstr>
  </property>
  <property fmtid="{D5CDD505-2E9C-101B-9397-08002B2CF9AE}" pid="4" name="KSOTemplateDocerSaveRecord">
    <vt:lpwstr>eyJoZGlkIjoiMmRmZTYxNmFkYTMyNzJmMTg2ZDI0OTcyZDgwNzMyNTgifQ==</vt:lpwstr>
  </property>
</Properties>
</file>