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黑体"/>
          <w:b/>
          <w:bCs/>
          <w:sz w:val="44"/>
          <w:szCs w:val="52"/>
        </w:rPr>
        <w:t>庐山市</w:t>
      </w:r>
      <w:r>
        <w:rPr>
          <w:rFonts w:hint="eastAsia" w:ascii="黑体" w:hAnsi="黑体" w:eastAsia="黑体" w:cs="黑体"/>
          <w:b/>
          <w:bCs/>
          <w:sz w:val="44"/>
          <w:szCs w:val="52"/>
          <w:lang w:eastAsia="zh-CN"/>
        </w:rPr>
        <w:t>疾控中心</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 w:hAnsi="仿宋" w:eastAsia="仿宋" w:cs="仿宋"/>
          <w:b/>
          <w:bCs/>
          <w:color w:val="000000"/>
          <w:sz w:val="32"/>
          <w:szCs w:val="32"/>
        </w:rPr>
        <w:t xml:space="preserve"> </w:t>
      </w:r>
      <w:r>
        <w:rPr>
          <w:rFonts w:hint="eastAsia" w:ascii="仿宋_GB2312" w:hAnsi="仿宋_GB2312" w:eastAsia="仿宋_GB2312" w:cs="仿宋_GB2312"/>
          <w:b/>
          <w:bCs/>
          <w:sz w:val="32"/>
          <w:szCs w:val="32"/>
        </w:rPr>
        <w:t>庐山市</w:t>
      </w:r>
      <w:r>
        <w:rPr>
          <w:rFonts w:hint="eastAsia" w:ascii="仿宋_GB2312" w:hAnsi="仿宋_GB2312" w:eastAsia="仿宋_GB2312" w:cs="仿宋_GB2312"/>
          <w:b/>
          <w:bCs/>
          <w:sz w:val="32"/>
          <w:szCs w:val="32"/>
          <w:lang w:eastAsia="zh-CN"/>
        </w:rPr>
        <w:t>疾控中心</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 w:hAnsi="仿宋" w:eastAsia="仿宋" w:cs="仿宋"/>
          <w:b/>
          <w:bCs/>
          <w:color w:val="000000"/>
          <w:sz w:val="32"/>
          <w:szCs w:val="32"/>
        </w:rPr>
        <w:t xml:space="preserve"> </w:t>
      </w:r>
      <w:r>
        <w:rPr>
          <w:rFonts w:hint="eastAsia" w:ascii="仿宋_GB2312" w:hAnsi="仿宋_GB2312" w:eastAsia="仿宋_GB2312" w:cs="仿宋_GB2312"/>
          <w:b/>
          <w:bCs/>
          <w:sz w:val="32"/>
          <w:szCs w:val="32"/>
        </w:rPr>
        <w:t>庐山市</w:t>
      </w:r>
      <w:r>
        <w:rPr>
          <w:rFonts w:hint="eastAsia" w:ascii="仿宋_GB2312" w:hAnsi="仿宋_GB2312" w:eastAsia="仿宋_GB2312" w:cs="仿宋_GB2312"/>
          <w:b/>
          <w:bCs/>
          <w:sz w:val="32"/>
          <w:szCs w:val="32"/>
          <w:lang w:eastAsia="zh-CN"/>
        </w:rPr>
        <w:t>疾控中心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 w:hAnsi="仿宋" w:eastAsia="仿宋" w:cs="仿宋"/>
          <w:b/>
          <w:bCs/>
          <w:color w:val="000000"/>
          <w:sz w:val="32"/>
          <w:szCs w:val="32"/>
        </w:rPr>
        <w:t xml:space="preserve"> </w:t>
      </w:r>
      <w:r>
        <w:rPr>
          <w:rFonts w:hint="eastAsia" w:ascii="仿宋_GB2312" w:hAnsi="仿宋_GB2312" w:eastAsia="仿宋_GB2312" w:cs="仿宋_GB2312"/>
          <w:b/>
          <w:bCs/>
          <w:sz w:val="32"/>
          <w:szCs w:val="32"/>
        </w:rPr>
        <w:t>庐山市</w:t>
      </w:r>
      <w:r>
        <w:rPr>
          <w:rFonts w:hint="eastAsia" w:ascii="仿宋_GB2312" w:hAnsi="仿宋_GB2312" w:eastAsia="仿宋_GB2312" w:cs="仿宋_GB2312"/>
          <w:b/>
          <w:bCs/>
          <w:sz w:val="32"/>
          <w:szCs w:val="32"/>
          <w:lang w:eastAsia="zh-CN"/>
        </w:rPr>
        <w:t>疾控中心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庐山市疾控中心</w:t>
      </w:r>
      <w:r>
        <w:rPr>
          <w:color w:val="0000FF"/>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4C803F78">
      <w:pPr>
        <w:numPr>
          <w:ilvl w:val="0"/>
          <w:numId w:val="0"/>
        </w:numPr>
        <w:rPr>
          <w:rFonts w:hint="eastAsia" w:ascii="仿宋" w:hAnsi="仿宋" w:eastAsia="仿宋" w:cs="仿宋"/>
          <w:sz w:val="32"/>
          <w:szCs w:val="32"/>
          <w:lang w:val="en-US" w:eastAsia="zh-CN"/>
        </w:rPr>
      </w:pPr>
      <w:r>
        <w:rPr>
          <w:rFonts w:hint="eastAsia" w:asciiTheme="minorEastAsia" w:hAnsiTheme="minorEastAsia"/>
          <w:b/>
          <w:sz w:val="36"/>
          <w:szCs w:val="36"/>
        </w:rPr>
        <w:t>一、单位主要职责</w:t>
      </w:r>
    </w:p>
    <w:p w14:paraId="2926B5AF">
      <w:pPr>
        <w:numPr>
          <w:ilvl w:val="0"/>
          <w:numId w:val="1"/>
        </w:numPr>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疾病预防与控制。</w:t>
      </w:r>
    </w:p>
    <w:p w14:paraId="0A53586B">
      <w:pPr>
        <w:numPr>
          <w:ilvl w:val="0"/>
          <w:numId w:val="1"/>
        </w:numPr>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突发公共卫生事件应急处置。</w:t>
      </w:r>
    </w:p>
    <w:p w14:paraId="00D388E4">
      <w:pPr>
        <w:numPr>
          <w:ilvl w:val="0"/>
          <w:numId w:val="1"/>
        </w:numPr>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疫情及健康相关因素信息管理。</w:t>
      </w:r>
    </w:p>
    <w:p w14:paraId="7B5D2DF6">
      <w:pPr>
        <w:numPr>
          <w:ilvl w:val="0"/>
          <w:numId w:val="1"/>
        </w:numPr>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健康危害因素监测与干预。</w:t>
      </w:r>
    </w:p>
    <w:p w14:paraId="4597EFA7">
      <w:pPr>
        <w:numPr>
          <w:ilvl w:val="0"/>
          <w:numId w:val="1"/>
        </w:numPr>
        <w:ind w:firstLine="63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实验室检测检验与评价。</w:t>
      </w:r>
    </w:p>
    <w:p w14:paraId="1B197843">
      <w:pPr>
        <w:numPr>
          <w:ilvl w:val="0"/>
          <w:numId w:val="1"/>
        </w:numPr>
        <w:ind w:firstLine="630"/>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健康教育与健康促进。</w:t>
      </w:r>
    </w:p>
    <w:p w14:paraId="6A2A716D">
      <w:pPr>
        <w:rPr>
          <w:b/>
          <w:sz w:val="36"/>
          <w:szCs w:val="36"/>
        </w:rPr>
      </w:pPr>
      <w:r>
        <w:rPr>
          <w:rFonts w:hint="eastAsia"/>
          <w:b/>
          <w:sz w:val="36"/>
          <w:szCs w:val="36"/>
        </w:rPr>
        <w:t>二、机构设置及人员情况</w:t>
      </w:r>
    </w:p>
    <w:p w14:paraId="00A50D4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b w:val="0"/>
          <w:bCs w:val="0"/>
          <w:sz w:val="32"/>
          <w:szCs w:val="32"/>
        </w:rPr>
        <w:t>庐山市</w:t>
      </w:r>
      <w:r>
        <w:rPr>
          <w:rFonts w:hint="eastAsia" w:ascii="仿宋" w:hAnsi="仿宋" w:eastAsia="仿宋" w:cs="仿宋"/>
          <w:b w:val="0"/>
          <w:bCs w:val="0"/>
          <w:sz w:val="32"/>
          <w:szCs w:val="32"/>
          <w:lang w:eastAsia="zh-CN"/>
        </w:rPr>
        <w:t>疾控中心</w:t>
      </w:r>
      <w:r>
        <w:rPr>
          <w:rFonts w:hint="eastAsia" w:ascii="仿宋" w:hAnsi="仿宋" w:eastAsia="仿宋" w:cs="仿宋"/>
          <w:sz w:val="32"/>
          <w:szCs w:val="32"/>
        </w:rPr>
        <w:t>内设处室</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9</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个，包括：</w:t>
      </w:r>
      <w:r>
        <w:rPr>
          <w:rFonts w:hint="eastAsia" w:ascii="仿宋" w:hAnsi="仿宋" w:eastAsia="仿宋" w:cs="仿宋"/>
          <w:sz w:val="32"/>
          <w:szCs w:val="32"/>
          <w:lang w:eastAsia="zh-CN"/>
        </w:rPr>
        <w:t>疾控科、免规科、检验科、卫生监测科、监督一科、监督二科、协管科、健康教育科及办公室。</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36</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47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47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_</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29</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庐山市疾控中心</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庐山市疾控中心</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75E05253">
      <w:pPr>
        <w:widowControl/>
        <w:ind w:firstLine="640" w:firstLineChars="200"/>
        <w:rPr>
          <w:rFonts w:hint="eastAsia" w:ascii="仿宋" w:hAnsi="仿宋" w:eastAsia="仿宋" w:cs="仿宋"/>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00FF"/>
          <w:kern w:val="0"/>
          <w:sz w:val="32"/>
          <w:szCs w:val="32"/>
        </w:rPr>
        <w:fldChar w:fldCharType="begin"/>
      </w:r>
      <w:r>
        <w:rPr>
          <w:rFonts w:ascii="仿宋" w:hAnsi="仿宋" w:eastAsia="仿宋" w:cs="Times New Roman"/>
          <w:color w:val="0000FF"/>
          <w:kern w:val="0"/>
          <w:sz w:val="32"/>
          <w:szCs w:val="32"/>
        </w:rPr>
        <w:instrText xml:space="preserve">MERGEFIELD ${page540426799.ds254512694_REP_JXJC_AGENCY_WZR_NAME}</w:instrText>
      </w:r>
      <w:r>
        <w:rPr>
          <w:rFonts w:ascii="仿宋" w:hAnsi="仿宋" w:eastAsia="仿宋" w:cs="Times New Roman"/>
          <w:color w:val="0000FF"/>
          <w:kern w:val="0"/>
          <w:sz w:val="32"/>
          <w:szCs w:val="32"/>
        </w:rPr>
        <w:fldChar w:fldCharType="separate"/>
      </w:r>
      <w:r>
        <w:rPr>
          <w:rFonts w:hint="eastAsia" w:ascii="仿宋" w:hAnsi="仿宋" w:eastAsia="仿宋" w:cs="Times New Roman"/>
          <w:color w:val="0000FF"/>
          <w:kern w:val="0"/>
          <w:sz w:val="32"/>
          <w:szCs w:val="32"/>
          <w:lang w:eastAsia="zh-CN"/>
        </w:rPr>
        <w:t>庐山市疾控中心</w:t>
      </w:r>
      <w:r>
        <w:rPr>
          <w:color w:val="0000FF"/>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2084.98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34.26</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820.48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136.25</w:t>
      </w:r>
      <w:r>
        <w:rPr>
          <w:rFonts w:ascii="仿宋" w:hAnsi="仿宋" w:eastAsia="仿宋" w:cs="Times New Roman"/>
          <w:kern w:val="0"/>
          <w:sz w:val="32"/>
          <w:szCs w:val="32"/>
        </w:rPr>
        <w:t>万元。</w:t>
      </w:r>
      <w:r>
        <w:fldChar w:fldCharType="end"/>
      </w:r>
      <w:r>
        <w:rPr>
          <w:rFonts w:hint="eastAsia" w:ascii="仿宋" w:hAnsi="仿宋" w:eastAsia="仿宋" w:cs="仿宋"/>
          <w:kern w:val="0"/>
          <w:sz w:val="32"/>
          <w:szCs w:val="32"/>
          <w:lang w:eastAsia="zh-CN"/>
        </w:rPr>
        <w:t>增幅</w:t>
      </w:r>
      <w:r>
        <w:rPr>
          <w:rFonts w:hint="eastAsia" w:ascii="仿宋" w:hAnsi="仿宋" w:eastAsia="仿宋" w:cs="仿宋"/>
          <w:kern w:val="0"/>
          <w:sz w:val="32"/>
          <w:szCs w:val="32"/>
          <w:lang w:val="en-US" w:eastAsia="zh-CN"/>
        </w:rPr>
        <w:t>19.91%</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增加变化原因人员增加，薪资、社保及住房公积金正常调整调标。</w:t>
      </w:r>
    </w:p>
    <w:p w14:paraId="172065AB">
      <w:pPr>
        <w:widowControl/>
        <w:ind w:firstLine="640" w:firstLineChars="200"/>
        <w:rPr>
          <w:rFonts w:hint="default" w:ascii="仿宋" w:hAnsi="仿宋" w:cs="Times New Roman" w:eastAsiaTheme="minorEastAsia"/>
          <w:color w:val="FF0000"/>
          <w:kern w:val="0"/>
          <w:sz w:val="32"/>
          <w:szCs w:val="32"/>
          <w:lang w:val="en-US" w:eastAsia="zh-CN"/>
        </w:rPr>
      </w:pP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${page540426799.ds254512694_REP_JXJC_AGENCY_WZR_NAME}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庐山市疾控中心</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2084.98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34.26</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增加变化原因为为</w:t>
      </w:r>
      <w:r>
        <w:rPr>
          <w:rFonts w:hint="eastAsia" w:ascii="仿宋" w:hAnsi="仿宋" w:eastAsia="仿宋" w:cs="仿宋"/>
          <w:kern w:val="0"/>
          <w:sz w:val="32"/>
          <w:szCs w:val="32"/>
          <w:lang w:val="en-US" w:eastAsia="zh-CN"/>
        </w:rPr>
        <w:t>人员变动，薪资、社保及住房公积金正常调整调标</w:t>
      </w:r>
      <w:r>
        <w:rPr>
          <w:rFonts w:hint="eastAsia" w:ascii="仿宋" w:hAnsi="仿宋" w:eastAsia="仿宋" w:cs="Times New Roman"/>
          <w:kern w:val="0"/>
          <w:sz w:val="32"/>
          <w:szCs w:val="32"/>
          <w:lang w:val="en-US" w:eastAsia="zh-CN"/>
        </w:rPr>
        <w:t>。</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FF0000"/>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685.91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19.94</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559.2</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51.24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75.46</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1399.07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165.15</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1315.79</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13</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86.41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17.68</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1951.88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3.85</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46.7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12.74</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621.2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125.18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1367.03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131.51</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83.74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75.6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35.02</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FF"/>
          <w:sz w:val="32"/>
          <w:szCs w:val="32"/>
        </w:rPr>
        <w:fldChar w:fldCharType="begin"/>
      </w:r>
      <w:r>
        <w:rPr>
          <w:rStyle w:val="11"/>
          <w:rFonts w:ascii="仿宋" w:hAnsi="仿宋" w:eastAsia="仿宋"/>
          <w:color w:val="0000FF"/>
          <w:sz w:val="32"/>
          <w:szCs w:val="32"/>
        </w:rPr>
        <w:instrText xml:space="preserve">MERGEFIELD ${page540426799.ds254512694_REP_JXJC_AGENCY_WZR_NAME}</w:instrText>
      </w:r>
      <w:r>
        <w:rPr>
          <w:rStyle w:val="11"/>
          <w:rFonts w:ascii="仿宋" w:hAnsi="仿宋" w:eastAsia="仿宋"/>
          <w:color w:val="0000FF"/>
          <w:sz w:val="32"/>
          <w:szCs w:val="32"/>
        </w:rPr>
        <w:fldChar w:fldCharType="separate"/>
      </w:r>
      <w:r>
        <w:rPr>
          <w:rStyle w:val="11"/>
          <w:rFonts w:hint="eastAsia" w:ascii="仿宋" w:hAnsi="仿宋" w:eastAsia="仿宋"/>
          <w:color w:val="0000FF"/>
          <w:sz w:val="32"/>
          <w:szCs w:val="32"/>
          <w:lang w:eastAsia="zh-CN"/>
        </w:rPr>
        <w:t>庐山市疾控中心</w:t>
      </w:r>
      <w:r>
        <w:rPr>
          <w:color w:val="0000FF"/>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820.48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136.25</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仿宋"/>
          <w:kern w:val="0"/>
          <w:sz w:val="32"/>
          <w:szCs w:val="32"/>
          <w:lang w:val="en-US" w:eastAsia="zh-CN"/>
        </w:rPr>
        <w:t>人员增加，薪资、社保及住房公积金正常调整调标</w:t>
      </w:r>
      <w:r>
        <w:rPr>
          <w:rFonts w:hint="eastAsia" w:ascii="仿宋" w:hAnsi="仿宋" w:eastAsia="仿宋" w:cs="Times New Roman"/>
          <w:kern w:val="0"/>
          <w:sz w:val="32"/>
          <w:szCs w:val="32"/>
          <w:lang w:val="en-US" w:eastAsia="zh-CN"/>
        </w:rPr>
        <w:t>。</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FF0000"/>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86.41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17.68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687.38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105.84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46.7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12.74</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FF0000"/>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685.91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199.4</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559.2</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51.24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75.46</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134.57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63.15</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97.07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3</w:t>
      </w:r>
      <w:r>
        <w:rPr>
          <w:rStyle w:val="11"/>
          <w:rFonts w:ascii="仿宋" w:hAnsi="仿宋" w:eastAsia="仿宋"/>
          <w:sz w:val="32"/>
          <w:szCs w:val="32"/>
        </w:rPr>
        <w:t>万元。</w:t>
      </w:r>
      <w:r>
        <w:fldChar w:fldCharType="end"/>
      </w:r>
    </w:p>
    <w:p w14:paraId="30CBFFCB">
      <w:pPr>
        <w:ind w:firstLine="420" w:firstLineChars="200"/>
      </w:pPr>
    </w:p>
    <w:p w14:paraId="0B4F38DD">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ascii="仿宋" w:hAnsi="仿宋" w:eastAsia="仿宋"/>
          <w:color w:val="FF0000"/>
          <w:sz w:val="32"/>
          <w:szCs w:val="32"/>
        </w:rPr>
      </w:pPr>
      <w:r>
        <w:rPr>
          <w:rStyle w:val="11"/>
          <w:rFonts w:hint="eastAsia" w:ascii="仿宋" w:hAnsi="仿宋" w:eastAsia="仿宋"/>
          <w:b w:val="0"/>
          <w:bCs/>
          <w:color w:val="auto"/>
          <w:sz w:val="32"/>
          <w:szCs w:val="32"/>
        </w:rPr>
        <w:t>本单位没有使用政府性基金预算拨款安排的支出</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A93763D">
      <w:pPr>
        <w:widowControl/>
        <w:ind w:firstLine="640" w:firstLineChars="200"/>
        <w:rPr>
          <w:rStyle w:val="11"/>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单位</w:t>
      </w:r>
      <w:r>
        <w:rPr>
          <w:rStyle w:val="11"/>
          <w:rFonts w:hint="eastAsia" w:ascii="Adobe 仿宋 Std R" w:hAnsi="Adobe 仿宋 Std R" w:eastAsia="Adobe 仿宋 Std R"/>
          <w:color w:val="auto"/>
          <w:sz w:val="32"/>
          <w:szCs w:val="32"/>
        </w:rPr>
        <w:t>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8386E99">
      <w:pPr>
        <w:widowControl/>
        <w:spacing w:line="580" w:lineRule="exact"/>
        <w:ind w:firstLine="636"/>
        <w:jc w:val="left"/>
        <w:rPr>
          <w:rFonts w:hint="eastAsia" w:ascii="Adobe 仿宋 Std R" w:hAnsi="Adobe 仿宋 Std R" w:eastAsia="Adobe 仿宋 Std R"/>
          <w:b w:val="0"/>
          <w:bCs/>
          <w:color w:val="auto"/>
          <w:sz w:val="32"/>
          <w:szCs w:val="32"/>
          <w:lang w:eastAsia="zh-CN"/>
        </w:rPr>
      </w:pPr>
      <w:r>
        <w:rPr>
          <w:rStyle w:val="11"/>
          <w:rFonts w:hint="eastAsia" w:ascii="Adobe 仿宋 Std R" w:hAnsi="Adobe 仿宋 Std R" w:eastAsia="Adobe 仿宋 Std R"/>
          <w:b w:val="0"/>
          <w:bCs/>
          <w:color w:val="auto"/>
          <w:sz w:val="32"/>
          <w:szCs w:val="32"/>
        </w:rPr>
        <w:t>本单位非行政参公单位，无机关运行经费</w:t>
      </w:r>
    </w:p>
    <w:p w14:paraId="2058FC9E">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13.92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0.92</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bookmarkStart w:id="0" w:name="_GoBack"/>
      <w:bookmarkEnd w:id="0"/>
      <w:r>
        <w:rPr>
          <w:rFonts w:hint="eastAsia" w:ascii="仿宋_GB2312" w:eastAsia="仿宋_GB2312"/>
          <w:sz w:val="32"/>
          <w:szCs w:val="30"/>
          <w:u w:val="single"/>
        </w:rPr>
        <w:t xml:space="preserve">            </w:t>
      </w:r>
      <w:r>
        <w:rPr>
          <w:rFonts w:hint="eastAsia" w:ascii="仿宋_GB2312" w:eastAsia="仿宋_GB2312"/>
          <w:sz w:val="32"/>
          <w:szCs w:val="30"/>
        </w:rPr>
        <w:t>。</w:t>
      </w:r>
    </w:p>
    <w:p w14:paraId="5B0ACDBF">
      <w:pPr>
        <w:ind w:firstLine="321" w:firstLineChars="100"/>
        <w:rPr>
          <w:rStyle w:val="11"/>
          <w:rFonts w:ascii="Adobe 仿宋 Std R" w:hAnsi="Adobe 仿宋 Std R" w:eastAsia="Adobe 仿宋 Std R"/>
          <w:b/>
          <w:color w:val="FF0000"/>
          <w:sz w:val="32"/>
          <w:szCs w:val="32"/>
        </w:rPr>
      </w:pPr>
    </w:p>
    <w:p w14:paraId="7C698E59">
      <w:pPr>
        <w:ind w:firstLine="321" w:firstLineChars="100"/>
        <w:rPr>
          <w:rStyle w:val="11"/>
          <w:rFonts w:ascii="Adobe 仿宋 Std R" w:hAnsi="Adobe 仿宋 Std R" w:eastAsia="Adobe 仿宋 Std R"/>
          <w:b/>
          <w:sz w:val="32"/>
          <w:szCs w:val="32"/>
        </w:rPr>
      </w:pPr>
    </w:p>
    <w:p w14:paraId="4400133E">
      <w:pPr>
        <w:ind w:firstLine="321" w:firstLineChars="100"/>
        <w:rPr>
          <w:rStyle w:val="11"/>
          <w:rFonts w:ascii="Adobe 仿宋 Std R" w:hAnsi="Adobe 仿宋 Std R" w:eastAsia="Adobe 仿宋 Std R"/>
          <w:b/>
          <w:sz w:val="32"/>
          <w:szCs w:val="32"/>
        </w:rPr>
      </w:pP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特定目标类</w:t>
      </w:r>
      <w:r>
        <w:rPr>
          <w:rStyle w:val="11"/>
          <w:rFonts w:hint="eastAsia" w:ascii="Adobe 仿宋 Std R" w:hAnsi="Adobe 仿宋 Std R" w:eastAsia="Adobe 仿宋 Std R"/>
          <w:b/>
          <w:sz w:val="32"/>
          <w:szCs w:val="32"/>
        </w:rPr>
        <w:t>项目情况说明</w:t>
      </w:r>
    </w:p>
    <w:p w14:paraId="61825B65">
      <w:pPr>
        <w:widowControl/>
        <w:spacing w:line="580" w:lineRule="exact"/>
        <w:ind w:firstLine="636"/>
        <w:jc w:val="left"/>
        <w:rPr>
          <w:rStyle w:val="11"/>
          <w:rFonts w:hint="eastAsia" w:ascii="仿宋" w:hAnsi="仿宋" w:eastAsia="仿宋"/>
          <w:color w:val="FF0000"/>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 xml:space="preserve">疾病防控、卫生应急等专业业务活动收入及其他收入   </w:t>
      </w:r>
    </w:p>
    <w:p w14:paraId="2838DC1C">
      <w:p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事业单位经营收入（医疗收入及其他收入等），及时支付疫苗、药品等购置款，妥善应对各种传染病的发生，保障单位人员和工作正常开展</w:t>
      </w:r>
      <w:r>
        <w:rPr>
          <w:rFonts w:hint="eastAsia" w:ascii="Adobe 仿宋 Std R" w:hAnsi="Adobe 仿宋 Std R" w:eastAsia="Adobe 仿宋 Std R"/>
          <w:sz w:val="32"/>
          <w:szCs w:val="32"/>
          <w:lang w:eastAsia="zh-CN"/>
        </w:rPr>
        <w:t>。</w:t>
      </w:r>
    </w:p>
    <w:p w14:paraId="4B8424F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：根据上年单位资金预估经财政审批</w:t>
      </w:r>
    </w:p>
    <w:p w14:paraId="4CD0EC0B">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：庐山市疾病预防控制中心</w:t>
      </w:r>
    </w:p>
    <w:p w14:paraId="2B578B9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：规范工作程序，提高工作效率，及时支付二类疫苗及药品等购置款，妥善应对各种传染病的发生。提高群众防病意识、治病意识，提高防控疫情抗疫能力，保障人员及业务工作正常运转。</w:t>
      </w:r>
    </w:p>
    <w:p w14:paraId="4151C8A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w:t>
      </w:r>
    </w:p>
    <w:p w14:paraId="7CD845B1">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1264.5万元</w:t>
      </w:r>
    </w:p>
    <w:p w14:paraId="1E90963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健康体检、卫生监测、检测等卫生健康项目</w:t>
      </w:r>
    </w:p>
    <w:p w14:paraId="5591DFC5">
      <w:p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公共卫生服务（我市从业人员约9000人进行免费健康体检、10家公共场所、14家医疗机构及120份水样进行免费卫生监测、检测）</w:t>
      </w:r>
      <w:r>
        <w:rPr>
          <w:rFonts w:hint="eastAsia" w:ascii="Adobe 仿宋 Std R" w:hAnsi="Adobe 仿宋 Std R" w:eastAsia="Adobe 仿宋 Std R"/>
          <w:sz w:val="32"/>
          <w:szCs w:val="32"/>
          <w:lang w:eastAsia="zh-CN"/>
        </w:rPr>
        <w:t>。</w:t>
      </w:r>
    </w:p>
    <w:p w14:paraId="6551B72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庐卫文【2023】56号关于将部分卫生健康项目资金列入财政以后年度预算</w:t>
      </w:r>
      <w:r>
        <w:rPr>
          <w:rFonts w:hint="eastAsia" w:ascii="Adobe 仿宋 Std R" w:hAnsi="Adobe 仿宋 Std R" w:eastAsia="Adobe 仿宋 Std R"/>
          <w:sz w:val="32"/>
          <w:szCs w:val="32"/>
          <w:lang w:eastAsia="zh-CN"/>
        </w:rPr>
        <w:t>经财政审批核算</w:t>
      </w:r>
    </w:p>
    <w:p w14:paraId="6DAEB20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：庐山市疾病预防控制中心</w:t>
      </w:r>
    </w:p>
    <w:p w14:paraId="1BFCBC4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：对我市公共场所、食品行业从业人员约9000人进行免费健康体检。对全市10家公共场所、14家医疗机构及120份水样进行免费卫生监测、检测。开展疾控业务专业指导评价、工作场所监测覆盖率达</w:t>
      </w:r>
      <w:r>
        <w:rPr>
          <w:rFonts w:hint="eastAsia" w:ascii="Adobe 仿宋 Std R" w:hAnsi="Adobe 仿宋 Std R" w:eastAsia="Adobe 仿宋 Std R"/>
          <w:sz w:val="32"/>
          <w:szCs w:val="32"/>
          <w:lang w:val="en-US" w:eastAsia="zh-CN"/>
        </w:rPr>
        <w:t>100%。</w:t>
      </w:r>
    </w:p>
    <w:p w14:paraId="7635FAF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w:t>
      </w:r>
    </w:p>
    <w:p w14:paraId="40A6CAB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50万元</w:t>
      </w:r>
    </w:p>
    <w:p w14:paraId="53BB9B0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3、为适龄女生免费接种人乳头瘤病毒疫苗</w:t>
      </w:r>
    </w:p>
    <w:p w14:paraId="4EB922FE">
      <w:p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项目概述</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为处于初中阶段、未满14周岁、未接种过HPV疫苗的女学生免费接种国产二价HPV疫苗</w:t>
      </w:r>
      <w:r>
        <w:rPr>
          <w:rFonts w:hint="eastAsia" w:ascii="仿宋" w:hAnsi="仿宋" w:eastAsia="仿宋" w:cs="仿宋"/>
          <w:sz w:val="32"/>
          <w:szCs w:val="32"/>
          <w:lang w:eastAsia="zh-CN"/>
        </w:rPr>
        <w:t>购置成本</w:t>
      </w:r>
      <w:r>
        <w:rPr>
          <w:rFonts w:hint="eastAsia" w:ascii="Adobe 仿宋 Std R" w:hAnsi="Adobe 仿宋 Std R" w:eastAsia="Adobe 仿宋 Std R"/>
          <w:sz w:val="32"/>
          <w:szCs w:val="32"/>
        </w:rPr>
        <w:t>。</w:t>
      </w:r>
    </w:p>
    <w:p w14:paraId="4B5121ED">
      <w:pPr>
        <w:ind w:left="638" w:leftChars="304"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：庐卫文[2023]43号文适龄女生免费接种人乳头瘤病毒疫苗</w:t>
      </w:r>
      <w:r>
        <w:rPr>
          <w:rFonts w:hint="eastAsia" w:ascii="Adobe 仿宋 Std R" w:hAnsi="Adobe 仿宋 Std R" w:eastAsia="Adobe 仿宋 Std R"/>
          <w:sz w:val="32"/>
          <w:szCs w:val="32"/>
        </w:rPr>
        <w:t xml:space="preserve"> </w:t>
      </w:r>
    </w:p>
    <w:p w14:paraId="1DEE3E32">
      <w:pPr>
        <w:ind w:left="638" w:leftChars="304"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：庐山市疾病预防控制中心</w:t>
      </w:r>
    </w:p>
    <w:p w14:paraId="2A01A5D0">
      <w:pPr>
        <w:ind w:firstLine="640" w:firstLineChars="200"/>
        <w:rPr>
          <w:rFonts w:hint="eastAsia" w:ascii="仿宋" w:hAnsi="仿宋" w:eastAsia="仿宋" w:cs="仿宋"/>
          <w:i w:val="0"/>
          <w:iCs w:val="0"/>
          <w:caps w:val="0"/>
          <w:color w:val="333333"/>
          <w:spacing w:val="0"/>
          <w:sz w:val="32"/>
          <w:szCs w:val="32"/>
          <w:shd w:val="clear" w:fill="EDF4FF"/>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：按规定</w:t>
      </w:r>
      <w:r>
        <w:rPr>
          <w:rFonts w:hint="eastAsia" w:ascii="仿宋" w:hAnsi="仿宋" w:eastAsia="仿宋" w:cs="仿宋"/>
          <w:sz w:val="32"/>
          <w:szCs w:val="32"/>
        </w:rPr>
        <w:t>为处于初中阶段、未满14周岁、未接种过HPV疫苗的女学生</w:t>
      </w:r>
      <w:r>
        <w:rPr>
          <w:rFonts w:hint="eastAsia" w:ascii="仿宋" w:hAnsi="仿宋" w:eastAsia="仿宋" w:cs="仿宋"/>
          <w:sz w:val="32"/>
          <w:szCs w:val="32"/>
          <w:lang w:eastAsia="zh-CN"/>
        </w:rPr>
        <w:t>约</w:t>
      </w:r>
      <w:r>
        <w:rPr>
          <w:rFonts w:hint="eastAsia" w:ascii="仿宋" w:hAnsi="仿宋" w:eastAsia="仿宋" w:cs="仿宋"/>
          <w:sz w:val="32"/>
          <w:szCs w:val="32"/>
          <w:lang w:val="en-US" w:eastAsia="zh-CN"/>
        </w:rPr>
        <w:t>4300人</w:t>
      </w:r>
      <w:r>
        <w:rPr>
          <w:rFonts w:hint="eastAsia" w:ascii="仿宋" w:hAnsi="仿宋" w:eastAsia="仿宋" w:cs="仿宋"/>
          <w:sz w:val="32"/>
          <w:szCs w:val="32"/>
        </w:rPr>
        <w:t>免费接种国产二价HPV</w:t>
      </w:r>
      <w:r>
        <w:rPr>
          <w:rFonts w:hint="eastAsia" w:ascii="仿宋" w:hAnsi="仿宋" w:eastAsia="仿宋" w:cs="仿宋"/>
          <w:sz w:val="32"/>
          <w:szCs w:val="32"/>
          <w:lang w:eastAsia="zh-CN"/>
        </w:rPr>
        <w:t>购置疫苗。</w:t>
      </w:r>
    </w:p>
    <w:p w14:paraId="159887E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w:t>
      </w:r>
    </w:p>
    <w:p w14:paraId="7BCA17F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34.5744万元</w:t>
      </w:r>
    </w:p>
    <w:p w14:paraId="4CC5798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4、非免疫规划疫苗储运费</w:t>
      </w:r>
    </w:p>
    <w:p w14:paraId="7156E09F">
      <w:pPr>
        <w:ind w:firstLine="640" w:firstLineChars="2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项目概述</w:t>
      </w:r>
      <w:r>
        <w:rPr>
          <w:rFonts w:hint="eastAsia" w:ascii="Adobe 仿宋 Std R" w:hAnsi="Adobe 仿宋 Std R" w:eastAsia="Adobe 仿宋 Std R"/>
          <w:sz w:val="32"/>
          <w:szCs w:val="32"/>
          <w:lang w:eastAsia="zh-CN"/>
        </w:rPr>
        <w:t>：</w:t>
      </w:r>
      <w:r>
        <w:rPr>
          <w:rFonts w:hint="eastAsia" w:ascii="仿宋" w:hAnsi="仿宋" w:eastAsia="仿宋" w:cs="仿宋"/>
          <w:sz w:val="32"/>
          <w:szCs w:val="32"/>
          <w:lang w:eastAsia="zh-CN"/>
        </w:rPr>
        <w:t>累计缴库疫苗储运费用于单位正常运转购置疫苗和保障人员经费</w:t>
      </w:r>
      <w:r>
        <w:rPr>
          <w:rFonts w:hint="eastAsia" w:ascii="Adobe 仿宋 Std R" w:hAnsi="Adobe 仿宋 Std R" w:eastAsia="Adobe 仿宋 Std R"/>
          <w:sz w:val="32"/>
          <w:szCs w:val="32"/>
        </w:rPr>
        <w:t>。</w:t>
      </w:r>
    </w:p>
    <w:p w14:paraId="52D37DDA">
      <w:pPr>
        <w:ind w:left="638" w:leftChars="304" w:firstLine="0" w:firstLine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：根据非税资金预估经财政审批</w:t>
      </w:r>
      <w:r>
        <w:rPr>
          <w:rFonts w:hint="eastAsia" w:ascii="Adobe 仿宋 Std R" w:hAnsi="Adobe 仿宋 Std R" w:eastAsia="Adobe 仿宋 Std R"/>
          <w:sz w:val="32"/>
          <w:szCs w:val="32"/>
          <w:lang w:val="en-US" w:eastAsia="zh-CN"/>
        </w:rPr>
        <w:t xml:space="preserve"> </w:t>
      </w:r>
    </w:p>
    <w:p w14:paraId="637AA5FA">
      <w:pPr>
        <w:ind w:left="638" w:leftChars="304"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：庐山市疾病预防控制中心</w:t>
      </w:r>
    </w:p>
    <w:p w14:paraId="77C3F730">
      <w:pPr>
        <w:ind w:firstLine="640" w:firstLineChars="200"/>
        <w:rPr>
          <w:rFonts w:hint="eastAsia" w:ascii="仿宋" w:hAnsi="仿宋" w:eastAsia="仿宋" w:cs="仿宋"/>
          <w:i w:val="0"/>
          <w:iCs w:val="0"/>
          <w:caps w:val="0"/>
          <w:color w:val="333333"/>
          <w:spacing w:val="0"/>
          <w:sz w:val="32"/>
          <w:szCs w:val="32"/>
          <w:shd w:val="clear" w:fill="EDF4FF"/>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：单位</w:t>
      </w:r>
      <w:r>
        <w:rPr>
          <w:rFonts w:hint="eastAsia" w:ascii="仿宋" w:hAnsi="仿宋" w:eastAsia="仿宋" w:cs="仿宋"/>
          <w:sz w:val="32"/>
          <w:szCs w:val="32"/>
          <w:lang w:eastAsia="zh-CN"/>
        </w:rPr>
        <w:t>正常运转购置疫苗和保障人员经费、</w:t>
      </w:r>
      <w:r>
        <w:rPr>
          <w:rFonts w:hint="eastAsia" w:ascii="Adobe 仿宋 Std R" w:hAnsi="Adobe 仿宋 Std R" w:eastAsia="Adobe 仿宋 Std R"/>
          <w:sz w:val="32"/>
          <w:szCs w:val="32"/>
          <w:lang w:eastAsia="zh-CN"/>
        </w:rPr>
        <w:t>规范工作程序，提高工作效率</w:t>
      </w:r>
      <w:r>
        <w:rPr>
          <w:rFonts w:hint="eastAsia" w:ascii="仿宋" w:hAnsi="仿宋" w:eastAsia="仿宋" w:cs="仿宋"/>
          <w:sz w:val="32"/>
          <w:szCs w:val="32"/>
          <w:lang w:eastAsia="zh-CN"/>
        </w:rPr>
        <w:t>。</w:t>
      </w:r>
    </w:p>
    <w:p w14:paraId="124DF39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w:t>
      </w:r>
    </w:p>
    <w:p w14:paraId="3EF6BBD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50万元</w:t>
      </w:r>
    </w:p>
    <w:p w14:paraId="5805AC30">
      <w:pPr>
        <w:widowControl/>
        <w:spacing w:line="580" w:lineRule="exact"/>
        <w:jc w:val="left"/>
        <w:rPr>
          <w:rStyle w:val="11"/>
          <w:rFonts w:hint="eastAsia" w:ascii="仿宋" w:hAnsi="仿宋" w:eastAsia="仿宋"/>
          <w:sz w:val="32"/>
          <w:szCs w:val="32"/>
        </w:rPr>
      </w:pP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FF"/>
          <w:sz w:val="32"/>
          <w:szCs w:val="32"/>
        </w:rPr>
        <w:fldChar w:fldCharType="begin"/>
      </w:r>
      <w:r>
        <w:rPr>
          <w:rFonts w:ascii="仿宋" w:hAnsi="仿宋" w:eastAsia="仿宋"/>
          <w:bCs/>
          <w:color w:val="0000FF"/>
          <w:sz w:val="32"/>
          <w:szCs w:val="32"/>
        </w:rPr>
        <w:instrText xml:space="preserve">MERGEFIELD ${page540426799.ds254512694_REP_JXJC_AGENCY_WZR_NAME}</w:instrText>
      </w:r>
      <w:r>
        <w:rPr>
          <w:rFonts w:ascii="仿宋" w:hAnsi="仿宋" w:eastAsia="仿宋"/>
          <w:bCs/>
          <w:color w:val="0000FF"/>
          <w:sz w:val="32"/>
          <w:szCs w:val="32"/>
        </w:rPr>
        <w:fldChar w:fldCharType="separate"/>
      </w:r>
      <w:r>
        <w:rPr>
          <w:rFonts w:hint="eastAsia" w:ascii="仿宋" w:hAnsi="仿宋" w:eastAsia="仿宋"/>
          <w:bCs/>
          <w:color w:val="0000FF"/>
          <w:sz w:val="32"/>
          <w:szCs w:val="32"/>
          <w:lang w:eastAsia="zh-CN"/>
        </w:rPr>
        <w:t>庐山市疾控中心</w:t>
      </w:r>
      <w:r>
        <w:rPr>
          <w:color w:val="0000FF"/>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6.78</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cs="仿宋"/>
          <w:b w:val="0"/>
          <w:bCs w:val="0"/>
          <w:color w:val="auto"/>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1.28</w:t>
      </w:r>
      <w:r>
        <w:rPr>
          <w:rFonts w:ascii="仿宋" w:hAnsi="仿宋" w:eastAsia="仿宋"/>
          <w:bCs/>
          <w:sz w:val="32"/>
          <w:szCs w:val="32"/>
        </w:rPr>
        <w:t>万元,比上年增</w:t>
      </w:r>
      <w:r>
        <w:rPr>
          <w:rFonts w:hint="eastAsia" w:ascii="仿宋" w:hAnsi="仿宋" w:eastAsia="仿宋"/>
          <w:bCs/>
          <w:sz w:val="32"/>
          <w:szCs w:val="32"/>
          <w:lang w:val="en-US" w:eastAsia="zh-CN"/>
        </w:rPr>
        <w:t>1.28</w:t>
      </w:r>
      <w:r>
        <w:rPr>
          <w:rFonts w:ascii="仿宋" w:hAnsi="仿宋" w:eastAsia="仿宋"/>
          <w:bCs/>
          <w:sz w:val="32"/>
          <w:szCs w:val="32"/>
        </w:rPr>
        <w:t>万元，主要原因是：</w:t>
      </w:r>
      <w:r>
        <w:rPr>
          <w:rFonts w:hint="eastAsia" w:ascii="仿宋" w:hAnsi="仿宋" w:eastAsia="仿宋"/>
          <w:bCs/>
          <w:sz w:val="32"/>
          <w:szCs w:val="32"/>
          <w:lang w:val="en-US" w:eastAsia="zh-CN"/>
        </w:rPr>
        <w:t>2024年公务接待支出使用其他资金</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5.50</w:t>
      </w:r>
      <w:r>
        <w:rPr>
          <w:rFonts w:ascii="仿宋" w:hAnsi="仿宋" w:eastAsia="仿宋"/>
          <w:bCs/>
          <w:sz w:val="32"/>
          <w:szCs w:val="32"/>
        </w:rPr>
        <w:t>万元,比上年增</w:t>
      </w:r>
      <w:r>
        <w:rPr>
          <w:rFonts w:hint="eastAsia" w:ascii="仿宋" w:hAnsi="仿宋" w:eastAsia="仿宋"/>
          <w:bCs/>
          <w:sz w:val="32"/>
          <w:szCs w:val="32"/>
          <w:lang w:val="en-US" w:eastAsia="zh-CN"/>
        </w:rPr>
        <w:t>5.50</w:t>
      </w:r>
      <w:r>
        <w:rPr>
          <w:rFonts w:ascii="仿宋" w:hAnsi="仿宋" w:eastAsia="仿宋"/>
          <w:bCs/>
          <w:sz w:val="32"/>
          <w:szCs w:val="32"/>
        </w:rPr>
        <w:t>万元，主要原因是：</w:t>
      </w:r>
      <w:r>
        <w:rPr>
          <w:rFonts w:hint="eastAsia" w:ascii="仿宋" w:hAnsi="仿宋" w:eastAsia="仿宋"/>
          <w:bCs/>
          <w:sz w:val="32"/>
          <w:szCs w:val="32"/>
          <w:lang w:val="en-US" w:eastAsia="zh-CN"/>
        </w:rPr>
        <w:t>2024年公务用车运行支出使用其他资金</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cs="仿宋"/>
          <w:b w:val="0"/>
          <w:bCs w:val="0"/>
          <w:color w:val="auto"/>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3B26BC"/>
    <w:multiLevelType w:val="singleLevel"/>
    <w:tmpl w:val="0B3B26BC"/>
    <w:lvl w:ilvl="0" w:tentative="0">
      <w:start w:val="1"/>
      <w:numFmt w:val="decimal"/>
      <w:lvlText w:val="%1."/>
      <w:lvlJc w:val="left"/>
      <w:pPr>
        <w:tabs>
          <w:tab w:val="left" w:pos="312"/>
        </w:tabs>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57D6BA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4BB4927"/>
    <w:rsid w:val="25323B8C"/>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09311FD"/>
    <w:rsid w:val="41737C65"/>
    <w:rsid w:val="42DC038C"/>
    <w:rsid w:val="43BF53DB"/>
    <w:rsid w:val="45D833CA"/>
    <w:rsid w:val="464E5AFF"/>
    <w:rsid w:val="4650617E"/>
    <w:rsid w:val="49B551F5"/>
    <w:rsid w:val="49B5687D"/>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1EB0468"/>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3914</Words>
  <Characters>4273</Characters>
  <Lines>53</Lines>
  <Paragraphs>15</Paragraphs>
  <TotalTime>1</TotalTime>
  <ScaleCrop>false</ScaleCrop>
  <LinksUpToDate>false</LinksUpToDate>
  <CharactersWithSpaces>4362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2025-01-09T04:27:32Z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eyJoZGlkIjoiMmRmZTYxNmFkYTMyNzJmMTg2ZDI0OTcyZDgwNzMyNTgifQ==</vt:lpwstr>
  </property>
</Properties>
</file>