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E7A23">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fldChar w:fldCharType="begin"/>
      </w:r>
      <w:r>
        <w:rPr>
          <w:rFonts w:hint="eastAsia" w:ascii="黑体" w:hAnsi="黑体" w:eastAsia="黑体" w:cs="Times New Roman"/>
          <w:b/>
          <w:bCs/>
          <w:color w:val="000000"/>
          <w:kern w:val="0"/>
          <w:sz w:val="44"/>
          <w:szCs w:val="44"/>
        </w:rPr>
        <w:instrText xml:space="preserve">MERGEFIELD ${page540426799.ds254512694_REP_JXJC_AGENCY_WZR_NAME}</w:instrText>
      </w:r>
      <w:r>
        <w:rPr>
          <w:rFonts w:hint="eastAsia" w:ascii="黑体" w:hAnsi="黑体" w:eastAsia="黑体" w:cs="Times New Roman"/>
          <w:b/>
          <w:bCs/>
          <w:color w:val="000000"/>
          <w:kern w:val="0"/>
          <w:sz w:val="44"/>
          <w:szCs w:val="44"/>
        </w:rPr>
        <w:fldChar w:fldCharType="separate"/>
      </w:r>
      <w:r>
        <w:rPr>
          <w:rFonts w:hint="eastAsia" w:ascii="黑体" w:hAnsi="黑体" w:eastAsia="黑体" w:cs="Times New Roman"/>
          <w:b/>
          <w:bCs/>
          <w:color w:val="000000"/>
          <w:kern w:val="0"/>
          <w:sz w:val="44"/>
          <w:szCs w:val="44"/>
          <w:lang w:eastAsia="zh-CN"/>
        </w:rPr>
        <w:t>庐山市第二小学</w:t>
      </w:r>
      <w:r>
        <w:rPr>
          <w:rFonts w:hint="eastAsia" w:ascii="黑体" w:hAnsi="黑体" w:eastAsia="黑体" w:cs="Times New Roman"/>
          <w:b/>
          <w:bCs/>
          <w:color w:val="000000"/>
          <w:kern w:val="0"/>
          <w:sz w:val="44"/>
          <w:szCs w:val="44"/>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025E74C2">
      <w:pPr>
        <w:pStyle w:val="12"/>
        <w:spacing w:line="600" w:lineRule="atLeast"/>
        <w:jc w:val="center"/>
        <w:rPr>
          <w:rFonts w:ascii="黑体" w:hAnsi="黑体" w:eastAsia="黑体"/>
          <w:color w:val="000000"/>
          <w:sz w:val="32"/>
          <w:szCs w:val="32"/>
        </w:rPr>
      </w:pPr>
    </w:p>
    <w:p w14:paraId="1B597A7C">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A1A7F0B">
      <w:pPr>
        <w:pStyle w:val="12"/>
        <w:rPr>
          <w:rFonts w:ascii="宋体" w:hAnsi="宋体"/>
          <w:color w:val="000000"/>
        </w:rPr>
      </w:pPr>
    </w:p>
    <w:p w14:paraId="7A7933B2">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庐山市第二小学</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437F8AC7">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1DE845AE">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4E9876EE">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庐山市第二小学</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6700B44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54D82D4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47BCB53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7CF7233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1F27CB3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4811F9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577D78D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2EE6D05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6DEE91F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792CB23E">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53FC9D2">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第三部</w:t>
      </w:r>
      <w:r>
        <w:rPr>
          <w:rFonts w:hint="eastAsia" w:ascii="仿宋_GB2312" w:eastAsia="仿宋_GB2312"/>
          <w:b/>
          <w:bCs/>
          <w:color w:val="000000"/>
          <w:sz w:val="32"/>
          <w:szCs w:val="32"/>
          <w:lang w:val="en-US" w:eastAsia="zh-CN"/>
        </w:rPr>
        <w:t xml:space="preserve">分 </w:t>
      </w:r>
      <w:r>
        <w:rPr>
          <w:rFonts w:hint="eastAsia" w:ascii="仿宋_GB2312" w:eastAsia="仿宋_GB2312"/>
          <w:b/>
          <w:bCs/>
          <w:color w:val="000000"/>
          <w:sz w:val="32"/>
          <w:szCs w:val="32"/>
          <w:lang w:val="en-US" w:eastAsia="zh-CN"/>
        </w:rPr>
        <w:fldChar w:fldCharType="begin"/>
      </w:r>
      <w:r>
        <w:rPr>
          <w:rFonts w:hint="eastAsia" w:ascii="仿宋_GB2312" w:eastAsia="仿宋_GB2312"/>
          <w:b/>
          <w:bCs/>
          <w:color w:val="000000"/>
          <w:sz w:val="32"/>
          <w:szCs w:val="32"/>
          <w:lang w:val="en-US" w:eastAsia="zh-CN"/>
        </w:rPr>
        <w:instrText xml:space="preserve">MERGEFIELD ${page540426799.ds254512694_REP_JXJC_AGENCY_WZR_NAME}</w:instrText>
      </w:r>
      <w:r>
        <w:rPr>
          <w:rFonts w:hint="eastAsia" w:ascii="仿宋_GB2312" w:eastAsia="仿宋_GB2312"/>
          <w:b/>
          <w:bCs/>
          <w:color w:val="000000"/>
          <w:sz w:val="32"/>
          <w:szCs w:val="32"/>
          <w:lang w:val="en-US" w:eastAsia="zh-CN"/>
        </w:rPr>
        <w:fldChar w:fldCharType="separate"/>
      </w:r>
      <w:r>
        <w:rPr>
          <w:rFonts w:hint="eastAsia" w:ascii="仿宋_GB2312" w:eastAsia="仿宋_GB2312"/>
          <w:b/>
          <w:bCs/>
          <w:color w:val="000000"/>
          <w:sz w:val="32"/>
          <w:szCs w:val="32"/>
          <w:lang w:val="en-US" w:eastAsia="zh-CN"/>
        </w:rPr>
        <w:t>庐山市第二小学</w:t>
      </w:r>
      <w:r>
        <w:rPr>
          <w:rFonts w:hint="eastAsia" w:ascii="仿宋_GB2312" w:eastAsia="仿宋_GB2312"/>
          <w:b/>
          <w:bCs/>
          <w:color w:val="000000"/>
          <w:sz w:val="32"/>
          <w:szCs w:val="32"/>
          <w:lang w:val="en-US" w:eastAsia="zh-CN"/>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5CBB3F2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48FD73F3">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722F6F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4C78B35E">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86EA745">
      <w:pPr>
        <w:widowControl/>
        <w:spacing w:line="580" w:lineRule="exact"/>
        <w:jc w:val="center"/>
        <w:rPr>
          <w:rFonts w:ascii="仿宋_GB2312" w:eastAsia="仿宋_GB2312"/>
          <w:b/>
          <w:sz w:val="32"/>
          <w:szCs w:val="30"/>
        </w:rPr>
      </w:pPr>
    </w:p>
    <w:p w14:paraId="7112494B">
      <w:pPr>
        <w:widowControl/>
        <w:spacing w:line="580" w:lineRule="exact"/>
        <w:jc w:val="center"/>
        <w:rPr>
          <w:rFonts w:ascii="仿宋_GB2312" w:eastAsia="仿宋_GB2312"/>
          <w:b/>
          <w:sz w:val="32"/>
          <w:szCs w:val="30"/>
        </w:rPr>
      </w:pPr>
    </w:p>
    <w:p w14:paraId="3380A193">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庐山市第二小学</w:t>
      </w:r>
      <w:r>
        <w:rPr>
          <w:rFonts w:ascii="仿宋_GB2312" w:eastAsia="仿宋_GB2312"/>
          <w:b/>
          <w:sz w:val="32"/>
          <w:szCs w:val="30"/>
        </w:rPr>
        <w:fldChar w:fldCharType="end"/>
      </w:r>
      <w:r>
        <w:rPr>
          <w:rFonts w:hint="eastAsia" w:ascii="仿宋_GB2312" w:eastAsia="仿宋_GB2312"/>
          <w:b/>
          <w:sz w:val="32"/>
          <w:szCs w:val="30"/>
        </w:rPr>
        <w:t>概况</w:t>
      </w:r>
    </w:p>
    <w:p w14:paraId="2F39F8A0">
      <w:pPr>
        <w:widowControl/>
        <w:spacing w:line="580" w:lineRule="exact"/>
        <w:jc w:val="left"/>
        <w:rPr>
          <w:rFonts w:asciiTheme="minorEastAsia" w:hAnsiTheme="minorEastAsia"/>
          <w:b/>
          <w:sz w:val="36"/>
          <w:szCs w:val="36"/>
        </w:rPr>
      </w:pPr>
    </w:p>
    <w:p w14:paraId="4A8DF59B">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74836C7">
      <w:pPr>
        <w:ind w:firstLine="640" w:firstLineChars="200"/>
        <w:jc w:val="left"/>
        <w:rPr>
          <w:rFonts w:hint="eastAsia" w:ascii="宋体" w:hAnsi="宋体" w:eastAsia="仿宋_GB2312" w:cs="仿宋_GB2312"/>
          <w:color w:val="000000" w:themeColor="text1"/>
          <w:sz w:val="32"/>
          <w:szCs w:val="32"/>
          <w:lang w:eastAsia="zh-CN"/>
        </w:rPr>
      </w:pPr>
      <w:r>
        <w:rPr>
          <w:rFonts w:hint="eastAsia" w:ascii="宋体" w:hAnsi="宋体" w:eastAsia="仿宋_GB2312" w:cs="仿宋_GB2312"/>
          <w:color w:val="000000" w:themeColor="text1"/>
          <w:sz w:val="32"/>
          <w:szCs w:val="32"/>
          <w:lang w:eastAsia="zh-CN"/>
        </w:rPr>
        <w:t>庐山市第二小学是一所公办小学，主要职责是：</w:t>
      </w:r>
    </w:p>
    <w:p w14:paraId="60613714">
      <w:pPr>
        <w:ind w:firstLine="640" w:firstLineChars="200"/>
        <w:jc w:val="left"/>
        <w:rPr>
          <w:rFonts w:hint="eastAsia" w:ascii="宋体" w:hAnsi="宋体" w:eastAsia="仿宋_GB2312" w:cs="仿宋_GB2312"/>
          <w:color w:val="000000" w:themeColor="text1"/>
          <w:sz w:val="32"/>
          <w:szCs w:val="32"/>
          <w:lang w:eastAsia="zh-CN"/>
        </w:rPr>
      </w:pPr>
      <w:r>
        <w:rPr>
          <w:rFonts w:hint="eastAsia" w:ascii="宋体" w:hAnsi="宋体" w:eastAsia="仿宋_GB2312" w:cs="仿宋_GB2312"/>
          <w:color w:val="000000" w:themeColor="text1"/>
          <w:sz w:val="32"/>
          <w:szCs w:val="32"/>
          <w:lang w:eastAsia="zh-CN"/>
        </w:rPr>
        <w:t>（一）贯彻落实党的教育和体育工作的方针、政策、法律和法规，研究全市教育改革发展重大问题，综合指导、协调和管理全市的教育体育工作。</w:t>
      </w:r>
    </w:p>
    <w:p w14:paraId="3426134F">
      <w:pPr>
        <w:ind w:firstLine="640" w:firstLineChars="200"/>
        <w:jc w:val="left"/>
        <w:rPr>
          <w:rFonts w:hint="eastAsia" w:ascii="宋体" w:hAnsi="宋体" w:eastAsia="仿宋_GB2312" w:cs="仿宋_GB2312"/>
          <w:color w:val="000000" w:themeColor="text1"/>
          <w:sz w:val="32"/>
          <w:szCs w:val="32"/>
          <w:lang w:eastAsia="zh-CN"/>
        </w:rPr>
      </w:pPr>
      <w:r>
        <w:rPr>
          <w:rFonts w:hint="eastAsia" w:ascii="宋体" w:hAnsi="宋体" w:eastAsia="仿宋_GB2312" w:cs="仿宋_GB2312"/>
          <w:color w:val="000000" w:themeColor="text1"/>
          <w:sz w:val="32"/>
          <w:szCs w:val="32"/>
          <w:lang w:eastAsia="zh-CN"/>
        </w:rPr>
        <w:t>（二）编制庐山市第二小学教育事业发展规划、计划的实施，指导全镇办学体制改革，理顺教育内部和外部的关系，建立适应全镇经济社会发展的教育体制及运营机制。</w:t>
      </w:r>
    </w:p>
    <w:p w14:paraId="3839BF00">
      <w:pPr>
        <w:ind w:firstLine="640" w:firstLineChars="200"/>
        <w:jc w:val="left"/>
        <w:rPr>
          <w:rFonts w:hint="eastAsia" w:ascii="宋体" w:hAnsi="宋体" w:eastAsia="仿宋_GB2312" w:cs="仿宋_GB2312"/>
          <w:color w:val="000000" w:themeColor="text1"/>
          <w:sz w:val="32"/>
          <w:szCs w:val="32"/>
          <w:lang w:eastAsia="zh-CN"/>
        </w:rPr>
      </w:pPr>
      <w:r>
        <w:rPr>
          <w:rFonts w:hint="eastAsia" w:ascii="宋体" w:hAnsi="宋体" w:eastAsia="仿宋_GB2312" w:cs="仿宋_GB2312"/>
          <w:color w:val="000000" w:themeColor="text1"/>
          <w:sz w:val="32"/>
          <w:szCs w:val="32"/>
          <w:lang w:eastAsia="zh-CN"/>
        </w:rPr>
        <w:t>（三）综合管理全镇学前教育、小学教育及社会力量办学工作，指导和管理小学的教育教学工作，负责教育督导与评估。</w:t>
      </w:r>
    </w:p>
    <w:p w14:paraId="51EABD66">
      <w:pPr>
        <w:ind w:firstLine="640" w:firstLineChars="200"/>
        <w:jc w:val="left"/>
        <w:rPr>
          <w:rFonts w:hint="eastAsia" w:ascii="宋体" w:hAnsi="宋体" w:eastAsia="仿宋_GB2312" w:cs="仿宋_GB2312"/>
          <w:color w:val="000000" w:themeColor="text1"/>
          <w:sz w:val="32"/>
          <w:szCs w:val="32"/>
          <w:lang w:eastAsia="zh-CN"/>
        </w:rPr>
      </w:pPr>
      <w:r>
        <w:rPr>
          <w:rFonts w:hint="eastAsia" w:ascii="宋体" w:hAnsi="宋体" w:eastAsia="仿宋_GB2312" w:cs="仿宋_GB2312"/>
          <w:color w:val="000000" w:themeColor="text1"/>
          <w:sz w:val="32"/>
          <w:szCs w:val="32"/>
          <w:lang w:eastAsia="zh-CN"/>
        </w:rPr>
        <w:t>（四）负责推进教育均衡发展和促进教育公平，全面实施素质教育。统筹管理全镇教育系统对外交流工作。</w:t>
      </w:r>
    </w:p>
    <w:p w14:paraId="456D5E59">
      <w:pPr>
        <w:ind w:firstLine="640" w:firstLineChars="200"/>
        <w:jc w:val="left"/>
        <w:rPr>
          <w:rFonts w:hint="eastAsia" w:ascii="宋体" w:hAnsi="宋体" w:eastAsia="仿宋_GB2312" w:cs="仿宋_GB2312"/>
          <w:color w:val="000000" w:themeColor="text1"/>
          <w:sz w:val="32"/>
          <w:szCs w:val="32"/>
          <w:lang w:eastAsia="zh-CN"/>
        </w:rPr>
      </w:pPr>
      <w:r>
        <w:rPr>
          <w:rFonts w:hint="eastAsia" w:ascii="宋体" w:hAnsi="宋体" w:eastAsia="仿宋_GB2312" w:cs="仿宋_GB2312"/>
          <w:color w:val="000000" w:themeColor="text1"/>
          <w:sz w:val="32"/>
          <w:szCs w:val="32"/>
          <w:lang w:eastAsia="zh-CN"/>
        </w:rPr>
        <w:t>（五）负责教师队伍建设和教师继续教育工作；负责教师管理工作，组织实施教师资格制度；负责管理语言文字工作；指导和组织推广普通话和规范汉字书写工作；承担教师资格认定申报工作；负责对发展教育事业做出突出贡献者进行奖励；在庐山市教体局的指导下接受大中专院校毕业生就业工作。</w:t>
      </w:r>
    </w:p>
    <w:p w14:paraId="35CB8BB7">
      <w:pPr>
        <w:ind w:firstLine="640" w:firstLineChars="200"/>
        <w:jc w:val="left"/>
        <w:rPr>
          <w:rFonts w:hint="eastAsia" w:ascii="宋体" w:hAnsi="宋体" w:eastAsia="仿宋_GB2312" w:cs="仿宋_GB2312"/>
          <w:color w:val="000000" w:themeColor="text1"/>
          <w:sz w:val="32"/>
          <w:szCs w:val="32"/>
          <w:lang w:eastAsia="zh-CN"/>
        </w:rPr>
      </w:pPr>
      <w:r>
        <w:rPr>
          <w:rFonts w:hint="eastAsia" w:ascii="宋体" w:hAnsi="宋体" w:eastAsia="仿宋_GB2312" w:cs="仿宋_GB2312"/>
          <w:color w:val="000000" w:themeColor="text1"/>
          <w:sz w:val="32"/>
          <w:szCs w:val="32"/>
          <w:lang w:eastAsia="zh-CN"/>
        </w:rPr>
        <w:t>（六）统筹管理本单位教育经费，会同有关部门拟定筹措教育经费、教育基建投资的规划，按有关规定管理中央、省、市对全市的教育拨、贷款及捐赠资金，监督测评全市教育经费的筹措和使用管理情况。</w:t>
      </w:r>
    </w:p>
    <w:p w14:paraId="2E7D631A">
      <w:pPr>
        <w:ind w:firstLine="640" w:firstLineChars="200"/>
        <w:jc w:val="left"/>
        <w:rPr>
          <w:rFonts w:hint="eastAsia" w:ascii="宋体" w:hAnsi="宋体" w:eastAsia="仿宋_GB2312" w:cs="仿宋_GB2312"/>
          <w:color w:val="000000" w:themeColor="text1"/>
          <w:sz w:val="32"/>
          <w:szCs w:val="32"/>
          <w:lang w:eastAsia="zh-CN"/>
        </w:rPr>
      </w:pPr>
      <w:r>
        <w:rPr>
          <w:rFonts w:hint="eastAsia" w:ascii="宋体" w:hAnsi="宋体" w:eastAsia="仿宋_GB2312" w:cs="仿宋_GB2312"/>
          <w:color w:val="000000" w:themeColor="text1"/>
          <w:sz w:val="32"/>
          <w:szCs w:val="32"/>
          <w:lang w:eastAsia="zh-CN"/>
        </w:rPr>
        <w:t>（七）归口庐山市教育体育局工作。</w:t>
      </w:r>
    </w:p>
    <w:p w14:paraId="11678681">
      <w:pPr>
        <w:ind w:firstLine="640" w:firstLineChars="200"/>
        <w:jc w:val="left"/>
        <w:rPr>
          <w:rFonts w:hint="eastAsia" w:ascii="宋体" w:hAnsi="宋体" w:eastAsia="仿宋_GB2312" w:cs="仿宋_GB2312"/>
          <w:color w:val="000000" w:themeColor="text1"/>
          <w:sz w:val="32"/>
          <w:szCs w:val="32"/>
          <w:lang w:eastAsia="zh-CN"/>
        </w:rPr>
      </w:pPr>
      <w:r>
        <w:rPr>
          <w:rFonts w:hint="eastAsia" w:ascii="宋体" w:hAnsi="宋体" w:eastAsia="仿宋_GB2312" w:cs="仿宋_GB2312"/>
          <w:color w:val="000000" w:themeColor="text1"/>
          <w:sz w:val="32"/>
          <w:szCs w:val="32"/>
          <w:lang w:eastAsia="zh-CN"/>
        </w:rPr>
        <w:t>（八）协助有关部门指导学校的思想政治工作、德育工作、体育卫生艺术教育及国防教育工作，统筹协调学校的安全稳定工作。</w:t>
      </w:r>
    </w:p>
    <w:p w14:paraId="03A8E115">
      <w:pPr>
        <w:ind w:firstLine="640" w:firstLineChars="200"/>
        <w:jc w:val="left"/>
        <w:rPr>
          <w:rFonts w:hint="eastAsia" w:ascii="宋体" w:hAnsi="宋体" w:eastAsia="仿宋_GB2312" w:cs="仿宋_GB2312"/>
          <w:color w:val="000000" w:themeColor="text1"/>
          <w:sz w:val="32"/>
          <w:szCs w:val="32"/>
          <w:lang w:eastAsia="zh-CN"/>
        </w:rPr>
      </w:pPr>
      <w:r>
        <w:rPr>
          <w:rFonts w:hint="eastAsia" w:ascii="宋体" w:hAnsi="宋体" w:eastAsia="仿宋_GB2312" w:cs="仿宋_GB2312"/>
          <w:color w:val="000000" w:themeColor="text1"/>
          <w:sz w:val="32"/>
          <w:szCs w:val="32"/>
          <w:lang w:eastAsia="zh-CN"/>
        </w:rPr>
        <w:t>（九）指导庐山市第二小学教育宣传、教育系统信息化建设和现代远程教育及校园网络建设工作。承担学校教育基本信息的统计、分析和发布。</w:t>
      </w:r>
    </w:p>
    <w:p w14:paraId="3890E144">
      <w:pPr>
        <w:ind w:firstLine="640" w:firstLineChars="200"/>
        <w:jc w:val="left"/>
        <w:rPr>
          <w:rFonts w:hint="eastAsia" w:ascii="宋体" w:hAnsi="宋体" w:eastAsia="仿宋_GB2312" w:cs="仿宋_GB2312"/>
          <w:color w:val="000000" w:themeColor="text1"/>
          <w:sz w:val="32"/>
          <w:szCs w:val="32"/>
          <w:lang w:eastAsia="zh-CN"/>
        </w:rPr>
      </w:pPr>
      <w:r>
        <w:rPr>
          <w:rFonts w:hint="eastAsia" w:ascii="宋体" w:hAnsi="宋体" w:eastAsia="仿宋_GB2312" w:cs="仿宋_GB2312"/>
          <w:color w:val="000000" w:themeColor="text1"/>
          <w:sz w:val="32"/>
          <w:szCs w:val="32"/>
          <w:lang w:eastAsia="zh-CN"/>
        </w:rPr>
        <w:t>（十）统筹规划竞技体育发展，竟技运动项目设置与重点布局。组织安排各类赛事。</w:t>
      </w:r>
    </w:p>
    <w:p w14:paraId="5EA1C8F0">
      <w:pPr>
        <w:ind w:firstLine="640" w:firstLineChars="200"/>
        <w:jc w:val="left"/>
        <w:rPr>
          <w:rFonts w:hint="eastAsia" w:ascii="宋体" w:hAnsi="宋体" w:eastAsia="仿宋_GB2312" w:cs="仿宋_GB2312"/>
          <w:color w:val="000000" w:themeColor="text1"/>
          <w:sz w:val="32"/>
          <w:szCs w:val="32"/>
          <w:lang w:eastAsia="zh-CN"/>
        </w:rPr>
      </w:pPr>
      <w:r>
        <w:rPr>
          <w:rFonts w:hint="eastAsia" w:ascii="宋体" w:hAnsi="宋体" w:eastAsia="仿宋_GB2312" w:cs="仿宋_GB2312"/>
          <w:color w:val="000000" w:themeColor="text1"/>
          <w:sz w:val="32"/>
          <w:szCs w:val="32"/>
          <w:lang w:eastAsia="zh-CN"/>
        </w:rPr>
        <w:t>（十一）实施全民健身计划，指导群众性体育活动的发展，实施国家体育锻炼标准，开展国民体质监测；加强社区体育工作，正确引导群众的健身活动；</w:t>
      </w:r>
    </w:p>
    <w:p w14:paraId="37033623">
      <w:pPr>
        <w:widowControl/>
        <w:spacing w:line="580" w:lineRule="exact"/>
        <w:ind w:firstLine="640"/>
        <w:jc w:val="left"/>
        <w:rPr>
          <w:rFonts w:ascii="Adobe 仿宋 Std R" w:hAnsi="Adobe 仿宋 Std R" w:eastAsia="Adobe 仿宋 Std R"/>
          <w:sz w:val="32"/>
          <w:szCs w:val="30"/>
        </w:rPr>
      </w:pPr>
      <w:r>
        <w:rPr>
          <w:rFonts w:hint="eastAsia" w:ascii="宋体" w:hAnsi="宋体" w:eastAsia="仿宋_GB2312" w:cs="仿宋_GB2312"/>
          <w:color w:val="000000" w:themeColor="text1"/>
          <w:sz w:val="32"/>
          <w:szCs w:val="32"/>
          <w:lang w:eastAsia="zh-CN"/>
        </w:rPr>
        <w:t>（十二）承办市政府交办的其他工作。</w:t>
      </w:r>
    </w:p>
    <w:p w14:paraId="302E2B16">
      <w:pPr>
        <w:rPr>
          <w:b/>
          <w:sz w:val="36"/>
          <w:szCs w:val="36"/>
        </w:rPr>
      </w:pPr>
      <w:r>
        <w:rPr>
          <w:rFonts w:hint="eastAsia"/>
          <w:b/>
          <w:sz w:val="36"/>
          <w:szCs w:val="36"/>
        </w:rPr>
        <w:t>二、机构设置及人员情况</w:t>
      </w:r>
    </w:p>
    <w:p w14:paraId="18EAB00F">
      <w:pPr>
        <w:widowControl/>
        <w:spacing w:line="580" w:lineRule="exact"/>
        <w:ind w:firstLine="640" w:firstLineChars="200"/>
        <w:jc w:val="left"/>
        <w:rPr>
          <w:rFonts w:hint="eastAsia" w:ascii="仿宋" w:hAnsi="仿宋" w:eastAsia="仿宋"/>
          <w:color w:val="000000" w:themeColor="text1"/>
          <w:sz w:val="32"/>
          <w:szCs w:val="32"/>
          <w:u w:val="none"/>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color w:val="000000" w:themeColor="text1"/>
          <w:sz w:val="32"/>
          <w:szCs w:val="32"/>
        </w:rPr>
        <w:t>年</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${page540426799.ds254512694_REP_JXJC_AGENCY_WZR_NAME}</w:instrText>
      </w:r>
      <w:r>
        <w:rPr>
          <w:rFonts w:ascii="仿宋" w:hAnsi="仿宋" w:eastAsia="仿宋"/>
          <w:color w:val="000000" w:themeColor="text1"/>
          <w:sz w:val="32"/>
          <w:szCs w:val="32"/>
        </w:rPr>
        <w:fldChar w:fldCharType="separate"/>
      </w:r>
      <w:r>
        <w:rPr>
          <w:rFonts w:hint="eastAsia" w:ascii="仿宋" w:hAnsi="仿宋" w:eastAsia="仿宋"/>
          <w:color w:val="000000" w:themeColor="text1"/>
          <w:sz w:val="32"/>
          <w:szCs w:val="32"/>
          <w:lang w:eastAsia="zh-CN"/>
        </w:rPr>
        <w:t>庐山市第二小学</w:t>
      </w:r>
      <w:r>
        <w:rPr>
          <w:color w:val="000000" w:themeColor="text1"/>
        </w:rPr>
        <w:fldChar w:fldCharType="end"/>
      </w:r>
      <w:r>
        <w:rPr>
          <w:rFonts w:hint="eastAsia" w:ascii="仿宋" w:hAnsi="仿宋" w:eastAsia="仿宋"/>
          <w:color w:val="000000" w:themeColor="text1"/>
          <w:sz w:val="32"/>
          <w:szCs w:val="32"/>
        </w:rPr>
        <w:t>内设处室</w:t>
      </w:r>
      <w:r>
        <w:rPr>
          <w:rFonts w:hint="eastAsia" w:ascii="仿宋_GB2312" w:eastAsia="仿宋_GB2312"/>
          <w:color w:val="000000" w:themeColor="text1"/>
          <w:sz w:val="32"/>
          <w:szCs w:val="30"/>
          <w:u w:val="none"/>
          <w:lang w:val="en-US" w:eastAsia="zh-CN"/>
        </w:rPr>
        <w:t>6</w:t>
      </w:r>
      <w:r>
        <w:rPr>
          <w:rFonts w:hint="eastAsia" w:ascii="仿宋" w:hAnsi="仿宋" w:eastAsia="仿宋"/>
          <w:color w:val="000000" w:themeColor="text1"/>
          <w:sz w:val="32"/>
          <w:szCs w:val="32"/>
        </w:rPr>
        <w:t>个，</w:t>
      </w:r>
      <w:r>
        <w:rPr>
          <w:rFonts w:ascii="仿宋" w:hAnsi="仿宋" w:eastAsia="仿宋"/>
          <w:color w:val="000000" w:themeColor="text1"/>
          <w:sz w:val="32"/>
          <w:szCs w:val="32"/>
        </w:rPr>
        <w:t>包括</w:t>
      </w:r>
      <w:r>
        <w:rPr>
          <w:rFonts w:hint="eastAsia" w:ascii="仿宋" w:hAnsi="仿宋" w:eastAsia="仿宋"/>
          <w:color w:val="000000" w:themeColor="text1"/>
          <w:sz w:val="32"/>
          <w:szCs w:val="32"/>
        </w:rPr>
        <w:t>：</w:t>
      </w:r>
      <w:r>
        <w:rPr>
          <w:rFonts w:hint="eastAsia" w:ascii="仿宋" w:hAnsi="仿宋" w:eastAsia="仿宋"/>
          <w:color w:val="000000" w:themeColor="text1"/>
          <w:sz w:val="32"/>
          <w:szCs w:val="32"/>
          <w:u w:val="none"/>
          <w:lang w:eastAsia="zh-CN"/>
        </w:rPr>
        <w:t>办公室、教导处、德育处、总务处、保卫科、</w:t>
      </w:r>
      <w:r>
        <w:rPr>
          <w:rFonts w:hint="eastAsia" w:ascii="仿宋" w:hAnsi="仿宋" w:eastAsia="仿宋"/>
          <w:color w:val="000000" w:themeColor="text1"/>
          <w:sz w:val="32"/>
          <w:szCs w:val="32"/>
          <w:u w:val="none"/>
          <w:lang w:val="en-US" w:eastAsia="zh-CN"/>
        </w:rPr>
        <w:t>党建办</w:t>
      </w:r>
      <w:r>
        <w:rPr>
          <w:rFonts w:hint="eastAsia" w:ascii="仿宋" w:hAnsi="仿宋" w:eastAsia="仿宋"/>
          <w:color w:val="000000" w:themeColor="text1"/>
          <w:sz w:val="32"/>
          <w:szCs w:val="32"/>
          <w:u w:val="none"/>
          <w:lang w:eastAsia="zh-CN"/>
        </w:rPr>
        <w:t>。</w:t>
      </w:r>
    </w:p>
    <w:p w14:paraId="71BD1A4D">
      <w:pPr>
        <w:widowControl/>
        <w:spacing w:line="580" w:lineRule="exact"/>
        <w:ind w:firstLine="640" w:firstLineChars="200"/>
        <w:jc w:val="left"/>
        <w:rPr>
          <w:color w:val="000000" w:themeColor="text1"/>
        </w:rPr>
      </w:pP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${page540426799.ds376136392_REP_JX_BAS_AGENCY_INFO_DXQRSDW_S_BZRSXJ}</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编制人数小计</w:t>
      </w:r>
      <w:r>
        <w:rPr>
          <w:rFonts w:hint="eastAsia" w:ascii="仿宋" w:hAnsi="仿宋" w:eastAsia="仿宋"/>
          <w:color w:val="000000" w:themeColor="text1"/>
          <w:sz w:val="32"/>
          <w:szCs w:val="32"/>
          <w:lang w:val="en-US" w:eastAsia="zh-CN"/>
        </w:rPr>
        <w:t>105</w:t>
      </w:r>
      <w:r>
        <w:rPr>
          <w:rFonts w:ascii="仿宋" w:hAnsi="仿宋" w:eastAsia="仿宋"/>
          <w:color w:val="000000" w:themeColor="text1"/>
          <w:sz w:val="32"/>
          <w:szCs w:val="32"/>
        </w:rPr>
        <w:t>人,</w:t>
      </w:r>
      <w:r>
        <w:rPr>
          <w:color w:val="000000" w:themeColor="text1"/>
        </w:rPr>
        <w:fldChar w:fldCharType="end"/>
      </w:r>
      <w:r>
        <w:rPr>
          <w:rFonts w:hint="eastAsia" w:ascii="仿宋" w:hAnsi="仿宋" w:eastAsia="仿宋"/>
          <w:color w:val="000000" w:themeColor="text1"/>
          <w:sz w:val="32"/>
          <w:szCs w:val="32"/>
        </w:rPr>
        <w:t>其中：</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${page540426799.ds376136392_REP_JX_BAS_AGENCY_INFO_DXQRSDW_S_BZRSMX}</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行政编制人数</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${page540426799.ds376136392_REP_JX_BAS_AGENCY_INFO_DXQRSDW_S_SYRSXJ}</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实有人数小计</w:t>
      </w:r>
      <w:r>
        <w:rPr>
          <w:rFonts w:hint="eastAsia" w:ascii="仿宋" w:hAnsi="仿宋" w:eastAsia="仿宋"/>
          <w:color w:val="000000" w:themeColor="text1"/>
          <w:sz w:val="32"/>
          <w:szCs w:val="32"/>
          <w:lang w:val="en-US" w:eastAsia="zh-CN"/>
        </w:rPr>
        <w:t>88</w:t>
      </w:r>
      <w:r>
        <w:rPr>
          <w:rFonts w:ascii="仿宋" w:hAnsi="仿宋" w:eastAsia="仿宋"/>
          <w:color w:val="000000" w:themeColor="text1"/>
          <w:sz w:val="32"/>
          <w:szCs w:val="32"/>
        </w:rPr>
        <w:t>人,</w:t>
      </w:r>
      <w:r>
        <w:rPr>
          <w:color w:val="000000" w:themeColor="text1"/>
        </w:rPr>
        <w:fldChar w:fldCharType="end"/>
      </w:r>
      <w:r>
        <w:rPr>
          <w:rFonts w:hint="eastAsia" w:ascii="仿宋" w:hAnsi="仿宋" w:eastAsia="仿宋"/>
          <w:color w:val="000000" w:themeColor="text1"/>
          <w:sz w:val="32"/>
          <w:szCs w:val="32"/>
        </w:rPr>
        <w:t>其中：</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${page540426799.ds376136392_REP_JX_BAS_AGENCY_INFO_DXQRSDW_S_ZZRSXJ}</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在职人数小计</w:t>
      </w:r>
      <w:r>
        <w:rPr>
          <w:rFonts w:hint="eastAsia" w:ascii="仿宋" w:hAnsi="仿宋" w:eastAsia="仿宋"/>
          <w:color w:val="000000" w:themeColor="text1"/>
          <w:sz w:val="32"/>
          <w:szCs w:val="32"/>
          <w:lang w:val="en-US" w:eastAsia="zh-CN"/>
        </w:rPr>
        <w:t>88</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${page540426799.ds376136392_REP_JX_BAS_AGENCY_INFO_DXQRSDW_S_ZZRSMX}</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行政在职人数</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${page540426799.ds376136392_REP_JX_BAS_AGENCY_INFO_DXQRSDW_S_QTRSMX}</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离休人数小计</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人,退休人数小计</w:t>
      </w:r>
      <w:r>
        <w:rPr>
          <w:rFonts w:hint="eastAsia" w:ascii="仿宋" w:hAnsi="仿宋" w:eastAsia="仿宋"/>
          <w:color w:val="000000" w:themeColor="text1"/>
          <w:sz w:val="32"/>
          <w:szCs w:val="32"/>
          <w:lang w:val="en-US" w:eastAsia="zh-CN"/>
        </w:rPr>
        <w:t>58</w:t>
      </w:r>
      <w:r>
        <w:rPr>
          <w:rFonts w:ascii="仿宋" w:hAnsi="仿宋" w:eastAsia="仿宋"/>
          <w:color w:val="000000" w:themeColor="text1"/>
          <w:sz w:val="32"/>
          <w:szCs w:val="32"/>
        </w:rPr>
        <w:t>人,遗属人数</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人。</w:t>
      </w:r>
      <w:r>
        <w:rPr>
          <w:color w:val="000000" w:themeColor="text1"/>
        </w:rPr>
        <w:fldChar w:fldCharType="end"/>
      </w:r>
    </w:p>
    <w:p w14:paraId="293B845C">
      <w:pPr>
        <w:widowControl/>
        <w:spacing w:line="580" w:lineRule="exact"/>
        <w:jc w:val="center"/>
        <w:rPr>
          <w:rFonts w:ascii="仿宋_GB2312" w:eastAsia="仿宋_GB2312"/>
          <w:b/>
          <w:szCs w:val="30"/>
        </w:rPr>
      </w:pPr>
    </w:p>
    <w:p w14:paraId="1F3427EF">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fldChar w:fldCharType="begin"/>
      </w:r>
      <w:r>
        <w:rPr>
          <w:rFonts w:hint="eastAsia" w:ascii="仿宋_GB2312" w:eastAsia="仿宋_GB2312"/>
          <w:b/>
          <w:sz w:val="32"/>
          <w:szCs w:val="30"/>
          <w:lang w:val="en-US" w:eastAsia="zh-CN"/>
        </w:rPr>
        <w:instrText xml:space="preserve">MERGEFIELD ${page540426799.ds254512694_REP_JXJC_AGENCY_WZR_NAME}</w:instrText>
      </w:r>
      <w:r>
        <w:rPr>
          <w:rFonts w:hint="eastAsia" w:ascii="仿宋_GB2312" w:eastAsia="仿宋_GB2312"/>
          <w:b/>
          <w:sz w:val="32"/>
          <w:szCs w:val="30"/>
          <w:lang w:val="en-US" w:eastAsia="zh-CN"/>
        </w:rPr>
        <w:fldChar w:fldCharType="separate"/>
      </w:r>
      <w:r>
        <w:rPr>
          <w:rFonts w:hint="eastAsia" w:ascii="仿宋_GB2312" w:eastAsia="仿宋_GB2312"/>
          <w:b/>
          <w:sz w:val="32"/>
          <w:szCs w:val="30"/>
          <w:lang w:val="en-US" w:eastAsia="zh-CN"/>
        </w:rPr>
        <w:t>庐山市第二小学</w:t>
      </w:r>
      <w:r>
        <w:rPr>
          <w:rFonts w:hint="eastAsia" w:ascii="仿宋_GB2312" w:eastAsia="仿宋_GB2312"/>
          <w:b/>
          <w:sz w:val="32"/>
          <w:szCs w:val="30"/>
          <w:lang w:val="en-US" w:eastAsia="zh-CN"/>
        </w:rPr>
        <w:fldChar w:fldCharType="end"/>
      </w:r>
      <w:r>
        <w:rPr>
          <w:rFonts w:hint="eastAsia" w:ascii="仿宋_GB2312" w:eastAsia="仿宋_GB2312"/>
          <w:b/>
          <w:sz w:val="32"/>
          <w:szCs w:val="30"/>
          <w:lang w:val="en-US" w:eastAsia="zh-CN"/>
        </w:rPr>
        <w:t>2025</w:t>
      </w:r>
      <w:r>
        <w:rPr>
          <w:rFonts w:hint="eastAsia" w:ascii="仿宋_GB2312" w:eastAsia="仿宋_GB2312"/>
          <w:b/>
          <w:sz w:val="32"/>
          <w:szCs w:val="30"/>
        </w:rPr>
        <w:t>年单位预算表</w:t>
      </w:r>
    </w:p>
    <w:p w14:paraId="5770EA2D">
      <w:pPr>
        <w:ind w:firstLine="640" w:firstLineChars="200"/>
        <w:jc w:val="left"/>
        <w:rPr>
          <w:rStyle w:val="11"/>
          <w:rFonts w:hint="eastAsia" w:ascii="仿宋" w:hAnsi="仿宋" w:eastAsia="仿宋"/>
          <w:bCs/>
          <w:sz w:val="32"/>
          <w:szCs w:val="32"/>
          <w:lang w:val="en-US" w:eastAsia="zh-CN"/>
        </w:rPr>
      </w:pPr>
      <w:r>
        <w:rPr>
          <w:rStyle w:val="11"/>
          <w:rFonts w:hint="eastAsia" w:ascii="仿宋" w:hAnsi="仿宋" w:eastAsia="仿宋"/>
          <w:bCs/>
          <w:sz w:val="32"/>
          <w:szCs w:val="32"/>
          <w:lang w:val="en-US" w:eastAsia="zh-CN"/>
        </w:rPr>
        <w:t>一、收支预算总表</w:t>
      </w:r>
    </w:p>
    <w:p w14:paraId="6419AAFF">
      <w:pPr>
        <w:jc w:val="left"/>
        <w:rPr>
          <w:rStyle w:val="11"/>
          <w:rFonts w:hint="eastAsia" w:ascii="仿宋" w:hAnsi="仿宋" w:eastAsia="仿宋"/>
          <w:bCs/>
          <w:sz w:val="32"/>
          <w:szCs w:val="32"/>
          <w:lang w:val="en-US" w:eastAsia="zh-CN"/>
        </w:rPr>
      </w:pPr>
      <w:r>
        <w:drawing>
          <wp:inline distT="0" distB="0" distL="114300" distR="114300">
            <wp:extent cx="5269865" cy="2239010"/>
            <wp:effectExtent l="0" t="0" r="6985" b="889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5269865" cy="2239010"/>
                    </a:xfrm>
                    <a:prstGeom prst="rect">
                      <a:avLst/>
                    </a:prstGeom>
                    <a:noFill/>
                    <a:ln>
                      <a:noFill/>
                    </a:ln>
                  </pic:spPr>
                </pic:pic>
              </a:graphicData>
            </a:graphic>
          </wp:inline>
        </w:drawing>
      </w:r>
    </w:p>
    <w:p w14:paraId="0B7236CD">
      <w:pPr>
        <w:ind w:firstLine="640" w:firstLineChars="200"/>
        <w:jc w:val="left"/>
        <w:rPr>
          <w:rStyle w:val="11"/>
          <w:rFonts w:hint="eastAsia" w:ascii="仿宋" w:hAnsi="仿宋" w:eastAsia="仿宋"/>
          <w:bCs/>
          <w:sz w:val="32"/>
          <w:szCs w:val="32"/>
          <w:lang w:val="en-US" w:eastAsia="zh-CN"/>
        </w:rPr>
      </w:pPr>
    </w:p>
    <w:p w14:paraId="10F2FC74">
      <w:pPr>
        <w:ind w:firstLine="640" w:firstLineChars="200"/>
        <w:jc w:val="left"/>
        <w:rPr>
          <w:rStyle w:val="11"/>
          <w:rFonts w:hint="eastAsia" w:ascii="仿宋" w:hAnsi="仿宋" w:eastAsia="仿宋"/>
          <w:bCs/>
          <w:sz w:val="32"/>
          <w:szCs w:val="32"/>
          <w:lang w:val="en-US" w:eastAsia="zh-CN"/>
        </w:rPr>
      </w:pPr>
      <w:r>
        <w:rPr>
          <w:rStyle w:val="11"/>
          <w:rFonts w:hint="eastAsia" w:ascii="仿宋" w:hAnsi="仿宋" w:eastAsia="仿宋"/>
          <w:bCs/>
          <w:sz w:val="32"/>
          <w:szCs w:val="32"/>
          <w:lang w:val="en-US" w:eastAsia="zh-CN"/>
        </w:rPr>
        <w:t>二、单位收入总表</w:t>
      </w:r>
    </w:p>
    <w:p w14:paraId="45295CA6">
      <w:pPr>
        <w:jc w:val="left"/>
        <w:rPr>
          <w:rStyle w:val="11"/>
          <w:rFonts w:hint="default" w:ascii="仿宋" w:hAnsi="仿宋" w:eastAsia="仿宋"/>
          <w:bCs/>
          <w:sz w:val="32"/>
          <w:szCs w:val="32"/>
          <w:lang w:val="en-US" w:eastAsia="zh-CN"/>
        </w:rPr>
      </w:pPr>
      <w:r>
        <w:drawing>
          <wp:inline distT="0" distB="0" distL="114300" distR="114300">
            <wp:extent cx="5267960" cy="2439035"/>
            <wp:effectExtent l="0" t="0" r="8890" b="1841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6"/>
                    <a:stretch>
                      <a:fillRect/>
                    </a:stretch>
                  </pic:blipFill>
                  <pic:spPr>
                    <a:xfrm>
                      <a:off x="0" y="0"/>
                      <a:ext cx="5267960" cy="2439035"/>
                    </a:xfrm>
                    <a:prstGeom prst="rect">
                      <a:avLst/>
                    </a:prstGeom>
                    <a:noFill/>
                    <a:ln>
                      <a:noFill/>
                    </a:ln>
                  </pic:spPr>
                </pic:pic>
              </a:graphicData>
            </a:graphic>
          </wp:inline>
        </w:drawing>
      </w:r>
    </w:p>
    <w:p w14:paraId="0E3DB5A9">
      <w:pPr>
        <w:numPr>
          <w:ilvl w:val="0"/>
          <w:numId w:val="1"/>
        </w:numPr>
        <w:ind w:firstLine="640" w:firstLineChars="20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4C23915B">
      <w:pPr>
        <w:numPr>
          <w:ilvl w:val="0"/>
          <w:numId w:val="0"/>
        </w:numPr>
        <w:jc w:val="left"/>
        <w:rPr>
          <w:rFonts w:hint="eastAsia" w:ascii="Adobe 仿宋 Std R" w:hAnsi="Adobe 仿宋 Std R" w:eastAsia="Adobe 仿宋 Std R" w:cstheme="minorBidi"/>
          <w:kern w:val="2"/>
          <w:sz w:val="32"/>
          <w:szCs w:val="30"/>
          <w:lang w:val="en-US" w:eastAsia="zh-CN"/>
        </w:rPr>
      </w:pPr>
      <w:r>
        <w:drawing>
          <wp:inline distT="0" distB="0" distL="114300" distR="114300">
            <wp:extent cx="5268595" cy="3779520"/>
            <wp:effectExtent l="0" t="0" r="8255" b="1143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7"/>
                    <a:stretch>
                      <a:fillRect/>
                    </a:stretch>
                  </pic:blipFill>
                  <pic:spPr>
                    <a:xfrm>
                      <a:off x="0" y="0"/>
                      <a:ext cx="5268595" cy="3779520"/>
                    </a:xfrm>
                    <a:prstGeom prst="rect">
                      <a:avLst/>
                    </a:prstGeom>
                    <a:noFill/>
                    <a:ln>
                      <a:noFill/>
                    </a:ln>
                  </pic:spPr>
                </pic:pic>
              </a:graphicData>
            </a:graphic>
          </wp:inline>
        </w:drawing>
      </w:r>
    </w:p>
    <w:p w14:paraId="58F8E393">
      <w:pPr>
        <w:numPr>
          <w:ilvl w:val="0"/>
          <w:numId w:val="0"/>
        </w:numPr>
        <w:jc w:val="left"/>
        <w:rPr>
          <w:rFonts w:ascii="Adobe 仿宋 Std R" w:hAnsi="Adobe 仿宋 Std R" w:eastAsia="Adobe 仿宋 Std R" w:cstheme="minorBidi"/>
          <w:kern w:val="2"/>
          <w:sz w:val="32"/>
          <w:szCs w:val="30"/>
        </w:rPr>
      </w:pPr>
    </w:p>
    <w:p w14:paraId="01345A81">
      <w:pPr>
        <w:numPr>
          <w:ilvl w:val="0"/>
          <w:numId w:val="0"/>
        </w:numPr>
        <w:ind w:firstLine="640" w:firstLineChars="20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lang w:val="en-US" w:eastAsia="zh-CN"/>
        </w:rPr>
        <w:t>四、</w:t>
      </w:r>
      <w:r>
        <w:rPr>
          <w:rFonts w:ascii="Adobe 仿宋 Std R" w:hAnsi="Adobe 仿宋 Std R" w:eastAsia="Adobe 仿宋 Std R" w:cstheme="minorBidi"/>
          <w:kern w:val="2"/>
          <w:sz w:val="32"/>
          <w:szCs w:val="30"/>
        </w:rPr>
        <w:t>财政拨款收支总表</w:t>
      </w:r>
    </w:p>
    <w:p w14:paraId="25727C83">
      <w:pPr>
        <w:numPr>
          <w:ilvl w:val="0"/>
          <w:numId w:val="0"/>
        </w:numPr>
        <w:jc w:val="left"/>
        <w:rPr>
          <w:rFonts w:hint="eastAsia" w:ascii="Adobe 仿宋 Std R" w:hAnsi="Adobe 仿宋 Std R" w:eastAsia="Adobe 仿宋 Std R" w:cstheme="minorBidi"/>
          <w:kern w:val="2"/>
          <w:sz w:val="32"/>
          <w:szCs w:val="30"/>
          <w:lang w:val="en-US" w:eastAsia="zh-CN"/>
        </w:rPr>
      </w:pPr>
      <w:r>
        <w:drawing>
          <wp:inline distT="0" distB="0" distL="114300" distR="114300">
            <wp:extent cx="5271135" cy="1219200"/>
            <wp:effectExtent l="0" t="0" r="5715"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8"/>
                    <a:stretch>
                      <a:fillRect/>
                    </a:stretch>
                  </pic:blipFill>
                  <pic:spPr>
                    <a:xfrm>
                      <a:off x="0" y="0"/>
                      <a:ext cx="5271135" cy="1219200"/>
                    </a:xfrm>
                    <a:prstGeom prst="rect">
                      <a:avLst/>
                    </a:prstGeom>
                    <a:noFill/>
                    <a:ln>
                      <a:noFill/>
                    </a:ln>
                  </pic:spPr>
                </pic:pic>
              </a:graphicData>
            </a:graphic>
          </wp:inline>
        </w:drawing>
      </w:r>
    </w:p>
    <w:p w14:paraId="42D0A9B5">
      <w:pPr>
        <w:ind w:firstLine="640" w:firstLineChars="200"/>
        <w:jc w:val="left"/>
        <w:rPr>
          <w:rStyle w:val="11"/>
          <w:rFonts w:hint="default" w:ascii="仿宋" w:hAnsi="仿宋" w:eastAsia="仿宋"/>
          <w:bCs/>
          <w:sz w:val="32"/>
          <w:szCs w:val="32"/>
          <w:lang w:val="en-US" w:eastAsia="zh-CN"/>
        </w:rPr>
      </w:pPr>
      <w:r>
        <w:rPr>
          <w:rStyle w:val="11"/>
          <w:rFonts w:hint="eastAsia" w:ascii="仿宋" w:hAnsi="仿宋" w:eastAsia="仿宋"/>
          <w:bCs/>
          <w:sz w:val="32"/>
          <w:szCs w:val="32"/>
          <w:lang w:val="en-US" w:eastAsia="zh-CN"/>
        </w:rPr>
        <w:t>五、</w:t>
      </w:r>
      <w:r>
        <w:rPr>
          <w:rFonts w:ascii="Adobe 仿宋 Std R" w:hAnsi="Adobe 仿宋 Std R" w:eastAsia="Adobe 仿宋 Std R" w:cstheme="minorBidi"/>
          <w:kern w:val="2"/>
          <w:sz w:val="32"/>
          <w:szCs w:val="30"/>
        </w:rPr>
        <w:t>一般公共预算支出表</w:t>
      </w:r>
    </w:p>
    <w:p w14:paraId="63EC9B6C">
      <w:pPr>
        <w:widowControl/>
        <w:spacing w:line="240" w:lineRule="auto"/>
        <w:jc w:val="both"/>
        <w:rPr>
          <w:rFonts w:hint="eastAsia" w:ascii="仿宋_GB2312" w:hAnsi="Calibri" w:eastAsia="仿宋_GB2312" w:cs="宋体"/>
          <w:b/>
          <w:kern w:val="0"/>
          <w:sz w:val="32"/>
          <w:szCs w:val="32"/>
          <w:lang w:eastAsia="zh-CN"/>
        </w:rPr>
      </w:pPr>
      <w:r>
        <w:drawing>
          <wp:inline distT="0" distB="0" distL="114300" distR="114300">
            <wp:extent cx="5265420" cy="4246245"/>
            <wp:effectExtent l="0" t="0" r="11430" b="190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9"/>
                    <a:stretch>
                      <a:fillRect/>
                    </a:stretch>
                  </pic:blipFill>
                  <pic:spPr>
                    <a:xfrm>
                      <a:off x="0" y="0"/>
                      <a:ext cx="5265420" cy="4246245"/>
                    </a:xfrm>
                    <a:prstGeom prst="rect">
                      <a:avLst/>
                    </a:prstGeom>
                    <a:noFill/>
                    <a:ln>
                      <a:noFill/>
                    </a:ln>
                  </pic:spPr>
                </pic:pic>
              </a:graphicData>
            </a:graphic>
          </wp:inline>
        </w:drawing>
      </w:r>
    </w:p>
    <w:p w14:paraId="5416F29F">
      <w:pPr>
        <w:widowControl/>
        <w:numPr>
          <w:ilvl w:val="0"/>
          <w:numId w:val="2"/>
        </w:numPr>
        <w:spacing w:line="240" w:lineRule="auto"/>
        <w:ind w:left="642" w:leftChars="0" w:firstLine="0" w:firstLineChars="0"/>
        <w:jc w:val="both"/>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一般公共预算基本支出表</w:t>
      </w:r>
    </w:p>
    <w:p w14:paraId="69ADDA22">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r>
        <w:drawing>
          <wp:inline distT="0" distB="0" distL="114300" distR="114300">
            <wp:extent cx="5270500" cy="3622040"/>
            <wp:effectExtent l="0" t="0" r="6350" b="1651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0"/>
                    <a:stretch>
                      <a:fillRect/>
                    </a:stretch>
                  </pic:blipFill>
                  <pic:spPr>
                    <a:xfrm>
                      <a:off x="0" y="0"/>
                      <a:ext cx="5270500" cy="3622040"/>
                    </a:xfrm>
                    <a:prstGeom prst="rect">
                      <a:avLst/>
                    </a:prstGeom>
                    <a:noFill/>
                    <a:ln>
                      <a:noFill/>
                    </a:ln>
                  </pic:spPr>
                </pic:pic>
              </a:graphicData>
            </a:graphic>
          </wp:inline>
        </w:drawing>
      </w:r>
    </w:p>
    <w:p w14:paraId="4A4475D9">
      <w:pPr>
        <w:widowControl/>
        <w:numPr>
          <w:ilvl w:val="0"/>
          <w:numId w:val="2"/>
        </w:numPr>
        <w:spacing w:line="240" w:lineRule="auto"/>
        <w:ind w:left="642" w:leftChars="0" w:firstLine="0" w:firstLineChars="0"/>
        <w:jc w:val="both"/>
        <w:rPr>
          <w:rFonts w:hint="eastAsia" w:ascii="Adobe 仿宋 Std R" w:hAnsi="Adobe 仿宋 Std R" w:eastAsia="Adobe 仿宋 Std R" w:cstheme="minorBidi"/>
          <w:kern w:val="2"/>
          <w:sz w:val="32"/>
          <w:szCs w:val="30"/>
          <w:lang w:val="en-US" w:eastAsia="zh-CN"/>
        </w:rPr>
      </w:pPr>
      <w:r>
        <w:rPr>
          <w:rFonts w:ascii="Adobe 仿宋 Std R" w:hAnsi="Adobe 仿宋 Std R" w:eastAsia="Adobe 仿宋 Std R" w:cstheme="minorBidi"/>
          <w:kern w:val="2"/>
          <w:sz w:val="32"/>
          <w:szCs w:val="30"/>
        </w:rPr>
        <w:t>财政拨款“三公”经费支出表</w:t>
      </w:r>
      <w:r>
        <w:rPr>
          <w:rFonts w:hint="eastAsia" w:ascii="Adobe 仿宋 Std R" w:hAnsi="Adobe 仿宋 Std R" w:eastAsia="Adobe 仿宋 Std R" w:cstheme="minorBidi"/>
          <w:kern w:val="2"/>
          <w:sz w:val="32"/>
          <w:szCs w:val="30"/>
          <w:lang w:val="en-US" w:eastAsia="zh-CN"/>
        </w:rPr>
        <w:t xml:space="preserve">      </w:t>
      </w:r>
    </w:p>
    <w:p w14:paraId="5201D14A">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r>
        <w:drawing>
          <wp:inline distT="0" distB="0" distL="114300" distR="114300">
            <wp:extent cx="5271770" cy="836930"/>
            <wp:effectExtent l="0" t="0" r="5080" b="127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1"/>
                    <a:stretch>
                      <a:fillRect/>
                    </a:stretch>
                  </pic:blipFill>
                  <pic:spPr>
                    <a:xfrm>
                      <a:off x="0" y="0"/>
                      <a:ext cx="5271770" cy="836930"/>
                    </a:xfrm>
                    <a:prstGeom prst="rect">
                      <a:avLst/>
                    </a:prstGeom>
                    <a:noFill/>
                    <a:ln>
                      <a:noFill/>
                    </a:ln>
                  </pic:spPr>
                </pic:pic>
              </a:graphicData>
            </a:graphic>
          </wp:inline>
        </w:drawing>
      </w:r>
    </w:p>
    <w:p w14:paraId="3BB11567">
      <w:pPr>
        <w:widowControl/>
        <w:numPr>
          <w:ilvl w:val="0"/>
          <w:numId w:val="2"/>
        </w:numPr>
        <w:spacing w:line="240" w:lineRule="auto"/>
        <w:ind w:left="642" w:leftChars="0" w:firstLine="0" w:firstLineChars="0"/>
        <w:jc w:val="both"/>
        <w:rPr>
          <w:rFonts w:hint="eastAsia" w:ascii="Adobe 仿宋 Std R" w:hAnsi="Adobe 仿宋 Std R" w:eastAsia="Adobe 仿宋 Std R" w:cstheme="minorBidi"/>
          <w:kern w:val="2"/>
          <w:sz w:val="32"/>
          <w:szCs w:val="30"/>
          <w:lang w:val="en-US" w:eastAsia="zh-CN"/>
        </w:rPr>
      </w:pPr>
      <w:r>
        <w:rPr>
          <w:rFonts w:ascii="Adobe 仿宋 Std R" w:hAnsi="Adobe 仿宋 Std R" w:eastAsia="Adobe 仿宋 Std R" w:cstheme="minorBidi"/>
          <w:kern w:val="2"/>
          <w:sz w:val="32"/>
          <w:szCs w:val="30"/>
        </w:rPr>
        <w:t>政府性基金预算支出表</w:t>
      </w:r>
      <w:r>
        <w:rPr>
          <w:rFonts w:hint="eastAsia" w:ascii="Adobe 仿宋 Std R" w:hAnsi="Adobe 仿宋 Std R" w:eastAsia="Adobe 仿宋 Std R" w:cstheme="minorBidi"/>
          <w:kern w:val="2"/>
          <w:sz w:val="32"/>
          <w:szCs w:val="30"/>
          <w:lang w:val="en-US" w:eastAsia="zh-CN"/>
        </w:rPr>
        <w:t xml:space="preserve">  </w:t>
      </w:r>
    </w:p>
    <w:p w14:paraId="608D44C3">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r>
        <w:drawing>
          <wp:inline distT="0" distB="0" distL="114300" distR="114300">
            <wp:extent cx="5272405" cy="1055370"/>
            <wp:effectExtent l="0" t="0" r="4445" b="1143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2"/>
                    <a:stretch>
                      <a:fillRect/>
                    </a:stretch>
                  </pic:blipFill>
                  <pic:spPr>
                    <a:xfrm>
                      <a:off x="0" y="0"/>
                      <a:ext cx="5272405" cy="1055370"/>
                    </a:xfrm>
                    <a:prstGeom prst="rect">
                      <a:avLst/>
                    </a:prstGeom>
                    <a:noFill/>
                    <a:ln>
                      <a:noFill/>
                    </a:ln>
                  </pic:spPr>
                </pic:pic>
              </a:graphicData>
            </a:graphic>
          </wp:inline>
        </w:drawing>
      </w:r>
    </w:p>
    <w:p w14:paraId="3C2164E4">
      <w:pPr>
        <w:widowControl/>
        <w:numPr>
          <w:ilvl w:val="0"/>
          <w:numId w:val="2"/>
        </w:numPr>
        <w:spacing w:line="240" w:lineRule="auto"/>
        <w:ind w:left="642" w:leftChars="0" w:firstLine="0" w:firstLineChars="0"/>
        <w:jc w:val="both"/>
        <w:rPr>
          <w:rFonts w:hint="eastAsia" w:ascii="Adobe 仿宋 Std R" w:hAnsi="Adobe 仿宋 Std R" w:eastAsia="Adobe 仿宋 Std R" w:cstheme="minorBidi"/>
          <w:kern w:val="2"/>
          <w:sz w:val="32"/>
          <w:szCs w:val="30"/>
          <w:lang w:val="en-US" w:eastAsia="zh-CN"/>
        </w:rPr>
      </w:pP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lang w:val="en-US" w:eastAsia="zh-CN"/>
        </w:rPr>
        <w:t xml:space="preserve">  </w:t>
      </w:r>
    </w:p>
    <w:p w14:paraId="371AE207">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r>
        <w:drawing>
          <wp:inline distT="0" distB="0" distL="114300" distR="114300">
            <wp:extent cx="5272405" cy="1133475"/>
            <wp:effectExtent l="0" t="0" r="4445" b="9525"/>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13"/>
                    <a:stretch>
                      <a:fillRect/>
                    </a:stretch>
                  </pic:blipFill>
                  <pic:spPr>
                    <a:xfrm>
                      <a:off x="0" y="0"/>
                      <a:ext cx="5272405" cy="1133475"/>
                    </a:xfrm>
                    <a:prstGeom prst="rect">
                      <a:avLst/>
                    </a:prstGeom>
                    <a:noFill/>
                    <a:ln>
                      <a:noFill/>
                    </a:ln>
                  </pic:spPr>
                </pic:pic>
              </a:graphicData>
            </a:graphic>
          </wp:inline>
        </w:drawing>
      </w:r>
    </w:p>
    <w:p w14:paraId="6F791C65">
      <w:pPr>
        <w:widowControl/>
        <w:numPr>
          <w:ilvl w:val="0"/>
          <w:numId w:val="2"/>
        </w:numPr>
        <w:spacing w:line="240" w:lineRule="auto"/>
        <w:ind w:left="642" w:leftChars="0" w:firstLine="0" w:firstLineChars="0"/>
        <w:jc w:val="both"/>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项目绩效目标表</w:t>
      </w:r>
    </w:p>
    <w:p w14:paraId="2CFB58F2">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r>
        <w:drawing>
          <wp:inline distT="0" distB="0" distL="114300" distR="114300">
            <wp:extent cx="5269230" cy="7563485"/>
            <wp:effectExtent l="0" t="0" r="7620" b="18415"/>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4"/>
                    <a:stretch>
                      <a:fillRect/>
                    </a:stretch>
                  </pic:blipFill>
                  <pic:spPr>
                    <a:xfrm>
                      <a:off x="0" y="0"/>
                      <a:ext cx="5269230" cy="7563485"/>
                    </a:xfrm>
                    <a:prstGeom prst="rect">
                      <a:avLst/>
                    </a:prstGeom>
                    <a:noFill/>
                    <a:ln>
                      <a:noFill/>
                    </a:ln>
                  </pic:spPr>
                </pic:pic>
              </a:graphicData>
            </a:graphic>
          </wp:inline>
        </w:drawing>
      </w:r>
    </w:p>
    <w:p w14:paraId="258C103B">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p>
    <w:p w14:paraId="095FFB9F">
      <w:pPr>
        <w:jc w:val="left"/>
        <w:rPr>
          <w:rFonts w:ascii="仿宋" w:hAnsi="仿宋" w:eastAsia="仿宋"/>
          <w:bCs/>
          <w:sz w:val="32"/>
          <w:szCs w:val="32"/>
        </w:rPr>
      </w:pPr>
      <w:r>
        <w:drawing>
          <wp:inline distT="0" distB="0" distL="114300" distR="114300">
            <wp:extent cx="5269230" cy="7563485"/>
            <wp:effectExtent l="0" t="0" r="7620" b="18415"/>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15"/>
                    <a:stretch>
                      <a:fillRect/>
                    </a:stretch>
                  </pic:blipFill>
                  <pic:spPr>
                    <a:xfrm>
                      <a:off x="0" y="0"/>
                      <a:ext cx="5269230" cy="7563485"/>
                    </a:xfrm>
                    <a:prstGeom prst="rect">
                      <a:avLst/>
                    </a:prstGeom>
                    <a:noFill/>
                    <a:ln>
                      <a:noFill/>
                    </a:ln>
                  </pic:spPr>
                </pic:pic>
              </a:graphicData>
            </a:graphic>
          </wp:inline>
        </w:drawing>
      </w:r>
    </w:p>
    <w:p w14:paraId="690ED1BF">
      <w:pPr>
        <w:ind w:firstLine="640" w:firstLineChars="200"/>
        <w:jc w:val="left"/>
        <w:rPr>
          <w:rStyle w:val="11"/>
          <w:rFonts w:ascii="仿宋" w:hAnsi="仿宋" w:eastAsia="仿宋"/>
          <w:bCs/>
          <w:sz w:val="32"/>
          <w:szCs w:val="32"/>
        </w:rPr>
      </w:pPr>
    </w:p>
    <w:p w14:paraId="3BCF1090">
      <w:pPr>
        <w:ind w:firstLine="640" w:firstLineChars="200"/>
        <w:jc w:val="left"/>
        <w:rPr>
          <w:rStyle w:val="11"/>
          <w:rFonts w:ascii="仿宋" w:hAnsi="仿宋" w:eastAsia="仿宋"/>
          <w:bCs/>
          <w:sz w:val="32"/>
          <w:szCs w:val="32"/>
        </w:rPr>
      </w:pPr>
    </w:p>
    <w:p w14:paraId="79E1B0B3">
      <w:pPr>
        <w:ind w:firstLine="640" w:firstLineChars="200"/>
        <w:jc w:val="left"/>
        <w:rPr>
          <w:rStyle w:val="11"/>
          <w:rFonts w:ascii="仿宋" w:hAnsi="仿宋" w:eastAsia="仿宋"/>
          <w:bCs/>
          <w:sz w:val="32"/>
          <w:szCs w:val="32"/>
        </w:rPr>
      </w:pPr>
    </w:p>
    <w:p w14:paraId="38386143">
      <w:pPr>
        <w:ind w:firstLine="640" w:firstLineChars="200"/>
        <w:jc w:val="left"/>
        <w:rPr>
          <w:rStyle w:val="11"/>
          <w:rFonts w:ascii="仿宋" w:hAnsi="仿宋" w:eastAsia="仿宋"/>
          <w:bCs/>
          <w:sz w:val="32"/>
          <w:szCs w:val="32"/>
        </w:rPr>
      </w:pPr>
    </w:p>
    <w:p w14:paraId="45C8742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庐山市第二小学</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19F1DA1C">
      <w:pPr>
        <w:widowControl/>
        <w:spacing w:line="580" w:lineRule="exact"/>
        <w:jc w:val="center"/>
        <w:rPr>
          <w:rFonts w:ascii="仿宋_GB2312" w:eastAsia="仿宋_GB2312"/>
          <w:b/>
          <w:sz w:val="32"/>
          <w:szCs w:val="30"/>
        </w:rPr>
      </w:pPr>
    </w:p>
    <w:p w14:paraId="119BFD6B">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31FC35B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2D5D3BC5">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庐山市第二小学</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1644.04</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298.59</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1625.68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550.28</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增加变化原因为新增人员及调资。</w:t>
      </w:r>
    </w:p>
    <w:p w14:paraId="1470D9D8">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7607EDB6">
      <w:pPr>
        <w:widowControl/>
        <w:ind w:firstLine="640" w:firstLineChars="200"/>
        <w:rPr>
          <w:rFonts w:hint="default" w:ascii="仿宋" w:hAnsi="仿宋" w:eastAsia="仿宋" w:cs="Times New Roman"/>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Fonts w:hint="eastAsia" w:ascii="仿宋" w:hAnsi="仿宋" w:eastAsia="仿宋" w:cs="Times New Roman"/>
          <w:kern w:val="0"/>
          <w:sz w:val="32"/>
          <w:szCs w:val="32"/>
          <w:lang w:val="en-US" w:eastAsia="zh-CN"/>
        </w:rPr>
        <w:t>5年</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${page540426799.ds254512694_REP_JXJC_AGENCY_WZR_NAME}</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庐山市第二小学</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${page540426799.ds357974894_REP_BGT_T_HC1100002019_DXQ02DW_S_ZJ}</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支出预算总额为1644.04万元,较上年预算安排增加298.59万元;</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t>增加变化原因为新增人员及调资。</w:t>
      </w:r>
    </w:p>
    <w:p w14:paraId="3C932E7C">
      <w:pPr>
        <w:widowControl/>
        <w:ind w:firstLine="640" w:firstLineChars="200"/>
        <w:rPr>
          <w:rStyle w:val="11"/>
          <w:rFonts w:ascii="仿宋" w:hAnsi="仿宋" w:eastAsia="仿宋" w:cs="Times New Roman"/>
          <w:sz w:val="32"/>
          <w:szCs w:val="32"/>
        </w:rPr>
      </w:pPr>
      <w:r>
        <w:rPr>
          <w:rFonts w:hint="eastAsia" w:ascii="仿宋" w:hAnsi="仿宋" w:eastAsia="仿宋" w:cs="Times New Roman"/>
          <w:kern w:val="0"/>
          <w:sz w:val="32"/>
          <w:szCs w:val="32"/>
          <w:lang w:val="en-US" w:eastAsia="zh-CN"/>
        </w:rPr>
        <w:t xml:space="preserve">其中：按支出项目类别划分： </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${page540426799.ds357974894_REP_BGT_T_HC1100002019_DXQ02DW_JBZCQK}</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基本支出1604.68万元,较上年预算安排增加617.63万元;其中：工资福利支出1460.42万元,商品和服务支出0.49万元,对个人和家庭的补助143.77万元。</w:t>
      </w:r>
      <w:r>
        <w:rPr>
          <w:rFonts w:hint="eastAsia" w:ascii="仿宋" w:hAnsi="仿宋" w:eastAsia="仿宋" w:cs="Times New Roman"/>
          <w:kern w:val="0"/>
          <w:sz w:val="32"/>
          <w:szCs w:val="32"/>
          <w:lang w:val="en-US" w:eastAsia="zh-CN"/>
        </w:rPr>
        <w:fldChar w:fldCharType="end"/>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${page540426799.ds357974894_REP_BGT_T_HC1100002019_DXQ02DW_XMZCQK}</w:instrText>
      </w:r>
      <w:r>
        <w:rPr>
          <w:rStyle w:val="11"/>
          <w:rFonts w:ascii="仿宋" w:hAnsi="仿宋" w:eastAsia="仿宋" w:cs="Times New Roman"/>
          <w:sz w:val="32"/>
          <w:szCs w:val="32"/>
        </w:rPr>
        <w:fldChar w:fldCharType="separate"/>
      </w:r>
      <w:r>
        <w:rPr>
          <w:rStyle w:val="11"/>
          <w:rFonts w:ascii="仿宋" w:hAnsi="仿宋" w:eastAsia="仿宋" w:cs="Times New Roman"/>
          <w:sz w:val="32"/>
          <w:szCs w:val="32"/>
        </w:rPr>
        <w:t>项目支出</w:t>
      </w:r>
      <w:r>
        <w:rPr>
          <w:rStyle w:val="11"/>
          <w:rFonts w:hint="eastAsia" w:ascii="仿宋" w:hAnsi="仿宋" w:eastAsia="仿宋" w:cs="Times New Roman"/>
          <w:sz w:val="32"/>
          <w:szCs w:val="32"/>
          <w:lang w:val="en-US" w:eastAsia="zh-CN"/>
        </w:rPr>
        <w:t>39.36</w:t>
      </w:r>
      <w:r>
        <w:rPr>
          <w:rStyle w:val="11"/>
          <w:rFonts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319.04</w:t>
      </w:r>
      <w:r>
        <w:rPr>
          <w:rStyle w:val="11"/>
          <w:rFonts w:ascii="仿宋" w:hAnsi="仿宋" w:eastAsia="仿宋" w:cs="Times New Roman"/>
          <w:sz w:val="32"/>
          <w:szCs w:val="32"/>
        </w:rPr>
        <w:t>万元;其中：商品和服务支出</w:t>
      </w:r>
      <w:r>
        <w:rPr>
          <w:rStyle w:val="11"/>
          <w:rFonts w:hint="eastAsia" w:ascii="仿宋" w:hAnsi="仿宋" w:eastAsia="仿宋" w:cs="Times New Roman"/>
          <w:sz w:val="32"/>
          <w:szCs w:val="32"/>
          <w:lang w:val="en-US" w:eastAsia="zh-CN"/>
        </w:rPr>
        <w:t>319.04</w:t>
      </w:r>
      <w:r>
        <w:rPr>
          <w:rStyle w:val="11"/>
          <w:rFonts w:ascii="仿宋" w:hAnsi="仿宋" w:eastAsia="仿宋" w:cs="Times New Roman"/>
          <w:sz w:val="32"/>
          <w:szCs w:val="32"/>
        </w:rPr>
        <w:t>万元,资本性支出</w:t>
      </w:r>
      <w:r>
        <w:rPr>
          <w:rStyle w:val="11"/>
          <w:rFonts w:hint="eastAsia" w:ascii="仿宋" w:hAnsi="仿宋" w:eastAsia="仿宋" w:cs="Times New Roman"/>
          <w:sz w:val="32"/>
          <w:szCs w:val="32"/>
          <w:lang w:val="en-US" w:eastAsia="zh-CN"/>
        </w:rPr>
        <w:t>0</w:t>
      </w:r>
      <w:r>
        <w:rPr>
          <w:rStyle w:val="11"/>
          <w:rFonts w:ascii="仿宋" w:hAnsi="仿宋" w:eastAsia="仿宋" w:cs="Times New Roman"/>
          <w:sz w:val="32"/>
          <w:szCs w:val="32"/>
        </w:rPr>
        <w:t>万元。</w:t>
      </w:r>
      <w:r>
        <w:rPr>
          <w:rStyle w:val="11"/>
          <w:rFonts w:ascii="仿宋" w:hAnsi="仿宋" w:eastAsia="仿宋" w:cs="Times New Roman"/>
          <w:sz w:val="32"/>
          <w:szCs w:val="32"/>
        </w:rPr>
        <w:fldChar w:fldCharType="end"/>
      </w:r>
    </w:p>
    <w:p w14:paraId="5EF5C55D">
      <w:pPr>
        <w:ind w:firstLine="640" w:firstLineChars="200"/>
        <w:rPr>
          <w:rStyle w:val="11"/>
          <w:rFonts w:ascii="仿宋" w:hAnsi="仿宋" w:eastAsia="仿宋" w:cs="Times New Roman"/>
          <w:sz w:val="32"/>
          <w:szCs w:val="32"/>
        </w:rPr>
      </w:pPr>
      <w:r>
        <w:rPr>
          <w:rStyle w:val="11"/>
          <w:rFonts w:hint="eastAsia" w:ascii="仿宋" w:hAnsi="仿宋" w:eastAsia="仿宋" w:cs="Times New Roman"/>
          <w:sz w:val="32"/>
          <w:szCs w:val="32"/>
        </w:rPr>
        <w:t>按支出功能科目划分：</w:t>
      </w:r>
      <w:r>
        <w:rPr>
          <w:rStyle w:val="11"/>
          <w:rFonts w:ascii="仿宋" w:hAnsi="仿宋" w:eastAsia="仿宋" w:cs="Times New Roman"/>
          <w:sz w:val="32"/>
          <w:szCs w:val="32"/>
        </w:rPr>
        <w:t xml:space="preserve"> </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${page540426799.ds197859873_REP_BGT_T_HC1100002019DXQ01DW_GNZJMX}</w:instrText>
      </w:r>
      <w:r>
        <w:rPr>
          <w:rStyle w:val="11"/>
          <w:rFonts w:ascii="仿宋" w:hAnsi="仿宋" w:eastAsia="仿宋" w:cs="Times New Roman"/>
          <w:sz w:val="32"/>
          <w:szCs w:val="32"/>
        </w:rPr>
        <w:fldChar w:fldCharType="separate"/>
      </w:r>
      <w:r>
        <w:rPr>
          <w:rStyle w:val="11"/>
          <w:rFonts w:hint="eastAsia" w:ascii="仿宋" w:hAnsi="仿宋" w:eastAsia="仿宋" w:cs="Times New Roman"/>
          <w:sz w:val="32"/>
          <w:szCs w:val="32"/>
          <w:lang w:val="en-US" w:eastAsia="zh-CN"/>
        </w:rPr>
        <w:t>教育</w:t>
      </w:r>
      <w:r>
        <w:rPr>
          <w:rStyle w:val="11"/>
          <w:rFonts w:ascii="仿宋" w:hAnsi="仿宋" w:eastAsia="仿宋" w:cs="Times New Roman"/>
          <w:sz w:val="32"/>
          <w:szCs w:val="32"/>
        </w:rPr>
        <w:t>支出</w:t>
      </w:r>
      <w:r>
        <w:rPr>
          <w:rStyle w:val="11"/>
          <w:rFonts w:hint="eastAsia" w:ascii="仿宋" w:hAnsi="仿宋" w:eastAsia="仿宋" w:cs="Times New Roman"/>
          <w:sz w:val="32"/>
          <w:szCs w:val="32"/>
          <w:lang w:val="en-US" w:eastAsia="zh-CN"/>
        </w:rPr>
        <w:t>1207.28</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116.23</w:t>
      </w:r>
      <w:r>
        <w:rPr>
          <w:rStyle w:val="11"/>
          <w:rFonts w:ascii="仿宋" w:hAnsi="仿宋" w:eastAsia="仿宋" w:cs="Times New Roman"/>
          <w:sz w:val="32"/>
          <w:szCs w:val="32"/>
        </w:rPr>
        <w:t>万元;社会保障和就业支出</w:t>
      </w:r>
      <w:r>
        <w:rPr>
          <w:rStyle w:val="11"/>
          <w:rFonts w:hint="eastAsia" w:ascii="仿宋" w:hAnsi="仿宋" w:eastAsia="仿宋" w:cs="Times New Roman"/>
          <w:sz w:val="32"/>
          <w:szCs w:val="32"/>
          <w:lang w:val="en-US" w:eastAsia="zh-CN"/>
        </w:rPr>
        <w:t>224.67</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94.02</w:t>
      </w:r>
      <w:r>
        <w:rPr>
          <w:rStyle w:val="11"/>
          <w:rFonts w:ascii="仿宋" w:hAnsi="仿宋" w:eastAsia="仿宋" w:cs="Times New Roman"/>
          <w:sz w:val="32"/>
          <w:szCs w:val="32"/>
        </w:rPr>
        <w:t>万元;卫生健康支出</w:t>
      </w:r>
      <w:r>
        <w:rPr>
          <w:rStyle w:val="11"/>
          <w:rFonts w:hint="eastAsia" w:ascii="仿宋" w:hAnsi="仿宋" w:eastAsia="仿宋" w:cs="Times New Roman"/>
          <w:sz w:val="32"/>
          <w:szCs w:val="32"/>
          <w:lang w:val="en-US" w:eastAsia="zh-CN"/>
        </w:rPr>
        <w:t>90.12</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36.81</w:t>
      </w:r>
      <w:r>
        <w:rPr>
          <w:rStyle w:val="11"/>
          <w:rFonts w:ascii="仿宋" w:hAnsi="仿宋" w:eastAsia="仿宋" w:cs="Times New Roman"/>
          <w:sz w:val="32"/>
          <w:szCs w:val="32"/>
        </w:rPr>
        <w:t>万元;住房保障支出</w:t>
      </w:r>
      <w:r>
        <w:rPr>
          <w:rStyle w:val="11"/>
          <w:rFonts w:hint="eastAsia" w:ascii="仿宋" w:hAnsi="仿宋" w:eastAsia="仿宋" w:cs="Times New Roman"/>
          <w:sz w:val="32"/>
          <w:szCs w:val="32"/>
          <w:lang w:val="en-US" w:eastAsia="zh-CN"/>
        </w:rPr>
        <w:t>121.97</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51.52</w:t>
      </w:r>
      <w:r>
        <w:rPr>
          <w:rStyle w:val="11"/>
          <w:rFonts w:ascii="仿宋" w:hAnsi="仿宋" w:eastAsia="仿宋" w:cs="Times New Roman"/>
          <w:sz w:val="32"/>
          <w:szCs w:val="32"/>
        </w:rPr>
        <w:t>万元。</w:t>
      </w:r>
      <w:r>
        <w:rPr>
          <w:rStyle w:val="11"/>
          <w:rFonts w:ascii="仿宋" w:hAnsi="仿宋" w:eastAsia="仿宋" w:cs="Times New Roman"/>
          <w:sz w:val="32"/>
          <w:szCs w:val="32"/>
        </w:rPr>
        <w:fldChar w:fldCharType="end"/>
      </w:r>
    </w:p>
    <w:p w14:paraId="19D3B72C">
      <w:pPr>
        <w:ind w:firstLine="640" w:firstLineChars="200"/>
      </w:pPr>
      <w:r>
        <w:rPr>
          <w:rStyle w:val="11"/>
          <w:rFonts w:hint="eastAsia" w:ascii="仿宋" w:hAnsi="仿宋" w:eastAsia="仿宋" w:cs="Times New Roman"/>
          <w:sz w:val="32"/>
          <w:szCs w:val="32"/>
        </w:rPr>
        <w:t>按支出经济分类划分：</w:t>
      </w:r>
      <w:r>
        <w:rPr>
          <w:rStyle w:val="11"/>
          <w:rFonts w:ascii="仿宋" w:hAnsi="仿宋" w:eastAsia="仿宋" w:cs="Times New Roman"/>
          <w:sz w:val="32"/>
          <w:szCs w:val="32"/>
        </w:rPr>
        <w:t xml:space="preserve"> </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${page540426799.ds197859873_REP_BGT_T_HC1100002019DXQ01DW_JJMX}</w:instrText>
      </w:r>
      <w:r>
        <w:rPr>
          <w:rStyle w:val="11"/>
          <w:rFonts w:ascii="仿宋" w:hAnsi="仿宋" w:eastAsia="仿宋" w:cs="Times New Roman"/>
          <w:sz w:val="32"/>
          <w:szCs w:val="32"/>
        </w:rPr>
        <w:fldChar w:fldCharType="separate"/>
      </w:r>
      <w:r>
        <w:rPr>
          <w:rStyle w:val="11"/>
          <w:rFonts w:ascii="仿宋" w:hAnsi="仿宋" w:eastAsia="仿宋" w:cs="Times New Roman"/>
          <w:sz w:val="32"/>
          <w:szCs w:val="32"/>
        </w:rPr>
        <w:t>工资福利支出</w:t>
      </w:r>
      <w:r>
        <w:rPr>
          <w:rStyle w:val="11"/>
          <w:rFonts w:hint="eastAsia" w:ascii="仿宋" w:hAnsi="仿宋" w:eastAsia="仿宋" w:cs="Times New Roman"/>
          <w:sz w:val="32"/>
          <w:szCs w:val="32"/>
          <w:lang w:val="en-US" w:eastAsia="zh-CN"/>
        </w:rPr>
        <w:t>1460.42</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473.85</w:t>
      </w:r>
      <w:r>
        <w:rPr>
          <w:rStyle w:val="11"/>
          <w:rFonts w:ascii="仿宋" w:hAnsi="仿宋" w:eastAsia="仿宋" w:cs="Times New Roman"/>
          <w:sz w:val="32"/>
          <w:szCs w:val="32"/>
        </w:rPr>
        <w:t>万元;商品和服务支出</w:t>
      </w:r>
      <w:r>
        <w:rPr>
          <w:rStyle w:val="11"/>
          <w:rFonts w:hint="eastAsia" w:ascii="仿宋" w:hAnsi="仿宋" w:eastAsia="仿宋" w:cs="Times New Roman"/>
          <w:sz w:val="32"/>
          <w:szCs w:val="32"/>
          <w:lang w:val="en-US" w:eastAsia="zh-CN"/>
        </w:rPr>
        <w:t>0.49</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0.49</w:t>
      </w:r>
      <w:r>
        <w:rPr>
          <w:rStyle w:val="11"/>
          <w:rFonts w:ascii="仿宋" w:hAnsi="仿宋" w:eastAsia="仿宋" w:cs="Times New Roman"/>
          <w:sz w:val="32"/>
          <w:szCs w:val="32"/>
        </w:rPr>
        <w:t>万元;对个人和家庭的补助</w:t>
      </w:r>
      <w:r>
        <w:rPr>
          <w:rStyle w:val="11"/>
          <w:rFonts w:hint="eastAsia" w:ascii="仿宋" w:hAnsi="仿宋" w:eastAsia="仿宋" w:cs="Times New Roman"/>
          <w:sz w:val="32"/>
          <w:szCs w:val="32"/>
          <w:lang w:val="en-US" w:eastAsia="zh-CN"/>
        </w:rPr>
        <w:t>143.77</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143.29</w:t>
      </w:r>
      <w:r>
        <w:rPr>
          <w:rStyle w:val="11"/>
          <w:rFonts w:ascii="仿宋" w:hAnsi="仿宋" w:eastAsia="仿宋" w:cs="Times New Roman"/>
          <w:sz w:val="32"/>
          <w:szCs w:val="32"/>
        </w:rPr>
        <w:t>万元;资本性支出</w:t>
      </w:r>
      <w:r>
        <w:rPr>
          <w:rStyle w:val="11"/>
          <w:rFonts w:hint="eastAsia" w:ascii="仿宋" w:hAnsi="仿宋" w:eastAsia="仿宋" w:cs="Times New Roman"/>
          <w:sz w:val="32"/>
          <w:szCs w:val="32"/>
          <w:lang w:val="en-US" w:eastAsia="zh-CN"/>
        </w:rPr>
        <w:t>0</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0</w:t>
      </w:r>
      <w:r>
        <w:rPr>
          <w:rStyle w:val="11"/>
          <w:rFonts w:ascii="仿宋" w:hAnsi="仿宋" w:eastAsia="仿宋" w:cs="Times New Roman"/>
          <w:sz w:val="32"/>
          <w:szCs w:val="32"/>
        </w:rPr>
        <w:t>万元。</w:t>
      </w:r>
      <w:r>
        <w:rPr>
          <w:rStyle w:val="11"/>
          <w:rFonts w:ascii="仿宋" w:hAnsi="仿宋" w:eastAsia="仿宋" w:cs="Times New Roman"/>
          <w:sz w:val="32"/>
          <w:szCs w:val="32"/>
        </w:rPr>
        <w:fldChar w:fldCharType="end"/>
      </w:r>
    </w:p>
    <w:p w14:paraId="172463C4">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6577FB63">
      <w:pPr>
        <w:widowControl/>
        <w:ind w:firstLine="640" w:firstLineChars="200"/>
        <w:rPr>
          <w:rStyle w:val="11"/>
          <w:rFonts w:hint="default" w:ascii="仿宋" w:hAnsi="仿宋" w:eastAsia="仿宋" w:cs="Times New Roman"/>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cs="Times New Roman"/>
          <w:sz w:val="32"/>
          <w:szCs w:val="32"/>
          <w:lang w:val="en-US" w:eastAsia="zh-CN"/>
        </w:rPr>
        <w:t>5</w:t>
      </w:r>
      <w:r>
        <w:rPr>
          <w:rStyle w:val="11"/>
          <w:rFonts w:hint="eastAsia" w:ascii="仿宋" w:hAnsi="仿宋" w:eastAsia="仿宋" w:cs="Times New Roman"/>
          <w:sz w:val="32"/>
          <w:szCs w:val="32"/>
        </w:rPr>
        <w:t>年</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${page540426799.ds254512694_REP_JXJC_AGENCY_WZR_NAME}</w:instrText>
      </w:r>
      <w:r>
        <w:rPr>
          <w:rStyle w:val="11"/>
          <w:rFonts w:ascii="仿宋" w:hAnsi="仿宋" w:eastAsia="仿宋" w:cs="Times New Roman"/>
          <w:sz w:val="32"/>
          <w:szCs w:val="32"/>
        </w:rPr>
        <w:fldChar w:fldCharType="separate"/>
      </w:r>
      <w:r>
        <w:rPr>
          <w:rStyle w:val="11"/>
          <w:rFonts w:hint="eastAsia" w:ascii="仿宋" w:hAnsi="仿宋" w:eastAsia="仿宋" w:cs="Times New Roman"/>
          <w:sz w:val="32"/>
          <w:szCs w:val="32"/>
          <w:lang w:eastAsia="zh-CN"/>
        </w:rPr>
        <w:t>庐山市第二小学</w:t>
      </w:r>
      <w:r>
        <w:rPr>
          <w:rStyle w:val="11"/>
          <w:rFonts w:ascii="仿宋" w:hAnsi="仿宋" w:eastAsia="仿宋" w:cs="Times New Roman"/>
          <w:sz w:val="32"/>
          <w:szCs w:val="32"/>
        </w:rPr>
        <w:fldChar w:fldCharType="end"/>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${page540426799.ds357974894_REP_BGT_T_HC1100002019_DXQ02DW_S_CBXJ}</w:instrText>
      </w:r>
      <w:r>
        <w:rPr>
          <w:rStyle w:val="11"/>
          <w:rFonts w:ascii="仿宋" w:hAnsi="仿宋" w:eastAsia="仿宋" w:cs="Times New Roman"/>
          <w:sz w:val="32"/>
          <w:szCs w:val="32"/>
        </w:rPr>
        <w:fldChar w:fldCharType="separate"/>
      </w:r>
      <w:r>
        <w:rPr>
          <w:rStyle w:val="11"/>
          <w:rFonts w:ascii="仿宋" w:hAnsi="仿宋" w:eastAsia="仿宋" w:cs="Times New Roman"/>
          <w:sz w:val="32"/>
          <w:szCs w:val="32"/>
        </w:rPr>
        <w:t>财政拨款支出预算总额</w:t>
      </w:r>
      <w:r>
        <w:rPr>
          <w:rStyle w:val="11"/>
          <w:rFonts w:hint="eastAsia" w:ascii="仿宋" w:hAnsi="仿宋" w:eastAsia="仿宋" w:cs="Times New Roman"/>
          <w:sz w:val="32"/>
          <w:szCs w:val="32"/>
          <w:lang w:val="en-US" w:eastAsia="zh-CN"/>
        </w:rPr>
        <w:t>1625.68</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550.28</w:t>
      </w:r>
      <w:r>
        <w:rPr>
          <w:rStyle w:val="11"/>
          <w:rFonts w:ascii="仿宋" w:hAnsi="仿宋" w:eastAsia="仿宋" w:cs="Times New Roman"/>
          <w:sz w:val="32"/>
          <w:szCs w:val="32"/>
        </w:rPr>
        <w:t>万元;</w:t>
      </w:r>
      <w:r>
        <w:rPr>
          <w:rStyle w:val="11"/>
          <w:rFonts w:ascii="仿宋" w:hAnsi="仿宋" w:eastAsia="仿宋" w:cs="Times New Roman"/>
          <w:sz w:val="32"/>
          <w:szCs w:val="32"/>
        </w:rPr>
        <w:fldChar w:fldCharType="end"/>
      </w:r>
      <w:r>
        <w:rPr>
          <w:rStyle w:val="11"/>
          <w:rFonts w:hint="eastAsia" w:ascii="仿宋" w:hAnsi="仿宋" w:eastAsia="仿宋" w:cs="Times New Roman"/>
          <w:sz w:val="32"/>
          <w:szCs w:val="32"/>
          <w:lang w:val="en-US" w:eastAsia="zh-CN"/>
        </w:rPr>
        <w:t>增加变化原因为新增人员及工资调整。</w:t>
      </w:r>
    </w:p>
    <w:p w14:paraId="1B7D81C3">
      <w:pPr>
        <w:widowControl/>
        <w:ind w:firstLine="640" w:firstLineChars="200"/>
        <w:rPr>
          <w:rStyle w:val="11"/>
          <w:rFonts w:ascii="仿宋" w:hAnsi="仿宋" w:eastAsia="仿宋" w:cs="Times New Roman"/>
          <w:sz w:val="32"/>
          <w:szCs w:val="32"/>
        </w:rPr>
      </w:pPr>
      <w:r>
        <w:rPr>
          <w:rStyle w:val="11"/>
          <w:rFonts w:hint="eastAsia" w:ascii="仿宋" w:hAnsi="仿宋" w:eastAsia="仿宋" w:cs="Times New Roman"/>
          <w:sz w:val="32"/>
          <w:szCs w:val="32"/>
        </w:rPr>
        <w:t>按支出功能科目划分：</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${page400644146.ds247441498_REP_BGT_T_HC1100002019DXQ01_GNCBMX}</w:instrText>
      </w:r>
      <w:r>
        <w:rPr>
          <w:rStyle w:val="11"/>
          <w:rFonts w:ascii="仿宋" w:hAnsi="仿宋" w:eastAsia="仿宋" w:cs="Times New Roman"/>
          <w:sz w:val="32"/>
          <w:szCs w:val="32"/>
        </w:rPr>
        <w:fldChar w:fldCharType="separate"/>
      </w:r>
      <w:r>
        <w:rPr>
          <w:rStyle w:val="11"/>
          <w:rFonts w:hint="eastAsia" w:ascii="仿宋" w:hAnsi="仿宋" w:eastAsia="仿宋" w:cs="Times New Roman"/>
          <w:sz w:val="32"/>
          <w:szCs w:val="32"/>
          <w:lang w:val="en-US" w:eastAsia="zh-CN"/>
        </w:rPr>
        <w:t>教育</w:t>
      </w:r>
      <w:r>
        <w:rPr>
          <w:rStyle w:val="11"/>
          <w:rFonts w:ascii="仿宋" w:hAnsi="仿宋" w:eastAsia="仿宋" w:cs="Times New Roman"/>
          <w:sz w:val="32"/>
          <w:szCs w:val="32"/>
        </w:rPr>
        <w:t>支出</w:t>
      </w:r>
      <w:r>
        <w:rPr>
          <w:rStyle w:val="11"/>
          <w:rFonts w:hint="eastAsia" w:ascii="仿宋" w:hAnsi="仿宋" w:eastAsia="仿宋" w:cs="Times New Roman"/>
          <w:sz w:val="32"/>
          <w:szCs w:val="32"/>
          <w:lang w:val="en-US" w:eastAsia="zh-CN"/>
        </w:rPr>
        <w:t>1188.92</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367.93</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ascii="仿宋" w:hAnsi="仿宋" w:eastAsia="仿宋" w:cs="Times New Roman"/>
          <w:sz w:val="32"/>
          <w:szCs w:val="32"/>
        </w:rPr>
        <w:t>社会保障和就业支出</w:t>
      </w:r>
      <w:r>
        <w:rPr>
          <w:rStyle w:val="11"/>
          <w:rFonts w:hint="eastAsia" w:ascii="仿宋" w:hAnsi="仿宋" w:eastAsia="仿宋" w:cs="Times New Roman"/>
          <w:sz w:val="32"/>
          <w:szCs w:val="32"/>
          <w:lang w:val="en-US" w:eastAsia="zh-CN"/>
        </w:rPr>
        <w:t>224.67</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94.02</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ascii="仿宋" w:hAnsi="仿宋" w:eastAsia="仿宋" w:cs="Times New Roman"/>
          <w:sz w:val="32"/>
          <w:szCs w:val="32"/>
        </w:rPr>
        <w:t>卫生健康支出</w:t>
      </w:r>
      <w:r>
        <w:rPr>
          <w:rStyle w:val="11"/>
          <w:rFonts w:hint="eastAsia" w:ascii="仿宋" w:hAnsi="仿宋" w:eastAsia="仿宋" w:cs="Times New Roman"/>
          <w:sz w:val="32"/>
          <w:szCs w:val="32"/>
          <w:lang w:val="en-US" w:eastAsia="zh-CN"/>
        </w:rPr>
        <w:t>90.12</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36.81</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ascii="仿宋" w:hAnsi="仿宋" w:eastAsia="仿宋" w:cs="Times New Roman"/>
          <w:sz w:val="32"/>
          <w:szCs w:val="32"/>
        </w:rPr>
        <w:t>住房保障支出</w:t>
      </w:r>
      <w:r>
        <w:rPr>
          <w:rStyle w:val="11"/>
          <w:rFonts w:hint="eastAsia" w:ascii="仿宋" w:hAnsi="仿宋" w:eastAsia="仿宋" w:cs="Times New Roman"/>
          <w:sz w:val="32"/>
          <w:szCs w:val="32"/>
          <w:lang w:val="en-US" w:eastAsia="zh-CN"/>
        </w:rPr>
        <w:t>121.97</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ascii="仿宋" w:hAnsi="仿宋" w:eastAsia="仿宋" w:cs="Times New Roman"/>
          <w:sz w:val="32"/>
          <w:szCs w:val="32"/>
        </w:rPr>
        <w:t>较上年预算安排增加</w:t>
      </w:r>
      <w:r>
        <w:rPr>
          <w:rStyle w:val="11"/>
          <w:rFonts w:hint="eastAsia" w:ascii="仿宋" w:hAnsi="仿宋" w:eastAsia="仿宋" w:cs="Times New Roman"/>
          <w:sz w:val="32"/>
          <w:szCs w:val="32"/>
          <w:lang w:val="en-US" w:eastAsia="zh-CN"/>
        </w:rPr>
        <w:t>51.52</w:t>
      </w:r>
      <w:r>
        <w:rPr>
          <w:rStyle w:val="11"/>
          <w:rFonts w:ascii="仿宋" w:hAnsi="仿宋" w:eastAsia="仿宋" w:cs="Times New Roman"/>
          <w:sz w:val="32"/>
          <w:szCs w:val="32"/>
        </w:rPr>
        <w:t>万元。</w:t>
      </w:r>
      <w:r>
        <w:rPr>
          <w:rStyle w:val="11"/>
          <w:rFonts w:ascii="仿宋" w:hAnsi="仿宋" w:eastAsia="仿宋" w:cs="Times New Roman"/>
          <w:sz w:val="32"/>
          <w:szCs w:val="32"/>
        </w:rPr>
        <w:fldChar w:fldCharType="end"/>
      </w:r>
    </w:p>
    <w:p w14:paraId="1300F0F3">
      <w:pPr>
        <w:widowControl/>
        <w:ind w:firstLine="640" w:firstLineChars="200"/>
      </w:pPr>
      <w:r>
        <w:rPr>
          <w:rStyle w:val="11"/>
          <w:rFonts w:hint="eastAsia" w:ascii="仿宋" w:hAnsi="仿宋" w:eastAsia="仿宋" w:cs="Times New Roman"/>
          <w:sz w:val="32"/>
          <w:szCs w:val="32"/>
        </w:rPr>
        <w:t>按支出项目类别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1604.68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617.63</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1460.42</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0.49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143.77</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39.36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319.04</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39.36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4BBC9DF6">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78BDA52A">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本单位没有使用政府性基金预算拨款安排的支出</w:t>
      </w:r>
    </w:p>
    <w:p w14:paraId="7595A6D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7F358FF4">
      <w:pPr>
        <w:widowControl/>
        <w:ind w:firstLine="640" w:firstLineChars="200"/>
        <w:rPr>
          <w:rStyle w:val="11"/>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本</w:t>
      </w:r>
      <w:r>
        <w:rPr>
          <w:rFonts w:hint="eastAsia" w:ascii="Adobe 仿宋 Std R" w:hAnsi="Adobe 仿宋 Std R" w:eastAsia="Adobe 仿宋 Std R"/>
          <w:sz w:val="32"/>
          <w:szCs w:val="32"/>
          <w:lang w:val="en-US" w:eastAsia="zh-CN"/>
        </w:rPr>
        <w:t>单位</w:t>
      </w:r>
      <w:r>
        <w:rPr>
          <w:rFonts w:hint="eastAsia" w:ascii="Adobe 仿宋 Std R" w:hAnsi="Adobe 仿宋 Std R" w:eastAsia="Adobe 仿宋 Std R"/>
          <w:sz w:val="32"/>
          <w:szCs w:val="32"/>
        </w:rPr>
        <w:t>没有使用国有资本经营预算拨款安排的支出</w:t>
      </w:r>
    </w:p>
    <w:p w14:paraId="7C6ED67D">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7CC00A27">
      <w:pPr>
        <w:widowControl/>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本单位非行政参公单位，无机关运行经费</w:t>
      </w:r>
    </w:p>
    <w:p w14:paraId="6305E771">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C4692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7AC7DDF4">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317AB98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7</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E5376BC">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none"/>
          <w:lang w:val="en-US" w:eastAsia="zh-CN"/>
        </w:rPr>
        <w:t>0辆</w:t>
      </w:r>
      <w:r>
        <w:rPr>
          <w:rFonts w:hint="eastAsia" w:ascii="仿宋_GB2312" w:eastAsia="仿宋_GB2312"/>
          <w:sz w:val="32"/>
          <w:szCs w:val="30"/>
        </w:rPr>
        <w:t>。</w:t>
      </w:r>
    </w:p>
    <w:p w14:paraId="75FB16E5">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Fonts w:hint="eastAsia" w:ascii="Adobe 仿宋 Std R" w:hAnsi="Adobe 仿宋 Std R" w:eastAsia="Adobe 仿宋 Std R"/>
          <w:sz w:val="32"/>
          <w:szCs w:val="32"/>
        </w:rPr>
        <w:t xml:space="preserve">  </w:t>
      </w:r>
      <w:r>
        <w:rPr>
          <w:rStyle w:val="11"/>
          <w:rFonts w:hint="eastAsia" w:ascii="Adobe 仿宋 Std R" w:hAnsi="Adobe 仿宋 Std R" w:eastAsia="Adobe 仿宋 Std R"/>
          <w:b/>
          <w:sz w:val="32"/>
          <w:szCs w:val="32"/>
          <w:lang w:val="en-US" w:eastAsia="zh-CN"/>
        </w:rPr>
        <w:t>一般非税收入支出支出</w:t>
      </w:r>
      <w:r>
        <w:rPr>
          <w:rStyle w:val="11"/>
          <w:rFonts w:hint="eastAsia" w:ascii="Adobe 仿宋 Std R" w:hAnsi="Adobe 仿宋 Std R" w:eastAsia="Adobe 仿宋 Std R"/>
          <w:b/>
          <w:sz w:val="32"/>
          <w:szCs w:val="32"/>
        </w:rPr>
        <w:t>项目情况说明</w:t>
      </w:r>
    </w:p>
    <w:p w14:paraId="09571D5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3AA4D7D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1C181A39">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06DC21D8">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《庐山市义务教育学校课后服务工作实施方案》（庐教体发〔2021〕92号）。</w:t>
      </w:r>
    </w:p>
    <w:p w14:paraId="04373A37">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5A98EC32">
      <w:pPr>
        <w:numPr>
          <w:ilvl w:val="0"/>
          <w:numId w:val="0"/>
        </w:num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实施主体为庐山市第二小学。</w:t>
      </w:r>
    </w:p>
    <w:p w14:paraId="0B9BD0F1">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5560A01B">
      <w:pPr>
        <w:numPr>
          <w:ilvl w:val="0"/>
          <w:numId w:val="0"/>
        </w:numPr>
        <w:ind w:firstLine="600" w:firstLineChars="200"/>
        <w:rPr>
          <w:rFonts w:hint="eastAsia" w:ascii="Adobe 仿宋 Std R" w:hAnsi="Adobe 仿宋 Std R" w:eastAsia="仿宋"/>
          <w:sz w:val="32"/>
          <w:szCs w:val="32"/>
          <w:lang w:eastAsia="zh-CN"/>
        </w:rPr>
      </w:pPr>
      <w:r>
        <w:rPr>
          <w:rFonts w:hint="eastAsia" w:ascii="仿宋" w:hAnsi="仿宋" w:eastAsia="仿宋" w:cs="仿宋"/>
          <w:sz w:val="30"/>
          <w:szCs w:val="30"/>
        </w:rPr>
        <w:t>课后服务费的10%用于学校课后服务运行（</w:t>
      </w:r>
      <w:r>
        <w:rPr>
          <w:rFonts w:hint="eastAsia" w:ascii="仿宋" w:hAnsi="仿宋" w:eastAsia="仿宋" w:cs="宋体"/>
          <w:bCs/>
          <w:sz w:val="30"/>
          <w:szCs w:val="30"/>
        </w:rPr>
        <w:t>用于支付学校开展课后服务活动产生的水电、宣传、教材、设备器材、教师培训、课程研发等费用；用于支付学校开展学生文体活动等费用；用于支付校级特色兴趣队伍专题训练等费用；用于支付学校课后服务活动相关的其他费用）</w:t>
      </w:r>
      <w:r>
        <w:rPr>
          <w:rFonts w:hint="eastAsia" w:ascii="仿宋" w:hAnsi="仿宋" w:eastAsia="仿宋" w:cs="宋体"/>
          <w:bCs/>
          <w:sz w:val="30"/>
          <w:szCs w:val="30"/>
          <w:lang w:eastAsia="zh-CN"/>
        </w:rPr>
        <w:t>。</w:t>
      </w:r>
    </w:p>
    <w:p w14:paraId="3875589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w:t>
      </w:r>
    </w:p>
    <w:p w14:paraId="16A8927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2025年1月1日至2025年12月31日。</w:t>
      </w:r>
    </w:p>
    <w:p w14:paraId="7D4725B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4124AE24">
      <w:pPr>
        <w:widowControl/>
        <w:spacing w:line="580" w:lineRule="exact"/>
        <w:ind w:firstLine="636"/>
        <w:jc w:val="left"/>
        <w:rPr>
          <w:rStyle w:val="11"/>
          <w:rFonts w:hint="eastAsia" w:ascii="仿宋" w:hAnsi="仿宋" w:eastAsia="仿宋"/>
          <w:sz w:val="32"/>
          <w:szCs w:val="32"/>
          <w:lang w:val="en-US" w:eastAsia="zh-CN"/>
        </w:rPr>
      </w:pPr>
      <w:r>
        <w:rPr>
          <w:rStyle w:val="11"/>
          <w:rFonts w:hint="eastAsia" w:ascii="仿宋" w:hAnsi="仿宋" w:eastAsia="仿宋"/>
          <w:sz w:val="32"/>
          <w:szCs w:val="32"/>
          <w:lang w:val="en-US" w:eastAsia="zh-CN"/>
        </w:rPr>
        <w:t>2025年一般非税收入支出总预算收入为18.36万元，其中其他商品与服务支出18.36万元。</w:t>
      </w:r>
    </w:p>
    <w:p w14:paraId="2C6637F8">
      <w:pPr>
        <w:keepNext w:val="0"/>
        <w:keepLines w:val="0"/>
        <w:widowControl w:val="0"/>
        <w:suppressLineNumbers w:val="0"/>
        <w:spacing w:before="0" w:beforeAutospacing="0" w:after="0" w:afterAutospacing="0"/>
        <w:ind w:left="0" w:leftChars="0" w:right="0"/>
        <w:jc w:val="both"/>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二、庐山市第二小学城乡义务教育生均公用经费（小学）_基本民生保障需求</w:t>
      </w:r>
    </w:p>
    <w:p w14:paraId="616AB8E1">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1）项目概述：城乡义务教育生均公用经费(小学）市级补助资金主要用于保障中小学正常运转，在教学活动、后勤服务和防疫等方面开支，并按少先队员人均不低于30元标准保障少先队工作、活动和辅导员培训经费。</w:t>
      </w:r>
    </w:p>
    <w:p w14:paraId="4B0CB881">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2）立项依据：庐财教指【2024】41号</w:t>
      </w:r>
    </w:p>
    <w:p w14:paraId="17CC39A8">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3）实施主体：庐山市第</w:t>
      </w:r>
      <w:r>
        <w:rPr>
          <w:rFonts w:hint="eastAsia" w:ascii="Adobe 仿宋 Std R" w:hAnsi="Adobe 仿宋 Std R" w:eastAsia="Adobe 仿宋 Std R" w:cs="Adobe 仿宋 Std R"/>
          <w:kern w:val="2"/>
          <w:sz w:val="32"/>
          <w:szCs w:val="32"/>
          <w:lang w:val="en-US" w:eastAsia="zh-CN" w:bidi="ar"/>
        </w:rPr>
        <w:t>二</w:t>
      </w:r>
      <w:r>
        <w:rPr>
          <w:rFonts w:hint="default" w:ascii="Adobe 仿宋 Std R" w:hAnsi="Adobe 仿宋 Std R" w:eastAsia="Adobe 仿宋 Std R" w:cs="Adobe 仿宋 Std R"/>
          <w:kern w:val="2"/>
          <w:sz w:val="32"/>
          <w:szCs w:val="32"/>
          <w:lang w:val="en-US" w:eastAsia="zh-CN" w:bidi="ar"/>
        </w:rPr>
        <w:t>小学</w:t>
      </w:r>
    </w:p>
    <w:p w14:paraId="21B60F81">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4）实施方案：用于教学业务与管理、教师培训、文体活动、水电、维修、办公设备购置等等。</w:t>
      </w:r>
    </w:p>
    <w:p w14:paraId="3078A742">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5）实施周期：2025年1月1日-2025年12月31日</w:t>
      </w:r>
    </w:p>
    <w:p w14:paraId="73176B73">
      <w:pPr>
        <w:widowControl/>
        <w:spacing w:line="580" w:lineRule="exact"/>
        <w:ind w:firstLine="636"/>
        <w:jc w:val="left"/>
        <w:rPr>
          <w:rStyle w:val="11"/>
          <w:rFonts w:hint="default" w:ascii="仿宋" w:hAnsi="仿宋" w:eastAsia="仿宋"/>
          <w:color w:val="FF0000"/>
          <w:sz w:val="32"/>
          <w:szCs w:val="32"/>
          <w:lang w:val="en-US" w:eastAsia="zh-CN"/>
        </w:rPr>
      </w:pPr>
      <w:r>
        <w:rPr>
          <w:rFonts w:hint="default" w:ascii="Adobe 仿宋 Std R" w:hAnsi="Adobe 仿宋 Std R" w:eastAsia="Adobe 仿宋 Std R" w:cs="Times New Roman"/>
          <w:kern w:val="2"/>
          <w:sz w:val="32"/>
          <w:szCs w:val="32"/>
          <w:lang w:val="en-US" w:eastAsia="zh-CN" w:bidi="ar"/>
        </w:rPr>
        <w:t xml:space="preserve"> 6</w:t>
      </w:r>
      <w:r>
        <w:rPr>
          <w:rFonts w:hint="default" w:ascii="Adobe 仿宋 Std R" w:hAnsi="Adobe 仿宋 Std R" w:eastAsia="Adobe 仿宋 Std R" w:cs="Adobe 仿宋 Std R"/>
          <w:kern w:val="2"/>
          <w:sz w:val="32"/>
          <w:szCs w:val="32"/>
          <w:lang w:val="en-US" w:eastAsia="zh-CN" w:bidi="ar"/>
        </w:rPr>
        <w:t>）年度预算安排：</w:t>
      </w:r>
      <w:r>
        <w:rPr>
          <w:rFonts w:hint="eastAsia" w:ascii="Adobe 仿宋 Std R" w:hAnsi="Adobe 仿宋 Std R" w:eastAsia="Adobe 仿宋 Std R" w:cs="Adobe 仿宋 Std R"/>
          <w:kern w:val="2"/>
          <w:sz w:val="32"/>
          <w:szCs w:val="32"/>
          <w:lang w:val="en-US" w:eastAsia="zh-CN" w:bidi="ar"/>
        </w:rPr>
        <w:t>21</w:t>
      </w:r>
      <w:r>
        <w:rPr>
          <w:rFonts w:hint="default" w:ascii="Adobe 仿宋 Std R" w:hAnsi="Adobe 仿宋 Std R" w:eastAsia="Adobe 仿宋 Std R" w:cs="Adobe 仿宋 Std R"/>
          <w:kern w:val="2"/>
          <w:sz w:val="32"/>
          <w:szCs w:val="32"/>
          <w:lang w:val="en-US" w:eastAsia="zh-CN" w:bidi="ar"/>
        </w:rPr>
        <w:t>万元</w:t>
      </w:r>
    </w:p>
    <w:p w14:paraId="7686F2A3">
      <w:pPr>
        <w:widowControl/>
        <w:spacing w:line="580" w:lineRule="exact"/>
        <w:ind w:firstLine="636"/>
        <w:jc w:val="left"/>
        <w:rPr>
          <w:rStyle w:val="11"/>
          <w:rFonts w:hint="eastAsia" w:ascii="仿宋" w:hAnsi="仿宋" w:eastAsia="仿宋"/>
          <w:sz w:val="32"/>
          <w:szCs w:val="32"/>
        </w:rPr>
      </w:pPr>
    </w:p>
    <w:p w14:paraId="76A52CC6">
      <w:pPr>
        <w:widowControl/>
        <w:spacing w:line="580" w:lineRule="exact"/>
        <w:ind w:firstLine="636"/>
        <w:jc w:val="left"/>
        <w:rPr>
          <w:rFonts w:ascii="Adobe 仿宋 Std R" w:hAnsi="Adobe 仿宋 Std R" w:eastAsia="Adobe 仿宋 Std R"/>
          <w:sz w:val="32"/>
          <w:szCs w:val="32"/>
        </w:rPr>
      </w:pPr>
    </w:p>
    <w:p w14:paraId="57A65153">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10C5F921">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庐山市第二小学</w:t>
      </w:r>
      <w:r>
        <w:rPr>
          <w:color w:val="auto"/>
        </w:rPr>
        <w:fldChar w:fldCharType="end"/>
      </w:r>
      <w:r>
        <w:rPr>
          <w:rFonts w:ascii="仿宋" w:hAnsi="仿宋" w:eastAsia="仿宋"/>
          <w:bCs/>
          <w:sz w:val="32"/>
          <w:szCs w:val="32"/>
        </w:rPr>
        <w:t>"</w:t>
      </w:r>
      <w:bookmarkStart w:id="0" w:name="_GoBack"/>
      <w:bookmarkEnd w:id="0"/>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5036763C">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2D2CE51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1FCD9E4D">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3D17B71E">
      <w:pPr>
        <w:ind w:firstLine="640" w:firstLineChars="200"/>
        <w:jc w:val="left"/>
        <w:rPr>
          <w:rStyle w:val="11"/>
          <w:rFonts w:hint="eastAsia" w:ascii="仿宋" w:hAnsi="仿宋" w:eastAsia="仿宋"/>
          <w:color w:val="FF0000"/>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68284261">
      <w:pPr>
        <w:widowControl/>
        <w:spacing w:line="580" w:lineRule="exact"/>
        <w:ind w:firstLine="636"/>
        <w:jc w:val="left"/>
        <w:rPr>
          <w:rStyle w:val="11"/>
          <w:rFonts w:hint="eastAsia" w:ascii="仿宋" w:hAnsi="仿宋" w:eastAsia="仿宋"/>
          <w:sz w:val="32"/>
          <w:szCs w:val="32"/>
        </w:rPr>
      </w:pPr>
    </w:p>
    <w:p w14:paraId="5238B73A">
      <w:pPr>
        <w:widowControl/>
        <w:spacing w:line="580" w:lineRule="exact"/>
        <w:ind w:firstLine="636"/>
        <w:jc w:val="left"/>
        <w:rPr>
          <w:rStyle w:val="11"/>
          <w:rFonts w:hint="eastAsia" w:ascii="仿宋" w:hAnsi="仿宋" w:eastAsia="仿宋"/>
          <w:sz w:val="32"/>
          <w:szCs w:val="32"/>
        </w:rPr>
      </w:pPr>
    </w:p>
    <w:p w14:paraId="011FC57B">
      <w:pPr>
        <w:widowControl/>
        <w:shd w:val="clear" w:color="auto" w:fill="FFFFFF"/>
        <w:spacing w:line="640" w:lineRule="atLeast"/>
        <w:jc w:val="both"/>
        <w:rPr>
          <w:rFonts w:ascii="仿宋_GB2312" w:eastAsia="仿宋_GB2312"/>
          <w:b/>
          <w:sz w:val="32"/>
          <w:szCs w:val="30"/>
        </w:rPr>
      </w:pPr>
    </w:p>
    <w:p w14:paraId="40CD980C">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01A2F02C">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076267AC">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4643B070">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5EDF9F12">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469C644E">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4F9E4B3D">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46578D8B">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3183B55E">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570A71AF">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6BCEFC7D">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33672FA5">
      <w:pPr>
        <w:ind w:firstLine="640" w:firstLineChars="200"/>
        <w:rPr>
          <w:rFonts w:ascii="Adobe 仿宋 Std R" w:hAnsi="Adobe 仿宋 Std R" w:eastAsia="Adobe 仿宋 Std R"/>
          <w:sz w:val="32"/>
          <w:szCs w:val="32"/>
        </w:rPr>
      </w:pPr>
    </w:p>
    <w:p w14:paraId="0D301609">
      <w:pPr>
        <w:ind w:firstLine="640" w:firstLineChars="200"/>
        <w:rPr>
          <w:rFonts w:ascii="Adobe 仿宋 Std R" w:hAnsi="Adobe 仿宋 Std R" w:eastAsia="Adobe 仿宋 Std R"/>
          <w:sz w:val="32"/>
          <w:szCs w:val="32"/>
        </w:rPr>
      </w:pPr>
    </w:p>
    <w:p w14:paraId="052F34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084BD1F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400F8D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4A9AD5C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270102EA">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40E79D8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4CB303C7">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07AD21E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51CFD984">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0C9144FE">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65AA104">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2B345D44">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70E05">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90DAC"/>
    <w:multiLevelType w:val="singleLevel"/>
    <w:tmpl w:val="95E90DAC"/>
    <w:lvl w:ilvl="0" w:tentative="0">
      <w:start w:val="6"/>
      <w:numFmt w:val="chineseCounting"/>
      <w:suff w:val="nothing"/>
      <w:lvlText w:val="%1、"/>
      <w:lvlJc w:val="left"/>
      <w:pPr>
        <w:ind w:left="642" w:leftChars="0" w:firstLine="0" w:firstLineChars="0"/>
      </w:pPr>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abstractNum w:abstractNumId="2">
    <w:nsid w:val="597AA4A3"/>
    <w:multiLevelType w:val="singleLevel"/>
    <w:tmpl w:val="597AA4A3"/>
    <w:lvl w:ilvl="0" w:tentative="0">
      <w:start w:val="2"/>
      <w:numFmt w:val="decimal"/>
      <w:suff w:val="nothing"/>
      <w:lvlText w:val="%1）"/>
      <w:lvlJc w:val="left"/>
      <w:pPr>
        <w:ind w:left="1122" w:leftChars="0" w:firstLine="0" w:firstLineChars="0"/>
      </w:pPr>
    </w:lvl>
  </w:abstractNum>
  <w:abstractNum w:abstractNumId="3">
    <w:nsid w:val="64D0782B"/>
    <w:multiLevelType w:val="singleLevel"/>
    <w:tmpl w:val="64D0782B"/>
    <w:lvl w:ilvl="0" w:tentative="0">
      <w:start w:val="3"/>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Yzc4Zjg4OGZiNzc0ZjZiMzQzNWZjNTVlY2VmYzEifQ=="/>
    <w:docVar w:name="KSO_WPS_MARK_KEY" w:val="e8939710-41ab-4efb-bf7a-6df1a4660b38"/>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1E41201"/>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8EA1744"/>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1.emf"/><Relationship Id="rId14" Type="http://schemas.openxmlformats.org/officeDocument/2006/relationships/image" Target="media/image10.emf"/><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emf"/><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4378</Words>
  <Characters>4707</Characters>
  <Lines>53</Lines>
  <Paragraphs>15</Paragraphs>
  <TotalTime>2</TotalTime>
  <ScaleCrop>false</ScaleCrop>
  <LinksUpToDate>false</LinksUpToDate>
  <CharactersWithSpaces>4771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芒果样的粉红</cp:lastModifiedBy>
  <dcterms:modified xsi:type="dcterms:W3CDTF">2025-01-08T08:45:49Z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1C6A664CE63C4A5F8DA75971F3F4F1DD_13</vt:lpwstr>
  </property>
  <property fmtid="{D5CDD505-2E9C-101B-9397-08002B2CF9AE}" pid="4" name="KSOTemplateDocerSaveRecord">
    <vt:lpwstr>eyJoZGlkIjoiMzEwNTM5NzYwMDRjMzkwZTVkZjY2ODkwMGIxNGU0OTUiLCJ1c2VySWQiOiI1NzI2MDgxNDEifQ==</vt:lpwstr>
  </property>
</Properties>
</file>