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eastAsia="黑体"/>
          <w:sz w:val="44"/>
          <w:szCs w:val="36"/>
        </w:rPr>
      </w:pPr>
      <w:r>
        <w:rPr>
          <w:rFonts w:hint="eastAsia" w:ascii="黑体" w:hAnsi="黑体" w:eastAsia="黑体"/>
          <w:sz w:val="44"/>
          <w:szCs w:val="36"/>
        </w:rPr>
        <w:t>庐山市</w:t>
      </w:r>
      <w:bookmarkStart w:id="0" w:name="_GoBack"/>
      <w:bookmarkEnd w:id="0"/>
      <w:r>
        <w:rPr>
          <w:rFonts w:hint="eastAsia" w:ascii="黑体" w:hAnsi="黑体" w:eastAsia="黑体"/>
          <w:sz w:val="44"/>
          <w:szCs w:val="36"/>
          <w:lang w:eastAsia="zh-CN"/>
        </w:rPr>
        <w:t>蛟塘</w:t>
      </w:r>
      <w:r>
        <w:rPr>
          <w:rFonts w:hint="eastAsia" w:ascii="黑体" w:hAnsi="黑体" w:eastAsia="黑体"/>
          <w:sz w:val="44"/>
          <w:szCs w:val="36"/>
        </w:rPr>
        <w:t>镇人民政府（本级）</w:t>
      </w:r>
      <w:r>
        <w:rPr>
          <w:rFonts w:hint="eastAsia" w:ascii="黑体" w:eastAsia="黑体"/>
          <w:sz w:val="44"/>
          <w:szCs w:val="36"/>
          <w:lang w:eastAsia="zh-CN"/>
        </w:rPr>
        <w:t>2018</w:t>
      </w:r>
      <w:r>
        <w:rPr>
          <w:rFonts w:hint="eastAsia" w:ascii="黑体" w:eastAsia="黑体"/>
          <w:sz w:val="44"/>
          <w:szCs w:val="36"/>
        </w:rPr>
        <w:t>年度部门决算</w:t>
      </w:r>
    </w:p>
    <w:p>
      <w:pPr>
        <w:spacing w:line="600" w:lineRule="exact"/>
        <w:jc w:val="center"/>
        <w:rPr>
          <w:rFonts w:ascii="黑体" w:eastAsia="黑体"/>
          <w:sz w:val="44"/>
          <w:szCs w:val="36"/>
        </w:rPr>
      </w:pPr>
    </w:p>
    <w:p>
      <w:pPr>
        <w:spacing w:line="600" w:lineRule="exact"/>
        <w:jc w:val="center"/>
        <w:rPr>
          <w:rFonts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ascii="仿宋_GB2312" w:eastAsia="仿宋_GB2312"/>
          <w:sz w:val="32"/>
          <w:szCs w:val="30"/>
        </w:rPr>
      </w:pPr>
    </w:p>
    <w:p>
      <w:pPr>
        <w:widowControl/>
        <w:spacing w:line="600" w:lineRule="exact"/>
        <w:ind w:firstLine="640"/>
        <w:jc w:val="left"/>
        <w:rPr>
          <w:rFonts w:ascii="黑体" w:hAnsi="黑体" w:eastAsia="黑体"/>
          <w:b/>
          <w:sz w:val="32"/>
          <w:szCs w:val="32"/>
        </w:rPr>
      </w:pPr>
      <w:r>
        <w:rPr>
          <w:rFonts w:hint="eastAsia" w:ascii="黑体" w:hAnsi="黑体" w:eastAsia="黑体"/>
          <w:b/>
          <w:sz w:val="32"/>
          <w:szCs w:val="32"/>
        </w:rPr>
        <w:t>第一部分  部门概况</w:t>
      </w:r>
    </w:p>
    <w:p>
      <w:pPr>
        <w:widowControl/>
        <w:spacing w:line="600" w:lineRule="exact"/>
        <w:ind w:firstLine="640"/>
        <w:jc w:val="left"/>
        <w:rPr>
          <w:rFonts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2018</w:t>
      </w:r>
      <w:r>
        <w:rPr>
          <w:rFonts w:hint="eastAsia" w:ascii="黑体" w:hAnsi="黑体" w:eastAsia="黑体"/>
          <w:sz w:val="32"/>
          <w:szCs w:val="32"/>
        </w:rPr>
        <w:t>年度部门决算表</w:t>
      </w:r>
    </w:p>
    <w:p>
      <w:pPr>
        <w:widowControl/>
        <w:spacing w:line="600" w:lineRule="exact"/>
        <w:ind w:firstLine="1280" w:firstLineChars="400"/>
        <w:jc w:val="left"/>
        <w:rPr>
          <w:rFonts w:hint="eastAsia" w:ascii="黑体" w:hAnsi="黑体" w:eastAsia="黑体"/>
          <w:sz w:val="30"/>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三、财政拨款支出决算情况说明</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四、一般公共预算财政拨款基本支出决算情况说明</w:t>
      </w:r>
    </w:p>
    <w:p>
      <w:pPr>
        <w:widowControl/>
        <w:spacing w:line="600" w:lineRule="exact"/>
        <w:ind w:left="1917" w:leftChars="608" w:hanging="640" w:hangingChars="200"/>
        <w:jc w:val="left"/>
        <w:rPr>
          <w:rFonts w:ascii="仿宋" w:hAnsi="仿宋" w:eastAsia="仿宋" w:cs="宋体"/>
          <w:kern w:val="0"/>
          <w:sz w:val="32"/>
          <w:szCs w:val="32"/>
        </w:rPr>
      </w:pPr>
      <w:r>
        <w:rPr>
          <w:rFonts w:hint="eastAsia" w:ascii="仿宋" w:hAnsi="仿宋" w:eastAsia="仿宋" w:cs="宋体"/>
          <w:kern w:val="0"/>
          <w:sz w:val="32"/>
          <w:szCs w:val="32"/>
        </w:rPr>
        <w:t>五、一般公共预算财政拨款“三公”经费支出决算</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情况说明</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六、国有资产占用情况说明</w:t>
      </w:r>
    </w:p>
    <w:p>
      <w:pPr>
        <w:widowControl/>
        <w:spacing w:line="600" w:lineRule="exact"/>
        <w:jc w:val="left"/>
        <w:rPr>
          <w:rFonts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2018</w:t>
      </w:r>
      <w:r>
        <w:rPr>
          <w:rFonts w:hint="eastAsia" w:ascii="黑体" w:hAnsi="黑体" w:eastAsia="黑体"/>
          <w:sz w:val="32"/>
          <w:szCs w:val="32"/>
        </w:rPr>
        <w:t>年度部门决算情况说明</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一、收入支出决算总表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二、收入决算表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三、支出决算表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四、财政拨款收入支出决算总表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五、一般公共预算财政拨款支出决算表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六、一般公共预算财政拨款基本支出决算表</w:t>
      </w:r>
    </w:p>
    <w:p>
      <w:pPr>
        <w:widowControl/>
        <w:spacing w:line="600" w:lineRule="exact"/>
        <w:ind w:left="1917" w:leftChars="608" w:hanging="640" w:hangingChars="200"/>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七、一般公共预算财政拨款“三公”经费支出决算表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八、政府性基金预算财政拨款收入支出决算表</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第四部分  名词解释</w:t>
      </w: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580" w:lineRule="exact"/>
        <w:jc w:val="center"/>
        <w:rPr>
          <w:rFonts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center"/>
        <w:rPr>
          <w:sz w:val="32"/>
          <w:szCs w:val="32"/>
        </w:rPr>
      </w:pPr>
    </w:p>
    <w:p>
      <w:pPr>
        <w:ind w:firstLine="630"/>
        <w:jc w:val="left"/>
        <w:rPr>
          <w:rFonts w:ascii="黑体" w:hAnsi="黑体" w:eastAsia="黑体"/>
          <w:sz w:val="30"/>
          <w:szCs w:val="30"/>
        </w:rPr>
      </w:pPr>
      <w:r>
        <w:rPr>
          <w:rFonts w:hint="eastAsia" w:ascii="黑体" w:hAnsi="黑体" w:eastAsia="黑体"/>
          <w:sz w:val="30"/>
          <w:szCs w:val="30"/>
        </w:rPr>
        <w:t>一、部门主要职能</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（一）主要职能</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1、制定和组织实施经济和社会发展计划，制定产业结构调整方案，组织指导好各业生产，搞好商品流通，协调好本</w:t>
      </w:r>
      <w:r>
        <w:rPr>
          <w:rFonts w:hint="eastAsia" w:ascii="宋体" w:hAnsi="宋体" w:cs="宋体"/>
          <w:color w:val="333333"/>
          <w:kern w:val="0"/>
          <w:sz w:val="24"/>
          <w:szCs w:val="24"/>
        </w:rPr>
        <w:t>镇</w:t>
      </w:r>
      <w:r>
        <w:rPr>
          <w:rFonts w:ascii="宋体" w:hAnsi="宋体" w:cs="宋体"/>
          <w:color w:val="333333"/>
          <w:kern w:val="0"/>
          <w:sz w:val="24"/>
          <w:szCs w:val="24"/>
        </w:rPr>
        <w:t>与外地区的经济交流与合作，抓好招商引资，不断培育市场体系，组织经济运行，促进经济发展。</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2、制定并组织实施乡村建设规划，地方道路建设及公共设施、水利设施的管理，负责土地、林木、水等自然资源和生态环境的保护，做好护林防火工作。</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3、负责本行政区域内的民政、计划生育、文化教育、卫生、体育等社会公益事业的综合性工作，维护一切经济单位和个人的正当经济权益，取缔非法经济活动，调解和处理民事纠纷，打击刑事犯罪维护社会稳定。</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4、按计划组织本级财政收入和地方税的征收，完成国家财政计划，不断培植税源，管好财政资金，增强财政实力。</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5、抓好精神文明建设，丰富群众文化生活，提倡移风易俗，反对封建迷信，破除陈规陋习，树立社会主义新风尚。</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6、完成上级政府交办的其它事项。</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（二）</w:t>
      </w:r>
      <w:r>
        <w:rPr>
          <w:rFonts w:hint="eastAsia" w:ascii="宋体" w:hAnsi="宋体" w:cs="宋体"/>
          <w:color w:val="333333"/>
          <w:kern w:val="0"/>
          <w:sz w:val="24"/>
          <w:szCs w:val="24"/>
          <w:lang w:eastAsia="zh-CN"/>
        </w:rPr>
        <w:t>2018</w:t>
      </w:r>
      <w:r>
        <w:rPr>
          <w:rFonts w:ascii="宋体" w:hAnsi="宋体" w:cs="宋体"/>
          <w:color w:val="333333"/>
          <w:kern w:val="0"/>
          <w:sz w:val="24"/>
          <w:szCs w:val="24"/>
        </w:rPr>
        <w:t>年重点工作完成情况</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今年以来，我</w:t>
      </w:r>
      <w:r>
        <w:rPr>
          <w:rFonts w:hint="eastAsia" w:ascii="宋体" w:hAnsi="宋体" w:cs="宋体"/>
          <w:color w:val="333333"/>
          <w:kern w:val="0"/>
          <w:sz w:val="24"/>
          <w:szCs w:val="24"/>
        </w:rPr>
        <w:t>镇</w:t>
      </w:r>
      <w:r>
        <w:rPr>
          <w:rFonts w:ascii="宋体" w:hAnsi="宋体" w:cs="宋体"/>
          <w:color w:val="333333"/>
          <w:kern w:val="0"/>
          <w:sz w:val="24"/>
          <w:szCs w:val="24"/>
        </w:rPr>
        <w:t>认真贯彻市政府的发展方略，加快经济建设，凝聚脱贫攻坚合力，促进乡村产业融合发展，</w:t>
      </w:r>
      <w:r>
        <w:rPr>
          <w:rFonts w:hint="eastAsia" w:ascii="宋体" w:hAnsi="宋体" w:cs="宋体"/>
          <w:color w:val="333333"/>
          <w:kern w:val="0"/>
          <w:sz w:val="24"/>
          <w:szCs w:val="24"/>
          <w:lang w:eastAsia="zh-CN"/>
        </w:rPr>
        <w:t>蛟塘</w:t>
      </w:r>
      <w:r>
        <w:rPr>
          <w:rFonts w:hint="eastAsia" w:ascii="宋体" w:hAnsi="宋体" w:cs="宋体"/>
          <w:color w:val="333333"/>
          <w:kern w:val="0"/>
          <w:sz w:val="24"/>
          <w:szCs w:val="24"/>
        </w:rPr>
        <w:t>镇</w:t>
      </w:r>
      <w:r>
        <w:rPr>
          <w:rFonts w:ascii="宋体" w:hAnsi="宋体" w:cs="宋体"/>
          <w:color w:val="333333"/>
          <w:kern w:val="0"/>
          <w:sz w:val="24"/>
          <w:szCs w:val="24"/>
        </w:rPr>
        <w:t>经济和社会各项事业保持良好发展态势。一是致力稳中求进，提升综合经济实力，二是致力规划先行，特色产业蓬勃发展，三是致力项目争取，基础设施全面改善，四是致力脱贫攻坚，如期实现退出验收，五是致力民生事业，筑牢社会保障体系，六是致力新风培育，深入开展六化行动。</w:t>
      </w:r>
    </w:p>
    <w:p>
      <w:pPr>
        <w:widowControl/>
        <w:shd w:val="clear" w:color="auto" w:fill="FFFFFF"/>
        <w:spacing w:line="528" w:lineRule="atLeast"/>
        <w:ind w:firstLine="640"/>
        <w:jc w:val="left"/>
        <w:rPr>
          <w:rFonts w:ascii="宋体" w:hAnsi="宋体" w:cs="宋体"/>
          <w:b/>
          <w:bCs/>
          <w:color w:val="333333"/>
          <w:kern w:val="0"/>
          <w:sz w:val="24"/>
          <w:szCs w:val="24"/>
        </w:rPr>
      </w:pPr>
      <w:r>
        <w:rPr>
          <w:rFonts w:ascii="宋体" w:hAnsi="宋体" w:cs="宋体"/>
          <w:b/>
          <w:bCs/>
          <w:color w:val="333333"/>
          <w:kern w:val="0"/>
          <w:sz w:val="24"/>
          <w:szCs w:val="24"/>
        </w:rPr>
        <w:t>二、部门基本情况</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纳入本套部门决算汇编范围的单位共1个，包括(应列出所有基层预算单位名称):</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本部门</w:t>
      </w:r>
      <w:r>
        <w:rPr>
          <w:rFonts w:hint="eastAsia" w:ascii="宋体" w:hAnsi="宋体" w:cs="宋体"/>
          <w:color w:val="333333"/>
          <w:kern w:val="0"/>
          <w:sz w:val="24"/>
          <w:szCs w:val="24"/>
          <w:lang w:eastAsia="zh-CN"/>
        </w:rPr>
        <w:t>2018</w:t>
      </w:r>
      <w:r>
        <w:rPr>
          <w:rFonts w:ascii="宋体" w:hAnsi="宋体" w:cs="宋体"/>
          <w:color w:val="333333"/>
          <w:kern w:val="0"/>
          <w:sz w:val="24"/>
          <w:szCs w:val="24"/>
        </w:rPr>
        <w:t>年年末编制人数</w:t>
      </w:r>
      <w:r>
        <w:rPr>
          <w:rFonts w:hint="eastAsia" w:ascii="宋体" w:hAnsi="宋体" w:cs="宋体"/>
          <w:color w:val="333333"/>
          <w:kern w:val="0"/>
          <w:sz w:val="24"/>
          <w:szCs w:val="24"/>
          <w:lang w:val="en-US" w:eastAsia="zh-CN"/>
        </w:rPr>
        <w:t>60</w:t>
      </w:r>
      <w:r>
        <w:rPr>
          <w:rFonts w:ascii="宋体" w:hAnsi="宋体" w:cs="宋体"/>
          <w:color w:val="333333"/>
          <w:kern w:val="0"/>
          <w:sz w:val="24"/>
          <w:szCs w:val="24"/>
        </w:rPr>
        <w:t>人，其中行政编制</w:t>
      </w:r>
      <w:r>
        <w:rPr>
          <w:rFonts w:hint="eastAsia" w:ascii="宋体" w:hAnsi="宋体" w:cs="宋体"/>
          <w:color w:val="333333"/>
          <w:kern w:val="0"/>
          <w:sz w:val="24"/>
          <w:szCs w:val="24"/>
          <w:lang w:val="en-US" w:eastAsia="zh-CN"/>
        </w:rPr>
        <w:t>33</w:t>
      </w:r>
      <w:r>
        <w:rPr>
          <w:rFonts w:ascii="宋体" w:hAnsi="宋体" w:cs="宋体"/>
          <w:color w:val="333333"/>
          <w:kern w:val="0"/>
          <w:sz w:val="24"/>
          <w:szCs w:val="24"/>
        </w:rPr>
        <w:t>人，事业编制</w:t>
      </w:r>
      <w:r>
        <w:rPr>
          <w:rFonts w:hint="eastAsia" w:ascii="宋体" w:hAnsi="宋体" w:cs="宋体"/>
          <w:color w:val="333333"/>
          <w:kern w:val="0"/>
          <w:sz w:val="24"/>
          <w:szCs w:val="24"/>
          <w:lang w:val="en-US" w:eastAsia="zh-CN"/>
        </w:rPr>
        <w:t>27</w:t>
      </w:r>
      <w:r>
        <w:rPr>
          <w:rFonts w:ascii="宋体" w:hAnsi="宋体" w:cs="宋体"/>
          <w:color w:val="333333"/>
          <w:kern w:val="0"/>
          <w:sz w:val="24"/>
          <w:szCs w:val="24"/>
        </w:rPr>
        <w:t>人。</w:t>
      </w: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sectPr>
          <w:headerReference r:id="rId3" w:type="default"/>
          <w:headerReference r:id="rId4" w:type="even"/>
          <w:pgSz w:w="11906" w:h="16838"/>
          <w:pgMar w:top="1440" w:right="1800" w:bottom="1440" w:left="1800" w:header="851" w:footer="992" w:gutter="0"/>
          <w:cols w:space="425" w:num="1"/>
          <w:docGrid w:type="lines" w:linePitch="312" w:charSpace="0"/>
        </w:sectPr>
      </w:pPr>
    </w:p>
    <w:p>
      <w:pPr>
        <w:widowControl/>
        <w:spacing w:line="600" w:lineRule="exact"/>
        <w:ind w:firstLine="640"/>
        <w:jc w:val="center"/>
        <w:rPr>
          <w:rFonts w:ascii="宋体" w:hAnsi="宋体"/>
          <w:b/>
          <w:sz w:val="32"/>
          <w:szCs w:val="32"/>
        </w:rPr>
      </w:pPr>
      <w:r>
        <w:rPr>
          <w:rFonts w:hint="eastAsia" w:ascii="宋体" w:hAnsi="宋体"/>
          <w:b/>
          <w:sz w:val="32"/>
          <w:szCs w:val="32"/>
        </w:rPr>
        <w:t xml:space="preserve">第二部分  </w:t>
      </w:r>
      <w:r>
        <w:rPr>
          <w:rFonts w:hint="eastAsia" w:ascii="宋体" w:hAnsi="宋体"/>
          <w:b/>
          <w:sz w:val="32"/>
          <w:szCs w:val="32"/>
          <w:lang w:eastAsia="zh-CN"/>
        </w:rPr>
        <w:t>2018</w:t>
      </w:r>
      <w:r>
        <w:rPr>
          <w:rFonts w:hint="eastAsia" w:ascii="宋体" w:hAnsi="宋体"/>
          <w:b/>
          <w:sz w:val="32"/>
          <w:szCs w:val="32"/>
        </w:rPr>
        <w:t>年度部门决算情况说明</w:t>
      </w:r>
    </w:p>
    <w:p>
      <w:pPr>
        <w:ind w:firstLine="630"/>
        <w:jc w:val="left"/>
        <w:rPr>
          <w:rFonts w:ascii="仿宋" w:hAnsi="仿宋" w:eastAsia="仿宋"/>
          <w:sz w:val="30"/>
          <w:szCs w:val="30"/>
        </w:rPr>
      </w:pPr>
    </w:p>
    <w:p>
      <w:pPr>
        <w:ind w:firstLine="630"/>
        <w:jc w:val="left"/>
        <w:rPr>
          <w:rFonts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年度收入总计</w:t>
      </w:r>
      <w:r>
        <w:rPr>
          <w:rFonts w:hint="eastAsia" w:ascii="仿宋" w:hAnsi="仿宋" w:eastAsia="仿宋"/>
          <w:sz w:val="30"/>
          <w:szCs w:val="30"/>
          <w:lang w:val="en-US" w:eastAsia="zh-CN"/>
        </w:rPr>
        <w:t>10555.25</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739.56</w:t>
      </w:r>
      <w:r>
        <w:rPr>
          <w:rFonts w:hint="eastAsia" w:ascii="仿宋" w:hAnsi="仿宋" w:eastAsia="仿宋"/>
          <w:sz w:val="30"/>
          <w:szCs w:val="30"/>
        </w:rPr>
        <w:t>万元，较2017年增加</w:t>
      </w:r>
      <w:r>
        <w:rPr>
          <w:rFonts w:hint="eastAsia" w:ascii="仿宋" w:hAnsi="仿宋" w:eastAsia="仿宋"/>
          <w:sz w:val="30"/>
          <w:szCs w:val="30"/>
          <w:lang w:val="en-US" w:eastAsia="zh-CN"/>
        </w:rPr>
        <w:t>3172.21</w:t>
      </w:r>
      <w:r>
        <w:rPr>
          <w:rFonts w:hint="eastAsia" w:ascii="仿宋" w:hAnsi="仿宋" w:eastAsia="仿宋"/>
          <w:sz w:val="30"/>
          <w:szCs w:val="30"/>
        </w:rPr>
        <w:t>万元，增长</w:t>
      </w:r>
      <w:r>
        <w:rPr>
          <w:rFonts w:hint="eastAsia" w:ascii="仿宋" w:hAnsi="仿宋" w:eastAsia="仿宋"/>
          <w:sz w:val="30"/>
          <w:szCs w:val="30"/>
          <w:lang w:val="en-US" w:eastAsia="zh-CN"/>
        </w:rPr>
        <w:t>42.97</w:t>
      </w:r>
      <w:r>
        <w:rPr>
          <w:rFonts w:hint="eastAsia" w:ascii="仿宋" w:hAnsi="仿宋" w:eastAsia="仿宋"/>
          <w:sz w:val="30"/>
          <w:szCs w:val="30"/>
        </w:rPr>
        <w:t>%</w:t>
      </w:r>
      <w:r>
        <w:rPr>
          <w:rFonts w:hint="eastAsia" w:ascii="仿宋" w:hAnsi="仿宋" w:eastAsia="仿宋"/>
          <w:sz w:val="30"/>
          <w:szCs w:val="30"/>
          <w:lang w:eastAsia="zh-CN"/>
        </w:rPr>
        <w:t>。</w:t>
      </w:r>
    </w:p>
    <w:p>
      <w:pPr>
        <w:ind w:firstLine="630"/>
        <w:jc w:val="left"/>
        <w:rPr>
          <w:rFonts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9312.46</w:t>
      </w:r>
      <w:r>
        <w:rPr>
          <w:rFonts w:hint="eastAsia" w:ascii="仿宋" w:hAnsi="仿宋" w:eastAsia="仿宋"/>
          <w:sz w:val="30"/>
          <w:szCs w:val="30"/>
        </w:rPr>
        <w:t>万元，占</w:t>
      </w:r>
      <w:r>
        <w:rPr>
          <w:rFonts w:hint="eastAsia" w:ascii="仿宋" w:hAnsi="仿宋" w:eastAsia="仿宋"/>
          <w:sz w:val="30"/>
          <w:szCs w:val="30"/>
          <w:lang w:val="en-US" w:eastAsia="zh-CN"/>
        </w:rPr>
        <w:t>88.23</w:t>
      </w:r>
      <w:r>
        <w:rPr>
          <w:rFonts w:hint="eastAsia" w:ascii="仿宋" w:hAnsi="仿宋" w:eastAsia="仿宋"/>
          <w:sz w:val="30"/>
          <w:szCs w:val="30"/>
        </w:rPr>
        <w:t>%；事业收入0万元，占0%；经营收入0万元，占0%；其他收入</w:t>
      </w:r>
      <w:r>
        <w:rPr>
          <w:rFonts w:hint="eastAsia" w:ascii="仿宋" w:hAnsi="仿宋" w:eastAsia="仿宋"/>
          <w:sz w:val="30"/>
          <w:szCs w:val="30"/>
          <w:lang w:val="en-US" w:eastAsia="zh-CN"/>
        </w:rPr>
        <w:t>503.23</w:t>
      </w:r>
      <w:r>
        <w:rPr>
          <w:rFonts w:hint="eastAsia" w:ascii="仿宋" w:hAnsi="仿宋" w:eastAsia="仿宋"/>
          <w:sz w:val="30"/>
          <w:szCs w:val="30"/>
        </w:rPr>
        <w:t>万元，占</w:t>
      </w:r>
      <w:r>
        <w:rPr>
          <w:rFonts w:hint="eastAsia" w:ascii="仿宋" w:hAnsi="仿宋" w:eastAsia="仿宋"/>
          <w:sz w:val="30"/>
          <w:szCs w:val="30"/>
          <w:lang w:val="en-US" w:eastAsia="zh-CN"/>
        </w:rPr>
        <w:t>4.77</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二、支出决算情况说明</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 xml:space="preserve">年度支出总计 </w:t>
      </w:r>
      <w:r>
        <w:rPr>
          <w:rFonts w:hint="eastAsia" w:ascii="仿宋" w:hAnsi="仿宋" w:eastAsia="仿宋"/>
          <w:sz w:val="30"/>
          <w:szCs w:val="30"/>
          <w:lang w:val="en-US" w:eastAsia="zh-CN"/>
        </w:rPr>
        <w:t>9032.39</w:t>
      </w:r>
      <w:r>
        <w:rPr>
          <w:rFonts w:hint="eastAsia" w:ascii="仿宋" w:hAnsi="仿宋" w:eastAsia="仿宋"/>
          <w:sz w:val="30"/>
          <w:szCs w:val="30"/>
        </w:rPr>
        <w:t>万元，其中本年支出合计</w:t>
      </w:r>
      <w:r>
        <w:rPr>
          <w:rFonts w:hint="eastAsia" w:ascii="仿宋" w:hAnsi="仿宋" w:eastAsia="仿宋"/>
          <w:sz w:val="30"/>
          <w:szCs w:val="30"/>
          <w:lang w:val="en-US" w:eastAsia="zh-CN"/>
        </w:rPr>
        <w:t>9032.39</w:t>
      </w:r>
      <w:r>
        <w:rPr>
          <w:rFonts w:hint="eastAsia" w:ascii="仿宋" w:hAnsi="仿宋" w:eastAsia="仿宋"/>
          <w:sz w:val="30"/>
          <w:szCs w:val="30"/>
        </w:rPr>
        <w:t>万元，较2017年增加</w:t>
      </w:r>
      <w:r>
        <w:rPr>
          <w:rFonts w:hint="eastAsia" w:ascii="仿宋" w:hAnsi="仿宋" w:eastAsia="仿宋"/>
          <w:sz w:val="30"/>
          <w:szCs w:val="30"/>
          <w:lang w:val="en-US" w:eastAsia="zh-CN"/>
        </w:rPr>
        <w:t>1711.91</w:t>
      </w:r>
      <w:r>
        <w:rPr>
          <w:rFonts w:hint="eastAsia" w:ascii="仿宋" w:hAnsi="仿宋" w:eastAsia="仿宋"/>
          <w:sz w:val="30"/>
          <w:szCs w:val="30"/>
        </w:rPr>
        <w:t>万元，增长</w:t>
      </w:r>
      <w:r>
        <w:rPr>
          <w:rFonts w:hint="eastAsia" w:ascii="仿宋" w:hAnsi="仿宋" w:eastAsia="仿宋"/>
          <w:sz w:val="30"/>
          <w:szCs w:val="30"/>
          <w:lang w:val="en-US" w:eastAsia="zh-CN"/>
        </w:rPr>
        <w:t>22.38</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 xml:space="preserve"> </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8382.92</w:t>
      </w:r>
      <w:r>
        <w:rPr>
          <w:rFonts w:hint="eastAsia" w:ascii="仿宋" w:hAnsi="仿宋" w:eastAsia="仿宋"/>
          <w:sz w:val="30"/>
          <w:szCs w:val="30"/>
        </w:rPr>
        <w:t>万元，占</w:t>
      </w:r>
      <w:r>
        <w:rPr>
          <w:rFonts w:hint="eastAsia" w:ascii="仿宋" w:hAnsi="仿宋" w:eastAsia="仿宋"/>
          <w:sz w:val="30"/>
          <w:szCs w:val="30"/>
          <w:lang w:val="en-US" w:eastAsia="zh-CN"/>
        </w:rPr>
        <w:t>92.81</w:t>
      </w:r>
      <w:r>
        <w:rPr>
          <w:rFonts w:hint="eastAsia" w:ascii="仿宋" w:hAnsi="仿宋" w:eastAsia="仿宋"/>
          <w:sz w:val="30"/>
          <w:szCs w:val="30"/>
        </w:rPr>
        <w:t>%；</w:t>
      </w:r>
      <w:r>
        <w:rPr>
          <w:rFonts w:hint="eastAsia" w:ascii="仿宋" w:hAnsi="仿宋" w:eastAsia="仿宋"/>
          <w:sz w:val="30"/>
          <w:szCs w:val="30"/>
          <w:lang w:eastAsia="zh-CN"/>
        </w:rPr>
        <w:t>项目支出</w:t>
      </w:r>
      <w:r>
        <w:rPr>
          <w:rFonts w:hint="eastAsia" w:ascii="仿宋" w:hAnsi="仿宋" w:eastAsia="仿宋"/>
          <w:sz w:val="30"/>
          <w:szCs w:val="30"/>
          <w:lang w:val="en-US" w:eastAsia="zh-CN"/>
        </w:rPr>
        <w:t>649.44万元，占7.19%</w:t>
      </w:r>
    </w:p>
    <w:p>
      <w:pPr>
        <w:ind w:firstLine="630"/>
        <w:jc w:val="left"/>
        <w:rPr>
          <w:rFonts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1115.24</w:t>
      </w:r>
      <w:r>
        <w:rPr>
          <w:rFonts w:hint="eastAsia" w:ascii="仿宋" w:hAnsi="仿宋" w:eastAsia="仿宋"/>
          <w:sz w:val="30"/>
          <w:szCs w:val="30"/>
        </w:rPr>
        <w:t>万元，决算数为</w:t>
      </w:r>
      <w:r>
        <w:rPr>
          <w:rFonts w:hint="eastAsia" w:ascii="仿宋" w:hAnsi="仿宋" w:eastAsia="仿宋"/>
          <w:sz w:val="30"/>
          <w:szCs w:val="30"/>
          <w:lang w:val="en-US" w:eastAsia="zh-CN"/>
        </w:rPr>
        <w:t>9032.39</w:t>
      </w:r>
      <w:r>
        <w:rPr>
          <w:rFonts w:hint="eastAsia" w:ascii="仿宋" w:hAnsi="仿宋" w:eastAsia="仿宋"/>
          <w:sz w:val="30"/>
          <w:szCs w:val="30"/>
        </w:rPr>
        <w:t>万元，完成年初预算的</w:t>
      </w:r>
      <w:r>
        <w:rPr>
          <w:rFonts w:hint="eastAsia" w:ascii="仿宋" w:hAnsi="仿宋" w:eastAsia="仿宋"/>
          <w:sz w:val="30"/>
          <w:szCs w:val="30"/>
          <w:lang w:val="en-US" w:eastAsia="zh-CN"/>
        </w:rPr>
        <w:t>809.81</w:t>
      </w:r>
      <w:r>
        <w:rPr>
          <w:rFonts w:hint="eastAsia" w:ascii="仿宋" w:hAnsi="仿宋" w:eastAsia="仿宋"/>
          <w:sz w:val="30"/>
          <w:szCs w:val="30"/>
        </w:rPr>
        <w:t>%。其中：</w:t>
      </w:r>
    </w:p>
    <w:p>
      <w:pPr>
        <w:ind w:firstLine="630"/>
        <w:jc w:val="left"/>
        <w:rPr>
          <w:rFonts w:hint="eastAsia" w:ascii="仿宋" w:hAnsi="仿宋" w:eastAsia="仿宋"/>
          <w:sz w:val="30"/>
          <w:szCs w:val="30"/>
          <w:lang w:val="en-US" w:eastAsia="zh-CN"/>
        </w:rPr>
      </w:pPr>
      <w:r>
        <w:rPr>
          <w:rFonts w:hint="eastAsia" w:ascii="仿宋" w:hAnsi="仿宋" w:eastAsia="仿宋"/>
          <w:sz w:val="30"/>
          <w:szCs w:val="30"/>
          <w:lang w:val="en-US" w:eastAsia="zh-CN"/>
        </w:rPr>
        <w:t>按功能分类科目分：一般公共服务支出年初预算数为1115.24万元，决算数为4676.43万元，完成年初预算的419.32%；国防支出年初预算数为0万元，决算数为0万元，完成年初预算的0%；公共安全支出年初预算数为0万元，决算数为0万元，完成年初预算的0%；教育支出年初预算数为0万元，决算数为2000万元，完成年初预算的100%；科学技术支出年初预算数为0万元，决算数为300万元，完成年初预算的100%；文化体育与传媒支出年初预算数为0万元，决算数为4.32万元，完成年初预算的100%；社会保障和就业支出年初预算数为0万元，决算数为1067.51万元，完成年初预算的100%；医疗卫生与计划生育支出年初预算数为0万元，决算数为22.67万元，完成年初预算的100%;节能环保支出年初预算数为0万元，决算数为5万元，完成年初预算的100%；城乡社区支出年初预算数为0万元，决算数为428万元，完成年初预算的100%；农林水支出年初预算数为0万元，决算数为304.17万元，完成年初预算的100%；交通运输支出年初预算数为0万元，决算数为128.05万元，完成年初预算的100%；资源勘探信息支出年初预算数为0万元，决算数为0万元，完成年初预算的0%；商品服务业支出年初预算数为0万元，决算数为0万元，完成年初预算的0%；金融支出年初预算数为0万元，决算数为0万元，完成年初预算的0%；国土海洋气象支出年初预算数为0万元，决算数为0万元，完成年初预算的0%；住房保障支出年初预算数为0万元，决算数为24.42万元，完成年初预算的100%；粮油物资储备支出年初预算数为0万元，决算数为0万元，完成年初预算的0%；其他支出年初预算数为0万元，决算数为71.83万元，完成年初预算的100%；债务付息支出年初预算数为0万元，决算数为0万元，完成年初预算的0%。</w:t>
      </w:r>
    </w:p>
    <w:p>
      <w:pPr>
        <w:ind w:firstLine="585"/>
        <w:jc w:val="left"/>
        <w:rPr>
          <w:rFonts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9032.39</w:t>
      </w:r>
      <w:r>
        <w:rPr>
          <w:rFonts w:hint="eastAsia" w:ascii="仿宋" w:hAnsi="仿宋" w:eastAsia="仿宋"/>
          <w:sz w:val="30"/>
          <w:szCs w:val="30"/>
        </w:rPr>
        <w:t>万元，其中：</w:t>
      </w:r>
    </w:p>
    <w:p>
      <w:pPr>
        <w:numPr>
          <w:ilvl w:val="0"/>
          <w:numId w:val="1"/>
        </w:numPr>
        <w:ind w:firstLine="585"/>
        <w:jc w:val="left"/>
        <w:rPr>
          <w:rFonts w:hint="eastAsia" w:ascii="仿宋" w:hAnsi="仿宋" w:eastAsia="仿宋"/>
          <w:sz w:val="30"/>
          <w:szCs w:val="30"/>
          <w:lang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436.66</w:t>
      </w:r>
      <w:r>
        <w:rPr>
          <w:rFonts w:hint="eastAsia" w:ascii="仿宋" w:hAnsi="仿宋" w:eastAsia="仿宋"/>
          <w:sz w:val="30"/>
          <w:szCs w:val="30"/>
        </w:rPr>
        <w:t>万元</w:t>
      </w:r>
      <w:r>
        <w:rPr>
          <w:rFonts w:hint="eastAsia" w:ascii="仿宋" w:hAnsi="仿宋" w:eastAsia="仿宋"/>
          <w:sz w:val="30"/>
          <w:szCs w:val="30"/>
          <w:lang w:eastAsia="zh-CN"/>
        </w:rPr>
        <w:t>；</w:t>
      </w:r>
    </w:p>
    <w:p>
      <w:pPr>
        <w:numPr>
          <w:ilvl w:val="0"/>
          <w:numId w:val="0"/>
        </w:numPr>
        <w:ind w:firstLine="600" w:firstLineChars="200"/>
        <w:jc w:val="left"/>
        <w:rPr>
          <w:rFonts w:hint="eastAsia" w:ascii="仿宋" w:hAnsi="仿宋" w:eastAsia="仿宋"/>
          <w:sz w:val="30"/>
          <w:szCs w:val="30"/>
          <w:lang w:eastAsia="zh-CN"/>
        </w:rPr>
      </w:pPr>
      <w:r>
        <w:rPr>
          <w:rFonts w:hint="eastAsia" w:ascii="仿宋" w:hAnsi="仿宋" w:eastAsia="仿宋"/>
          <w:sz w:val="30"/>
          <w:szCs w:val="30"/>
        </w:rPr>
        <w:t>（二）商品和服务支出</w:t>
      </w:r>
      <w:r>
        <w:rPr>
          <w:rFonts w:hint="eastAsia" w:ascii="仿宋" w:hAnsi="仿宋" w:eastAsia="仿宋"/>
          <w:sz w:val="30"/>
          <w:szCs w:val="30"/>
          <w:lang w:val="en-US" w:eastAsia="zh-CN"/>
        </w:rPr>
        <w:t>1129.43</w:t>
      </w:r>
      <w:r>
        <w:rPr>
          <w:rFonts w:hint="eastAsia" w:ascii="仿宋" w:hAnsi="仿宋" w:eastAsia="仿宋"/>
          <w:sz w:val="30"/>
          <w:szCs w:val="30"/>
        </w:rPr>
        <w:t>万元</w:t>
      </w:r>
      <w:r>
        <w:rPr>
          <w:rFonts w:hint="eastAsia" w:ascii="仿宋" w:hAnsi="仿宋" w:eastAsia="仿宋"/>
          <w:sz w:val="30"/>
          <w:szCs w:val="30"/>
          <w:lang w:eastAsia="zh-CN"/>
        </w:rPr>
        <w:t>；</w:t>
      </w:r>
    </w:p>
    <w:p>
      <w:pPr>
        <w:ind w:firstLine="585"/>
        <w:jc w:val="left"/>
        <w:rPr>
          <w:rFonts w:hint="eastAsia" w:ascii="仿宋" w:hAnsi="仿宋" w:eastAsia="仿宋"/>
          <w:sz w:val="30"/>
          <w:szCs w:val="30"/>
          <w:lang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6816.85</w:t>
      </w:r>
      <w:r>
        <w:rPr>
          <w:rFonts w:hint="eastAsia" w:ascii="仿宋" w:hAnsi="仿宋" w:eastAsia="仿宋"/>
          <w:sz w:val="30"/>
          <w:szCs w:val="30"/>
        </w:rPr>
        <w:t>万元</w:t>
      </w:r>
      <w:r>
        <w:rPr>
          <w:rFonts w:hint="eastAsia" w:ascii="仿宋" w:hAnsi="仿宋" w:eastAsia="仿宋"/>
          <w:sz w:val="30"/>
          <w:szCs w:val="30"/>
          <w:lang w:eastAsia="zh-CN"/>
        </w:rPr>
        <w:t>；</w:t>
      </w:r>
    </w:p>
    <w:p>
      <w:pPr>
        <w:ind w:firstLine="585"/>
        <w:jc w:val="left"/>
        <w:rPr>
          <w:rFonts w:hint="eastAsia" w:ascii="仿宋" w:hAnsi="仿宋" w:eastAsia="仿宋"/>
          <w:sz w:val="30"/>
          <w:szCs w:val="30"/>
          <w:lang w:eastAsia="zh-CN"/>
        </w:rPr>
      </w:pPr>
      <w:r>
        <w:rPr>
          <w:rFonts w:hint="eastAsia" w:ascii="仿宋" w:hAnsi="仿宋" w:eastAsia="仿宋"/>
          <w:sz w:val="30"/>
          <w:szCs w:val="30"/>
        </w:rPr>
        <w:t>（四）资本性支出</w:t>
      </w:r>
      <w:r>
        <w:rPr>
          <w:rFonts w:hint="eastAsia" w:ascii="仿宋" w:hAnsi="仿宋" w:eastAsia="仿宋"/>
          <w:sz w:val="30"/>
          <w:szCs w:val="30"/>
          <w:lang w:val="en-US" w:eastAsia="zh-CN"/>
        </w:rPr>
        <w:t>649.44</w:t>
      </w:r>
      <w:r>
        <w:rPr>
          <w:rFonts w:hint="eastAsia" w:ascii="仿宋" w:hAnsi="仿宋" w:eastAsia="仿宋"/>
          <w:sz w:val="30"/>
          <w:szCs w:val="30"/>
        </w:rPr>
        <w:t>万元</w:t>
      </w:r>
      <w:r>
        <w:rPr>
          <w:rFonts w:hint="eastAsia" w:ascii="仿宋" w:hAnsi="仿宋" w:eastAsia="仿宋"/>
          <w:sz w:val="30"/>
          <w:szCs w:val="30"/>
          <w:lang w:eastAsia="zh-CN"/>
        </w:rPr>
        <w:t>；</w:t>
      </w:r>
    </w:p>
    <w:p>
      <w:pPr>
        <w:ind w:firstLine="630"/>
        <w:jc w:val="left"/>
        <w:rPr>
          <w:rFonts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38.5</w:t>
      </w:r>
      <w:r>
        <w:rPr>
          <w:rFonts w:hint="eastAsia" w:ascii="仿宋" w:hAnsi="仿宋" w:eastAsia="仿宋"/>
          <w:sz w:val="30"/>
          <w:szCs w:val="30"/>
        </w:rPr>
        <w:t>万元，决算数为</w:t>
      </w:r>
      <w:r>
        <w:rPr>
          <w:rFonts w:hint="eastAsia" w:ascii="仿宋" w:hAnsi="仿宋" w:eastAsia="仿宋"/>
          <w:sz w:val="30"/>
          <w:szCs w:val="30"/>
          <w:lang w:val="en-US" w:eastAsia="zh-CN"/>
        </w:rPr>
        <w:t>27.48</w:t>
      </w:r>
      <w:r>
        <w:rPr>
          <w:rFonts w:hint="eastAsia" w:ascii="仿宋" w:hAnsi="仿宋" w:eastAsia="仿宋"/>
          <w:sz w:val="30"/>
          <w:szCs w:val="30"/>
        </w:rPr>
        <w:t>万元，完成预算的</w:t>
      </w:r>
      <w:r>
        <w:rPr>
          <w:rFonts w:hint="eastAsia" w:ascii="仿宋" w:hAnsi="仿宋" w:eastAsia="仿宋"/>
          <w:sz w:val="30"/>
          <w:szCs w:val="30"/>
          <w:lang w:val="en-US" w:eastAsia="zh-CN"/>
        </w:rPr>
        <w:t>71.38</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（一）因公出国（境）支出年初预算数为0万元，决算数为0万元，完成预算的0%。</w:t>
      </w:r>
    </w:p>
    <w:p>
      <w:pPr>
        <w:ind w:firstLine="630"/>
        <w:jc w:val="left"/>
        <w:rPr>
          <w:rFonts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24.5</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20.01</w:t>
      </w:r>
      <w:r>
        <w:rPr>
          <w:rFonts w:hint="eastAsia" w:ascii="仿宋" w:hAnsi="仿宋" w:eastAsia="仿宋"/>
          <w:sz w:val="30"/>
          <w:szCs w:val="30"/>
        </w:rPr>
        <w:t>万元，完成预算的</w:t>
      </w:r>
      <w:r>
        <w:rPr>
          <w:rFonts w:hint="eastAsia" w:ascii="仿宋" w:hAnsi="仿宋" w:eastAsia="仿宋"/>
          <w:sz w:val="30"/>
          <w:szCs w:val="30"/>
          <w:lang w:val="en-US" w:eastAsia="zh-CN"/>
        </w:rPr>
        <w:t>81.67</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7.46</w:t>
      </w:r>
      <w:r>
        <w:rPr>
          <w:rFonts w:hint="eastAsia" w:ascii="仿宋" w:hAnsi="仿宋" w:eastAsia="仿宋"/>
          <w:sz w:val="30"/>
          <w:szCs w:val="30"/>
        </w:rPr>
        <w:t>万元，其中公务用车购置年初预算数为0万元，决算数为0万元，完成预算的0%.公务用车运行维护费支出年初预算数为</w:t>
      </w:r>
      <w:r>
        <w:rPr>
          <w:rFonts w:hint="eastAsia" w:ascii="仿宋" w:hAnsi="仿宋" w:eastAsia="仿宋"/>
          <w:sz w:val="30"/>
          <w:szCs w:val="30"/>
          <w:lang w:val="en-US" w:eastAsia="zh-CN"/>
        </w:rPr>
        <w:t>14</w:t>
      </w:r>
      <w:r>
        <w:rPr>
          <w:rFonts w:hint="eastAsia" w:ascii="仿宋" w:hAnsi="仿宋" w:eastAsia="仿宋"/>
          <w:sz w:val="30"/>
          <w:szCs w:val="30"/>
        </w:rPr>
        <w:t>万元，决算数为</w:t>
      </w:r>
      <w:r>
        <w:rPr>
          <w:rFonts w:hint="eastAsia" w:ascii="仿宋" w:hAnsi="仿宋" w:eastAsia="仿宋"/>
          <w:sz w:val="30"/>
          <w:szCs w:val="30"/>
          <w:lang w:val="en-US" w:eastAsia="zh-CN"/>
        </w:rPr>
        <w:t>7.46</w:t>
      </w:r>
      <w:r>
        <w:rPr>
          <w:rFonts w:hint="eastAsia" w:ascii="仿宋" w:hAnsi="仿宋" w:eastAsia="仿宋"/>
          <w:sz w:val="30"/>
          <w:szCs w:val="30"/>
        </w:rPr>
        <w:t>万元，完成预算的</w:t>
      </w:r>
      <w:r>
        <w:rPr>
          <w:rFonts w:hint="eastAsia" w:ascii="仿宋" w:hAnsi="仿宋" w:eastAsia="仿宋"/>
          <w:sz w:val="30"/>
          <w:szCs w:val="30"/>
          <w:lang w:val="en-US" w:eastAsia="zh-CN"/>
        </w:rPr>
        <w:t>53.29</w:t>
      </w:r>
      <w:r>
        <w:rPr>
          <w:rFonts w:hint="eastAsia" w:ascii="仿宋" w:hAnsi="仿宋" w:eastAsia="仿宋"/>
          <w:sz w:val="30"/>
          <w:szCs w:val="30"/>
        </w:rPr>
        <w:t>%。</w:t>
      </w:r>
    </w:p>
    <w:p>
      <w:pPr>
        <w:ind w:firstLine="630"/>
        <w:jc w:val="left"/>
        <w:rPr>
          <w:rFonts w:ascii="黑体" w:hAnsi="黑体" w:eastAsia="黑体"/>
          <w:sz w:val="30"/>
          <w:szCs w:val="30"/>
        </w:rPr>
      </w:pPr>
      <w:r>
        <w:rPr>
          <w:rFonts w:hint="eastAsia" w:ascii="黑体" w:hAnsi="黑体" w:eastAsia="黑体"/>
          <w:sz w:val="30"/>
          <w:szCs w:val="30"/>
          <w:lang w:eastAsia="zh-CN"/>
        </w:rPr>
        <w:t>六</w:t>
      </w:r>
      <w:r>
        <w:rPr>
          <w:rFonts w:hint="eastAsia" w:ascii="黑体" w:hAnsi="黑体" w:eastAsia="黑体"/>
          <w:sz w:val="30"/>
          <w:szCs w:val="30"/>
        </w:rPr>
        <w:t>、国有资产占用情况说明。</w:t>
      </w:r>
    </w:p>
    <w:p>
      <w:pPr>
        <w:ind w:firstLine="630"/>
        <w:jc w:val="left"/>
        <w:rPr>
          <w:rFonts w:ascii="仿宋" w:hAnsi="仿宋" w:eastAsia="仿宋"/>
          <w:kern w:val="0"/>
          <w:sz w:val="30"/>
          <w:szCs w:val="30"/>
        </w:rPr>
      </w:pPr>
      <w:r>
        <w:rPr>
          <w:rFonts w:hint="eastAsia" w:ascii="仿宋" w:hAnsi="仿宋" w:eastAsia="仿宋"/>
          <w:kern w:val="0"/>
          <w:sz w:val="30"/>
          <w:szCs w:val="30"/>
        </w:rPr>
        <w:t>截止</w:t>
      </w:r>
      <w:r>
        <w:rPr>
          <w:rFonts w:hint="eastAsia" w:ascii="仿宋" w:hAnsi="仿宋" w:eastAsia="仿宋"/>
          <w:kern w:val="0"/>
          <w:sz w:val="30"/>
          <w:szCs w:val="30"/>
          <w:lang w:eastAsia="zh-CN"/>
        </w:rPr>
        <w:t>2018</w:t>
      </w:r>
      <w:r>
        <w:rPr>
          <w:rFonts w:hint="eastAsia" w:ascii="仿宋" w:hAnsi="仿宋" w:eastAsia="仿宋"/>
          <w:kern w:val="0"/>
          <w:sz w:val="30"/>
          <w:szCs w:val="30"/>
        </w:rPr>
        <w:t>年12月31日，本部门共有车辆2辆，其中，副部（省）级及以上领导用车0辆，一般公务用车2辆、一般执法执勤用车0辆、特种专业技术用车0辆、其他用车0辆，单位价值50万元以上通用设备0台（套）；单位价值100万元以上专用设备0台（套）。</w:t>
      </w:r>
    </w:p>
    <w:p>
      <w:pPr>
        <w:widowControl/>
        <w:spacing w:line="600" w:lineRule="exact"/>
        <w:ind w:firstLine="640"/>
        <w:jc w:val="center"/>
        <w:rPr>
          <w:rFonts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2018</w:t>
      </w:r>
      <w:r>
        <w:rPr>
          <w:rFonts w:hint="eastAsia" w:ascii="宋体" w:hAnsi="宋体"/>
          <w:b/>
          <w:sz w:val="32"/>
          <w:szCs w:val="32"/>
        </w:rPr>
        <w:t>年度部门决算表</w:t>
      </w:r>
    </w:p>
    <w:p>
      <w:pPr>
        <w:widowControl/>
        <w:shd w:val="clear" w:color="auto" w:fill="FFFFFF"/>
        <w:spacing w:line="528" w:lineRule="atLeast"/>
        <w:ind w:firstLine="640"/>
        <w:jc w:val="center"/>
        <w:rPr>
          <w:rFonts w:ascii="宋体" w:hAnsi="宋体" w:cs="宋体"/>
          <w:color w:val="333333"/>
          <w:kern w:val="0"/>
          <w:sz w:val="24"/>
          <w:szCs w:val="24"/>
        </w:rPr>
      </w:pPr>
      <w:r>
        <w:rPr>
          <w:rFonts w:ascii="宋体" w:hAnsi="宋体" w:cs="宋体"/>
          <w:color w:val="333333"/>
          <w:kern w:val="0"/>
          <w:sz w:val="24"/>
          <w:szCs w:val="24"/>
        </w:rPr>
        <w:t>（见附表）</w:t>
      </w:r>
    </w:p>
    <w:p>
      <w:pPr>
        <w:widowControl/>
        <w:shd w:val="clear" w:color="auto" w:fill="FFFFFF"/>
        <w:spacing w:line="528" w:lineRule="atLeast"/>
        <w:ind w:firstLine="640"/>
        <w:jc w:val="center"/>
        <w:rPr>
          <w:rFonts w:ascii="宋体" w:hAnsi="宋体" w:cs="宋体"/>
          <w:color w:val="333333"/>
          <w:kern w:val="0"/>
          <w:sz w:val="24"/>
          <w:szCs w:val="24"/>
        </w:rPr>
      </w:pPr>
    </w:p>
    <w:p>
      <w:pPr>
        <w:widowControl/>
        <w:shd w:val="clear" w:color="auto" w:fill="FFFFFF"/>
        <w:spacing w:line="528" w:lineRule="atLeast"/>
        <w:jc w:val="center"/>
        <w:rPr>
          <w:rFonts w:ascii="宋体" w:hAnsi="宋体" w:cs="宋体"/>
          <w:color w:val="333333"/>
          <w:kern w:val="0"/>
          <w:sz w:val="32"/>
          <w:szCs w:val="32"/>
        </w:rPr>
      </w:pPr>
      <w:r>
        <w:rPr>
          <w:rFonts w:ascii="宋体" w:hAnsi="宋体" w:cs="宋体"/>
          <w:b/>
          <w:bCs/>
          <w:color w:val="333333"/>
          <w:kern w:val="0"/>
          <w:sz w:val="32"/>
          <w:szCs w:val="32"/>
        </w:rPr>
        <w:t>第四部分  名词解释</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1.财政拨款收入：指县级财政当年拨付的资金。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2.一般公共服务（类）人大事务（款）一般行政管理事务（项）: 指行政单位（包括实行公务员管理的事业单位）未单独设置项级科目的其他项目支出。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3.一般公共服务（类）政府办公厅（室）及相关机构事务（款）行政运行（项）：指行政单位（包括实行公务员管理的事业单位）的基本支出。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4.一般公共服务（类）政府办公厅（室）及相关机构事务（款）一般行政管理事务（项）：指行政单位（包括实行公务员管理的事业单位）未单独设置项级科目的其他项目支出。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5.一般公共服务（类）政府办公厅（室）及相关机构事务（款）事业运行（项）：事业单位的基本支出，不包括行政单位（包括实行公务员管理的事业单位）后勤服务中心、医务室等附属事业单位。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6.一般公共服务（类）政府办公厅（室）及相关机构事务（款）其他政府办公厅（室）及相关机构事务支出（项）：指列入政府办公厅（室）及相关机构事务具体项级科目以外的其他政府办公厅（室）及相关机构事务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7.一般公共服务（类）统计信息事务（款）其他统计信息事务支出（项）：指列入统计信息事务具体项级科目以外的其他统计信息事务支出。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8.一般公共服务（类）财政事务（款）其他财政事务支出（项）：指列入财政事务具体项级科目以外的其他财政事务方面的支出。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9.一般公共服务（类）党委办公厅（室）及相关机构事务（款）行政运行（项）：指行政单位（包括实行公务员管理的事业单位）的基本支出。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10. 教育支出（类）其他教育支出（款）其他教育支出（项）:指没有列入教育支出具体项级科目以外的其他用于教育方面的支出。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11.社会保障和就业支出（类）行政事业单位离退休（款）机关事业单位基本养老保险缴费支出（项）:指机关事业单位实施养老保险制度由单位缴纳的基本养老保险费支出。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12.社会保障和就业支出（类）行政事业单位离退休（款）机关事业单位职业年金缴费支出（项）: 指机关事业单位实施养老保险制度由单位实际缴纳的职业年金支出。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13.社会保障和就业支出（类）抚恤（款）死亡抚恤（项）:指按规定用于烈士和牺牲、病故人员家属的一次性和定期抚恤金以及丧葬补助费。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14.社会保障和就业支出（类）社会福利（款）老年福利（项）:指对老年人提供福利服务方面的支出。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15.社会保障和就业支出（类）其他社会保障和就业支出（款）其他社会保障和就业支出（项）:指未列入社会保障和就业支出具体项级科目以外的其他用于社会保障和就业方面的支出。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16.医疗卫生与计划生育（类）医疗保障（款）行政单位医疗（项）:指财政部门集中安排的行政单位基本医疗保险缴费经费，未参加医疗保险的行政单位的公费医疗经费，按国家规定享受离休人员、红军老战士待遇人员的医疗经费。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17. 农林水支出（类）农村综合改革（款）对村级一事一议的补助（项）:指农村税费改革后对村级公益事业建设一事一议的补助支出。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18.农林水支出（类）农村综合改革（款）对村民委员会和村党支部的补助（项）:指各级财政对村民委员会和村党支部的补助支出，以及支持建立县级基本财力保障机制安排的村级组织运转奖补资金。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19. 住房保障支出（类）住房改革支出（款）住房公积金（项）:指行政事业单位按人力资源和社会保障部、财政部规定的基本工资和津贴补贴以及规定比例为职工缴纳的住房公积金。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20.年末结转和结余：指本年度或以前年度预算安排、因客观条件发生变化无法按原计划实施，需延迟到以后年度按有关规定继续使用的资金。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21.社会保障和就业（类）行政事业单位离退休（款）机关事业单位基本养老保险缴费支出（项）：指部门实施养老保险制度由单位缴纳的养老保险的支出。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22.社会保障和就业（类）行政事业单位离退休（款）机关事业单位职业年金缴费支出（项）：指部门实施养老保险制度由单位缴纳的职业年金的支出。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23.医疗卫生与计划生育支出（类）医疗保障（款）行政单位医疗（项）：指局机关及参公管理事业单位用于缴纳单位基本医疗保险支出。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24.医疗卫生与计划生育支出（类）医疗保障（款）事业单位医疗（项）：指局机关下属事业单位用于缴纳单位基本医疗保险支出。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25.住房保障支出（类）住房改革支出（款）住房公积金（项）：指行政事业单位按照《住房公积金管理条例》的规定，按照不超过12%的比例为职工缴纳的住房公积金。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26.基本支出：指为保障机构正常运转、完成日常工作任务而发生的人员支出和共用支出。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27.项目支出：指在基本支出之外为完成特定行政任务和事业发展目标所发生的支出。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28.“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jc w:val="left"/>
        <w:rPr>
          <w:rFonts w:hint="eastAsia" w:ascii="宋体" w:hAnsi="宋体" w:cs="宋体"/>
          <w:color w:val="333333"/>
          <w:kern w:val="0"/>
          <w:sz w:val="24"/>
          <w:szCs w:val="24"/>
          <w:lang w:val="en-US" w:eastAsia="zh-CN"/>
        </w:rPr>
      </w:pPr>
      <w:r>
        <w:rPr>
          <w:rFonts w:hint="eastAsia" w:ascii="宋体" w:hAnsi="宋体" w:cs="宋体"/>
          <w:color w:val="333333"/>
          <w:kern w:val="0"/>
          <w:sz w:val="24"/>
          <w:szCs w:val="24"/>
          <w:lang w:val="en-US" w:eastAsia="zh-CN"/>
        </w:rPr>
        <w:t>附件：庐山市蛟塘镇人民政府2018年部门决算公开报表</w:t>
      </w: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pPr>
        <w:widowControl/>
        <w:spacing w:line="600" w:lineRule="exact"/>
        <w:ind w:firstLine="640"/>
        <w:jc w:val="center"/>
        <w:rPr>
          <w:rFonts w:hint="eastAsia" w:ascii="宋体" w:hAnsi="宋体"/>
          <w:b/>
          <w:sz w:val="32"/>
          <w:szCs w:val="32"/>
        </w:rPr>
      </w:pPr>
    </w:p>
    <w:p>
      <w:pPr>
        <w:widowControl/>
        <w:numPr>
          <w:ilvl w:val="0"/>
          <w:numId w:val="2"/>
        </w:numPr>
        <w:spacing w:line="600" w:lineRule="exact"/>
        <w:jc w:val="center"/>
        <w:rPr>
          <w:rFonts w:hint="eastAsia" w:ascii="宋体" w:hAnsi="宋体"/>
          <w:b/>
          <w:sz w:val="32"/>
          <w:szCs w:val="32"/>
        </w:rPr>
      </w:pPr>
      <w:r>
        <w:rPr>
          <w:rFonts w:hint="eastAsia" w:ascii="宋体" w:hAnsi="宋体"/>
          <w:b/>
          <w:sz w:val="32"/>
          <w:szCs w:val="32"/>
        </w:rPr>
        <w:t>201</w:t>
      </w:r>
      <w:r>
        <w:rPr>
          <w:rFonts w:hint="eastAsia" w:ascii="宋体" w:hAnsi="宋体"/>
          <w:b/>
          <w:sz w:val="32"/>
          <w:szCs w:val="32"/>
          <w:lang w:val="en-US" w:eastAsia="zh-CN"/>
        </w:rPr>
        <w:t>8</w:t>
      </w:r>
      <w:r>
        <w:rPr>
          <w:rFonts w:hint="eastAsia" w:ascii="宋体" w:hAnsi="宋体"/>
          <w:b/>
          <w:sz w:val="32"/>
          <w:szCs w:val="32"/>
        </w:rPr>
        <w:t>年度部门决算</w:t>
      </w:r>
    </w:p>
    <w:p>
      <w:pPr>
        <w:widowControl/>
        <w:numPr>
          <w:ilvl w:val="0"/>
          <w:numId w:val="0"/>
        </w:numPr>
        <w:spacing w:line="600" w:lineRule="exact"/>
        <w:jc w:val="both"/>
        <w:rPr>
          <w:rFonts w:hint="eastAsia" w:ascii="宋体" w:hAnsi="宋体"/>
          <w:b/>
          <w:sz w:val="32"/>
          <w:szCs w:val="32"/>
          <w:lang w:val="en-US" w:eastAsia="zh-CN"/>
        </w:rPr>
      </w:pPr>
    </w:p>
    <w:p>
      <w:pPr>
        <w:widowControl/>
        <w:shd w:val="clear" w:color="auto" w:fill="FFFFFF"/>
        <w:spacing w:line="528" w:lineRule="atLeast"/>
        <w:jc w:val="left"/>
      </w:pPr>
      <w:r>
        <w:rPr>
          <w:rFonts w:ascii="宋体" w:hAnsi="宋体" w:cs="宋体"/>
          <w:color w:val="333333"/>
          <w:kern w:val="0"/>
          <w:sz w:val="24"/>
          <w:szCs w:val="24"/>
        </w:rPr>
        <w:t> </w:t>
      </w:r>
      <w:r>
        <w:drawing>
          <wp:inline distT="0" distB="0" distL="114300" distR="114300">
            <wp:extent cx="5276215" cy="4010025"/>
            <wp:effectExtent l="0" t="0" r="63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5276215" cy="4010025"/>
                    </a:xfrm>
                    <a:prstGeom prst="rect">
                      <a:avLst/>
                    </a:prstGeom>
                    <a:noFill/>
                    <a:ln>
                      <a:noFill/>
                    </a:ln>
                  </pic:spPr>
                </pic:pic>
              </a:graphicData>
            </a:graphic>
          </wp:inline>
        </w:drawing>
      </w:r>
    </w:p>
    <w:p>
      <w:pPr>
        <w:widowControl/>
        <w:shd w:val="clear" w:color="auto" w:fill="FFFFFF"/>
        <w:spacing w:line="528" w:lineRule="atLeast"/>
        <w:jc w:val="left"/>
      </w:pPr>
      <w:r>
        <w:drawing>
          <wp:inline distT="0" distB="0" distL="114300" distR="114300">
            <wp:extent cx="5268595" cy="3640455"/>
            <wp:effectExtent l="0" t="0" r="8255" b="171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5268595" cy="3640455"/>
                    </a:xfrm>
                    <a:prstGeom prst="rect">
                      <a:avLst/>
                    </a:prstGeom>
                    <a:noFill/>
                    <a:ln>
                      <a:noFill/>
                    </a:ln>
                  </pic:spPr>
                </pic:pic>
              </a:graphicData>
            </a:graphic>
          </wp:inline>
        </w:drawing>
      </w:r>
      <w:r>
        <w:drawing>
          <wp:inline distT="0" distB="0" distL="114300" distR="114300">
            <wp:extent cx="5276850" cy="247078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5276850" cy="2470785"/>
                    </a:xfrm>
                    <a:prstGeom prst="rect">
                      <a:avLst/>
                    </a:prstGeom>
                    <a:noFill/>
                    <a:ln>
                      <a:noFill/>
                    </a:ln>
                  </pic:spPr>
                </pic:pic>
              </a:graphicData>
            </a:graphic>
          </wp:inline>
        </w:drawing>
      </w:r>
      <w:r>
        <w:drawing>
          <wp:inline distT="0" distB="0" distL="114300" distR="114300">
            <wp:extent cx="5275580" cy="3930650"/>
            <wp:effectExtent l="0" t="0" r="1270" b="1270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5275580" cy="3930650"/>
                    </a:xfrm>
                    <a:prstGeom prst="rect">
                      <a:avLst/>
                    </a:prstGeom>
                    <a:noFill/>
                    <a:ln>
                      <a:noFill/>
                    </a:ln>
                  </pic:spPr>
                </pic:pic>
              </a:graphicData>
            </a:graphic>
          </wp:inline>
        </w:drawing>
      </w:r>
      <w:r>
        <w:drawing>
          <wp:inline distT="0" distB="0" distL="114300" distR="114300">
            <wp:extent cx="5270500" cy="2610485"/>
            <wp:effectExtent l="0" t="0" r="6350" b="184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5270500" cy="2610485"/>
                    </a:xfrm>
                    <a:prstGeom prst="rect">
                      <a:avLst/>
                    </a:prstGeom>
                    <a:noFill/>
                    <a:ln>
                      <a:noFill/>
                    </a:ln>
                  </pic:spPr>
                </pic:pic>
              </a:graphicData>
            </a:graphic>
          </wp:inline>
        </w:drawing>
      </w:r>
    </w:p>
    <w:p>
      <w:pPr>
        <w:widowControl/>
        <w:shd w:val="clear" w:color="auto" w:fill="FFFFFF"/>
        <w:spacing w:line="528" w:lineRule="atLeast"/>
        <w:jc w:val="left"/>
      </w:pPr>
    </w:p>
    <w:p>
      <w:pPr>
        <w:widowControl/>
        <w:shd w:val="clear" w:color="auto" w:fill="FFFFFF"/>
        <w:spacing w:line="528" w:lineRule="atLeast"/>
        <w:jc w:val="left"/>
      </w:pPr>
    </w:p>
    <w:p>
      <w:pPr>
        <w:widowControl/>
        <w:shd w:val="clear" w:color="auto" w:fill="FFFFFF"/>
        <w:spacing w:line="528" w:lineRule="atLeast"/>
        <w:jc w:val="left"/>
      </w:pPr>
    </w:p>
    <w:p>
      <w:pPr>
        <w:widowControl/>
        <w:shd w:val="clear" w:color="auto" w:fill="FFFFFF"/>
        <w:spacing w:line="528" w:lineRule="atLeast"/>
        <w:jc w:val="left"/>
      </w:pPr>
    </w:p>
    <w:p>
      <w:pPr>
        <w:widowControl/>
        <w:shd w:val="clear" w:color="auto" w:fill="FFFFFF"/>
        <w:spacing w:line="528" w:lineRule="atLeast"/>
        <w:jc w:val="left"/>
      </w:pPr>
    </w:p>
    <w:p>
      <w:pPr>
        <w:widowControl/>
        <w:shd w:val="clear" w:color="auto" w:fill="FFFFFF"/>
        <w:spacing w:line="528" w:lineRule="atLeast"/>
        <w:jc w:val="left"/>
      </w:pPr>
    </w:p>
    <w:p>
      <w:pPr>
        <w:widowControl/>
        <w:shd w:val="clear" w:color="auto" w:fill="FFFFFF"/>
        <w:spacing w:line="528" w:lineRule="atLeast"/>
        <w:jc w:val="left"/>
      </w:pPr>
      <w:r>
        <w:drawing>
          <wp:inline distT="0" distB="0" distL="114300" distR="114300">
            <wp:extent cx="5278120" cy="3681095"/>
            <wp:effectExtent l="0" t="0" r="17780" b="146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
                    <a:stretch>
                      <a:fillRect/>
                    </a:stretch>
                  </pic:blipFill>
                  <pic:spPr>
                    <a:xfrm>
                      <a:off x="0" y="0"/>
                      <a:ext cx="5278120" cy="3681095"/>
                    </a:xfrm>
                    <a:prstGeom prst="rect">
                      <a:avLst/>
                    </a:prstGeom>
                    <a:noFill/>
                    <a:ln>
                      <a:noFill/>
                    </a:ln>
                  </pic:spPr>
                </pic:pic>
              </a:graphicData>
            </a:graphic>
          </wp:inline>
        </w:drawing>
      </w:r>
    </w:p>
    <w:p>
      <w:pPr>
        <w:widowControl/>
        <w:shd w:val="clear" w:color="auto" w:fill="FFFFFF"/>
        <w:spacing w:line="528" w:lineRule="atLeast"/>
        <w:jc w:val="left"/>
      </w:pPr>
      <w:r>
        <w:drawing>
          <wp:inline distT="0" distB="0" distL="114300" distR="114300">
            <wp:extent cx="5275580" cy="6122035"/>
            <wp:effectExtent l="0" t="0" r="1270" b="1206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2"/>
                    <a:stretch>
                      <a:fillRect/>
                    </a:stretch>
                  </pic:blipFill>
                  <pic:spPr>
                    <a:xfrm>
                      <a:off x="0" y="0"/>
                      <a:ext cx="5275580" cy="6122035"/>
                    </a:xfrm>
                    <a:prstGeom prst="rect">
                      <a:avLst/>
                    </a:prstGeom>
                    <a:noFill/>
                    <a:ln>
                      <a:noFill/>
                    </a:ln>
                  </pic:spPr>
                </pic:pic>
              </a:graphicData>
            </a:graphic>
          </wp:inline>
        </w:drawing>
      </w:r>
      <w:r>
        <w:drawing>
          <wp:inline distT="0" distB="0" distL="114300" distR="114300">
            <wp:extent cx="5273040" cy="4078605"/>
            <wp:effectExtent l="0" t="0" r="3810" b="171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5273040" cy="4078605"/>
                    </a:xfrm>
                    <a:prstGeom prst="rect">
                      <a:avLst/>
                    </a:prstGeom>
                    <a:noFill/>
                    <a:ln>
                      <a:noFill/>
                    </a:ln>
                  </pic:spPr>
                </pic:pic>
              </a:graphicData>
            </a:graphic>
          </wp:inline>
        </w:drawing>
      </w:r>
    </w:p>
    <w:p>
      <w:pPr>
        <w:widowControl/>
        <w:shd w:val="clear" w:color="auto" w:fill="FFFFFF"/>
        <w:spacing w:line="528" w:lineRule="atLeast"/>
        <w:jc w:val="left"/>
      </w:pPr>
      <w:r>
        <w:drawing>
          <wp:inline distT="0" distB="0" distL="114300" distR="114300">
            <wp:extent cx="5278755" cy="4789805"/>
            <wp:effectExtent l="0" t="0" r="17145"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5278755" cy="4789805"/>
                    </a:xfrm>
                    <a:prstGeom prst="rect">
                      <a:avLst/>
                    </a:prstGeom>
                    <a:noFill/>
                    <a:ln>
                      <a:noFill/>
                    </a:ln>
                  </pic:spPr>
                </pic:pic>
              </a:graphicData>
            </a:graphic>
          </wp:inline>
        </w:drawing>
      </w:r>
    </w:p>
    <w:p>
      <w:pPr>
        <w:widowControl/>
        <w:shd w:val="clear" w:color="auto" w:fill="FFFFFF"/>
        <w:spacing w:line="528" w:lineRule="atLeast"/>
        <w:jc w:val="left"/>
      </w:pPr>
      <w:r>
        <w:drawing>
          <wp:inline distT="0" distB="0" distL="114300" distR="114300">
            <wp:extent cx="5277485" cy="3159125"/>
            <wp:effectExtent l="0" t="0" r="1841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5277485" cy="3159125"/>
                    </a:xfrm>
                    <a:prstGeom prst="rect">
                      <a:avLst/>
                    </a:prstGeom>
                    <a:noFill/>
                    <a:ln>
                      <a:noFill/>
                    </a:ln>
                  </pic:spPr>
                </pic:pic>
              </a:graphicData>
            </a:graphic>
          </wp:inline>
        </w:drawing>
      </w:r>
    </w:p>
    <w:p>
      <w:pPr>
        <w:widowControl/>
        <w:shd w:val="clear" w:color="auto" w:fill="FFFFFF"/>
        <w:spacing w:line="528" w:lineRule="atLeast"/>
        <w:jc w:val="left"/>
      </w:pPr>
      <w:r>
        <w:drawing>
          <wp:inline distT="0" distB="0" distL="114300" distR="114300">
            <wp:extent cx="5133975" cy="46482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6"/>
                    <a:stretch>
                      <a:fillRect/>
                    </a:stretch>
                  </pic:blipFill>
                  <pic:spPr>
                    <a:xfrm>
                      <a:off x="0" y="0"/>
                      <a:ext cx="5133975" cy="4648200"/>
                    </a:xfrm>
                    <a:prstGeom prst="rect">
                      <a:avLst/>
                    </a:prstGeom>
                    <a:noFill/>
                    <a:ln>
                      <a:noFill/>
                    </a:ln>
                  </pic:spPr>
                </pic:pic>
              </a:graphicData>
            </a:graphic>
          </wp:inline>
        </w:drawing>
      </w:r>
    </w:p>
    <w:p>
      <w:pPr>
        <w:widowControl/>
        <w:shd w:val="clear" w:color="auto" w:fill="FFFFFF"/>
        <w:spacing w:line="528" w:lineRule="atLeast"/>
        <w:jc w:val="left"/>
      </w:pPr>
      <w:r>
        <w:drawing>
          <wp:inline distT="0" distB="0" distL="114300" distR="114300">
            <wp:extent cx="5238750" cy="23336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7"/>
                    <a:stretch>
                      <a:fillRect/>
                    </a:stretch>
                  </pic:blipFill>
                  <pic:spPr>
                    <a:xfrm>
                      <a:off x="0" y="0"/>
                      <a:ext cx="5238750" cy="2333625"/>
                    </a:xfrm>
                    <a:prstGeom prst="rect">
                      <a:avLst/>
                    </a:prstGeom>
                    <a:noFill/>
                    <a:ln>
                      <a:noFill/>
                    </a:ln>
                  </pic:spPr>
                </pic:pic>
              </a:graphicData>
            </a:graphic>
          </wp:inline>
        </w:drawing>
      </w:r>
    </w:p>
    <w:sectPr>
      <w:pgSz w:w="11907" w:h="16840"/>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9AFFD"/>
    <w:multiLevelType w:val="singleLevel"/>
    <w:tmpl w:val="9BD9AFFD"/>
    <w:lvl w:ilvl="0" w:tentative="0">
      <w:start w:val="2"/>
      <w:numFmt w:val="chineseCounting"/>
      <w:suff w:val="space"/>
      <w:lvlText w:val="第%1部分"/>
      <w:lvlJc w:val="left"/>
      <w:rPr>
        <w:rFonts w:hint="eastAsia"/>
      </w:rPr>
    </w:lvl>
  </w:abstractNum>
  <w:abstractNum w:abstractNumId="1">
    <w:nsid w:val="B3A732A0"/>
    <w:multiLevelType w:val="singleLevel"/>
    <w:tmpl w:val="B3A732A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E6DE5"/>
    <w:rsid w:val="000179B5"/>
    <w:rsid w:val="000207B2"/>
    <w:rsid w:val="000C0F3B"/>
    <w:rsid w:val="001539D8"/>
    <w:rsid w:val="00295778"/>
    <w:rsid w:val="002A381F"/>
    <w:rsid w:val="003153B1"/>
    <w:rsid w:val="003D0533"/>
    <w:rsid w:val="00424E26"/>
    <w:rsid w:val="00475536"/>
    <w:rsid w:val="0058053D"/>
    <w:rsid w:val="005E57A4"/>
    <w:rsid w:val="00600636"/>
    <w:rsid w:val="006A6E67"/>
    <w:rsid w:val="006B7737"/>
    <w:rsid w:val="006C536A"/>
    <w:rsid w:val="006D26C0"/>
    <w:rsid w:val="007F7E4C"/>
    <w:rsid w:val="0085799C"/>
    <w:rsid w:val="00880262"/>
    <w:rsid w:val="008A39EC"/>
    <w:rsid w:val="008D2902"/>
    <w:rsid w:val="00A21C5A"/>
    <w:rsid w:val="00AA7F68"/>
    <w:rsid w:val="00B52F38"/>
    <w:rsid w:val="00B6193E"/>
    <w:rsid w:val="00C3703D"/>
    <w:rsid w:val="00C55249"/>
    <w:rsid w:val="00D1779E"/>
    <w:rsid w:val="00E149F4"/>
    <w:rsid w:val="00E81FCB"/>
    <w:rsid w:val="00EE6DE5"/>
    <w:rsid w:val="00EE7C21"/>
    <w:rsid w:val="00EF322D"/>
    <w:rsid w:val="00F00CBC"/>
    <w:rsid w:val="00F23C6F"/>
    <w:rsid w:val="00F50138"/>
    <w:rsid w:val="09375CAE"/>
    <w:rsid w:val="0F62287F"/>
    <w:rsid w:val="187E65B7"/>
    <w:rsid w:val="2CC36EAB"/>
    <w:rsid w:val="335201ED"/>
    <w:rsid w:val="49467FC9"/>
    <w:rsid w:val="500E3748"/>
    <w:rsid w:val="594E4DA7"/>
    <w:rsid w:val="6E425713"/>
    <w:rsid w:val="70696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styleId="9">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79C26-C6FC-4632-B62D-C218FFC82118}">
  <ds:schemaRefs/>
</ds:datastoreItem>
</file>

<file path=docProps/app.xml><?xml version="1.0" encoding="utf-8"?>
<Properties xmlns="http://schemas.openxmlformats.org/officeDocument/2006/extended-properties" xmlns:vt="http://schemas.openxmlformats.org/officeDocument/2006/docPropsVTypes">
  <Template>Normal</Template>
  <Pages>11</Pages>
  <Words>749</Words>
  <Characters>4271</Characters>
  <Lines>35</Lines>
  <Paragraphs>10</Paragraphs>
  <TotalTime>3</TotalTime>
  <ScaleCrop>false</ScaleCrop>
  <LinksUpToDate>false</LinksUpToDate>
  <CharactersWithSpaces>5010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2019-11-11T03:31:00Z</dcterms:created>
  <dc:creator>Administrator</dc:creator>
  <cp:lastModifiedBy>Administrator</cp:lastModifiedBy>
  <dcterms:modified xsi:type="dcterms:W3CDTF">2021-05-20T06:00:47Z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5D035D3288AE4ADDB7F45A162C623521</vt:lpwstr>
  </property>
</Properties>
</file>