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BA74DB">
      <w:pPr>
        <w:spacing w:line="600" w:lineRule="exact"/>
        <w:jc w:val="center"/>
        <w:rPr>
          <w:rFonts w:hint="eastAsia" w:ascii="黑体" w:eastAsia="黑体"/>
          <w:sz w:val="44"/>
          <w:szCs w:val="36"/>
        </w:rPr>
      </w:pPr>
      <w:r>
        <w:rPr>
          <w:rFonts w:hint="eastAsia" w:ascii="黑体" w:hAnsi="黑体" w:eastAsia="黑体"/>
          <w:sz w:val="44"/>
          <w:szCs w:val="36"/>
          <w:lang w:eastAsia="zh-CN"/>
        </w:rPr>
        <w:t>白鹿镇</w:t>
      </w:r>
      <w:r>
        <w:rPr>
          <w:rFonts w:hint="eastAsia" w:ascii="黑体" w:eastAsia="黑体"/>
          <w:sz w:val="44"/>
          <w:szCs w:val="36"/>
        </w:rPr>
        <w:t>2018年度部门决算</w:t>
      </w:r>
    </w:p>
    <w:p w14:paraId="39CBDFCA">
      <w:pPr>
        <w:spacing w:line="600" w:lineRule="exact"/>
        <w:jc w:val="center"/>
        <w:rPr>
          <w:rFonts w:hint="eastAsia" w:ascii="黑体" w:eastAsia="黑体"/>
          <w:sz w:val="44"/>
          <w:szCs w:val="36"/>
        </w:rPr>
      </w:pPr>
    </w:p>
    <w:p w14:paraId="5E975D14">
      <w:pPr>
        <w:spacing w:line="600" w:lineRule="exact"/>
        <w:jc w:val="center"/>
        <w:rPr>
          <w:rFonts w:hint="eastAsia" w:ascii="黑体" w:eastAsia="黑体"/>
          <w:sz w:val="40"/>
          <w:szCs w:val="36"/>
        </w:rPr>
      </w:pPr>
      <w:r>
        <w:rPr>
          <w:rFonts w:hint="eastAsia" w:ascii="黑体" w:eastAsia="黑体"/>
          <w:sz w:val="40"/>
          <w:szCs w:val="36"/>
        </w:rPr>
        <w:t xml:space="preserve">目    录  </w:t>
      </w:r>
    </w:p>
    <w:p w14:paraId="5F90C1CF">
      <w:pPr>
        <w:widowControl/>
        <w:spacing w:line="600" w:lineRule="exact"/>
        <w:ind w:firstLine="640"/>
        <w:jc w:val="left"/>
        <w:rPr>
          <w:rFonts w:hint="eastAsia" w:ascii="仿宋_GB2312" w:eastAsia="仿宋_GB2312"/>
          <w:sz w:val="32"/>
          <w:szCs w:val="30"/>
        </w:rPr>
      </w:pPr>
    </w:p>
    <w:p w14:paraId="302195ED">
      <w:pPr>
        <w:widowControl/>
        <w:spacing w:line="600" w:lineRule="exact"/>
        <w:ind w:firstLine="640"/>
        <w:jc w:val="left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 xml:space="preserve">第一部分  </w:t>
      </w:r>
      <w:r>
        <w:rPr>
          <w:rFonts w:hint="eastAsia" w:ascii="黑体" w:hAnsi="黑体" w:eastAsia="黑体"/>
          <w:sz w:val="32"/>
          <w:szCs w:val="32"/>
          <w:lang w:eastAsia="zh-CN"/>
        </w:rPr>
        <w:t>白鹿镇</w:t>
      </w:r>
      <w:r>
        <w:rPr>
          <w:rFonts w:hint="eastAsia" w:ascii="黑体" w:hAnsi="黑体" w:eastAsia="黑体"/>
          <w:sz w:val="32"/>
          <w:szCs w:val="32"/>
        </w:rPr>
        <w:t>部门</w:t>
      </w:r>
      <w:r>
        <w:rPr>
          <w:rFonts w:hint="eastAsia" w:ascii="黑体" w:hAnsi="黑体" w:eastAsia="黑体"/>
          <w:b/>
          <w:sz w:val="32"/>
          <w:szCs w:val="32"/>
        </w:rPr>
        <w:t>概况</w:t>
      </w:r>
    </w:p>
    <w:p w14:paraId="1360424B">
      <w:pPr>
        <w:widowControl/>
        <w:spacing w:line="600" w:lineRule="exact"/>
        <w:ind w:firstLine="640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_GB2312" w:eastAsia="仿宋_GB2312"/>
          <w:b/>
          <w:sz w:val="32"/>
          <w:szCs w:val="30"/>
        </w:rPr>
        <w:t xml:space="preserve">    </w:t>
      </w:r>
      <w:r>
        <w:rPr>
          <w:rFonts w:hint="eastAsia" w:ascii="仿宋" w:hAnsi="仿宋" w:eastAsia="仿宋"/>
          <w:sz w:val="32"/>
          <w:szCs w:val="30"/>
        </w:rPr>
        <w:t>一、部门主要职责</w:t>
      </w:r>
    </w:p>
    <w:p w14:paraId="4E55C32D">
      <w:pPr>
        <w:widowControl/>
        <w:spacing w:line="600" w:lineRule="exact"/>
        <w:ind w:firstLine="640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二、部门基本情况</w:t>
      </w:r>
    </w:p>
    <w:p w14:paraId="442740E4">
      <w:pPr>
        <w:widowControl/>
        <w:spacing w:line="600" w:lineRule="exact"/>
        <w:ind w:firstLine="64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第二部分  2018年度部门决算表</w:t>
      </w:r>
    </w:p>
    <w:p w14:paraId="4FE42C5B">
      <w:pPr>
        <w:widowControl/>
        <w:spacing w:line="600" w:lineRule="exact"/>
        <w:ind w:firstLine="1280" w:firstLineChars="400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一、收入支出决算总表</w:t>
      </w:r>
    </w:p>
    <w:p w14:paraId="20A96BF0">
      <w:pPr>
        <w:widowControl/>
        <w:spacing w:line="600" w:lineRule="exact"/>
        <w:ind w:firstLine="1280" w:firstLineChars="400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二、收入决算表</w:t>
      </w:r>
    </w:p>
    <w:p w14:paraId="674BC550">
      <w:pPr>
        <w:widowControl/>
        <w:spacing w:line="600" w:lineRule="exact"/>
        <w:ind w:firstLine="640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三、支出决算表</w:t>
      </w:r>
    </w:p>
    <w:p w14:paraId="002DB0F6">
      <w:pPr>
        <w:widowControl/>
        <w:spacing w:line="600" w:lineRule="exact"/>
        <w:ind w:firstLine="640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四、财政拨款收入支出决算总表</w:t>
      </w:r>
    </w:p>
    <w:p w14:paraId="26393461">
      <w:pPr>
        <w:widowControl/>
        <w:spacing w:line="600" w:lineRule="exact"/>
        <w:ind w:firstLine="640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五、一般公共预算财政拨款支出决算表</w:t>
      </w:r>
    </w:p>
    <w:p w14:paraId="0893CD51">
      <w:pPr>
        <w:widowControl/>
        <w:spacing w:line="600" w:lineRule="exact"/>
        <w:ind w:firstLine="640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六、一般公共预算财政拨款基本支出决算表</w:t>
      </w:r>
    </w:p>
    <w:p w14:paraId="597ADF43">
      <w:pPr>
        <w:widowControl/>
        <w:spacing w:line="600" w:lineRule="exact"/>
        <w:ind w:firstLine="640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七、一般公共预算财政拨款“三公”经费支出决算</w:t>
      </w:r>
    </w:p>
    <w:p w14:paraId="3E409A7C">
      <w:pPr>
        <w:widowControl/>
        <w:spacing w:line="600" w:lineRule="exact"/>
        <w:ind w:firstLine="640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表</w:t>
      </w:r>
    </w:p>
    <w:p w14:paraId="556DEBEC">
      <w:pPr>
        <w:widowControl/>
        <w:spacing w:line="600" w:lineRule="exact"/>
        <w:ind w:firstLine="640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八、国有资产占用情况表</w:t>
      </w:r>
    </w:p>
    <w:p w14:paraId="4007814E">
      <w:pPr>
        <w:widowControl/>
        <w:spacing w:line="600" w:lineRule="exact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</w:t>
      </w:r>
      <w:r>
        <w:rPr>
          <w:rFonts w:hint="eastAsia" w:ascii="黑体" w:hAnsi="黑体" w:eastAsia="黑体"/>
          <w:sz w:val="32"/>
          <w:szCs w:val="32"/>
        </w:rPr>
        <w:t>第三部分  2018年度部门决算情况说明</w:t>
      </w:r>
    </w:p>
    <w:p w14:paraId="3DDE26FB">
      <w:pPr>
        <w:widowControl/>
        <w:spacing w:line="600" w:lineRule="exact"/>
        <w:ind w:firstLine="1280" w:firstLineChars="400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一、收入决算情况说明</w:t>
      </w:r>
    </w:p>
    <w:p w14:paraId="3BD42411">
      <w:pPr>
        <w:widowControl/>
        <w:spacing w:line="600" w:lineRule="exact"/>
        <w:ind w:firstLine="1280" w:firstLineChars="400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二、支出决算情况说明</w:t>
      </w:r>
    </w:p>
    <w:p w14:paraId="41DECB9C">
      <w:pPr>
        <w:widowControl/>
        <w:spacing w:line="600" w:lineRule="exact"/>
        <w:ind w:firstLine="1280" w:firstLineChars="400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三、财政拨款支出决算情况说明</w:t>
      </w:r>
    </w:p>
    <w:p w14:paraId="30FC55C7">
      <w:pPr>
        <w:widowControl/>
        <w:spacing w:line="600" w:lineRule="exact"/>
        <w:ind w:firstLine="1280" w:firstLineChars="400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四、一般公共预算财政拨款基本支出决算情况说明</w:t>
      </w:r>
    </w:p>
    <w:p w14:paraId="17089A6D">
      <w:pPr>
        <w:widowControl/>
        <w:spacing w:line="600" w:lineRule="exact"/>
        <w:ind w:firstLine="1280" w:firstLineChars="400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五、一般公共预算财政拨款“三公”经费支出决算</w:t>
      </w:r>
    </w:p>
    <w:p w14:paraId="5AEB0F40">
      <w:pPr>
        <w:widowControl/>
        <w:spacing w:line="600" w:lineRule="exact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 xml:space="preserve">    情况说明</w:t>
      </w:r>
    </w:p>
    <w:p w14:paraId="50779FD9">
      <w:pPr>
        <w:widowControl/>
        <w:spacing w:line="600" w:lineRule="exact"/>
        <w:ind w:firstLine="1280" w:firstLineChars="400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六、机关运行经费支出情况说明</w:t>
      </w:r>
    </w:p>
    <w:p w14:paraId="602C1CD7">
      <w:pPr>
        <w:widowControl/>
        <w:spacing w:line="600" w:lineRule="exact"/>
        <w:ind w:firstLine="640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 xml:space="preserve">    七、国有资产占用情况说明</w:t>
      </w:r>
    </w:p>
    <w:p w14:paraId="3F00BC26">
      <w:pPr>
        <w:widowControl/>
        <w:spacing w:line="600" w:lineRule="exact"/>
        <w:ind w:firstLine="64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黑体" w:hAnsi="黑体" w:eastAsia="黑体"/>
          <w:sz w:val="32"/>
          <w:szCs w:val="32"/>
        </w:rPr>
        <w:t>第四部分  名词解释</w:t>
      </w:r>
    </w:p>
    <w:p w14:paraId="135392AA"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 w14:paraId="5EA2D122"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 w14:paraId="662AED67"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 w14:paraId="5A041AFB"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 w14:paraId="286C8808"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 w14:paraId="0E53714A"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 w14:paraId="2E28C44E"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 w14:paraId="6D109AE2"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 w14:paraId="1D8AE884"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 w14:paraId="374CAFBA"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 w14:paraId="570AA15B"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 w14:paraId="27A4D2B4"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 w14:paraId="5BAC57E8"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 w14:paraId="73A7BA37"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 w14:paraId="3B530D77"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 w14:paraId="2E74DB23">
      <w:pPr>
        <w:pStyle w:val="16"/>
        <w:jc w:val="center"/>
        <w:rPr>
          <w:rFonts w:hint="eastAsia" w:ascii="华文中宋" w:hAnsi="华文中宋" w:eastAsia="华文中宋" w:cs="华文中宋"/>
          <w:sz w:val="44"/>
          <w:szCs w:val="44"/>
        </w:rPr>
      </w:pPr>
    </w:p>
    <w:p w14:paraId="2298982E">
      <w:pPr>
        <w:pStyle w:val="16"/>
        <w:jc w:val="center"/>
        <w:rPr>
          <w:rFonts w:hint="eastAsia" w:ascii="华文中宋" w:hAnsi="华文中宋" w:eastAsia="华文中宋" w:cs="华文中宋"/>
          <w:sz w:val="44"/>
          <w:szCs w:val="44"/>
        </w:rPr>
      </w:pPr>
    </w:p>
    <w:p w14:paraId="276B2652">
      <w:pPr>
        <w:pStyle w:val="16"/>
        <w:jc w:val="center"/>
        <w:rPr>
          <w:rFonts w:hint="eastAsia" w:ascii="华文中宋" w:hAnsi="华文中宋" w:eastAsia="华文中宋" w:cs="华文中宋"/>
          <w:sz w:val="44"/>
          <w:szCs w:val="44"/>
        </w:rPr>
      </w:pPr>
      <w:r>
        <w:rPr>
          <w:rFonts w:hint="eastAsia" w:ascii="华文中宋" w:hAnsi="华文中宋" w:eastAsia="华文中宋" w:cs="华文中宋"/>
          <w:sz w:val="44"/>
          <w:szCs w:val="44"/>
        </w:rPr>
        <w:t>白鹿镇人民政府</w:t>
      </w:r>
      <w:r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  <w:t>2018</w:t>
      </w:r>
      <w:r>
        <w:rPr>
          <w:rFonts w:hint="eastAsia" w:ascii="华文中宋" w:hAnsi="华文中宋" w:eastAsia="华文中宋" w:cs="华文中宋"/>
          <w:sz w:val="44"/>
          <w:szCs w:val="44"/>
        </w:rPr>
        <w:t>年部门决算编制说明</w:t>
      </w:r>
    </w:p>
    <w:p w14:paraId="65B6B890">
      <w:pPr>
        <w:ind w:firstLine="800" w:firstLineChars="2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 w14:paraId="0B202CAF">
      <w:pP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　　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部门主要职责</w:t>
      </w:r>
    </w:p>
    <w:p w14:paraId="184E416A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（一）主要职能</w:t>
      </w:r>
    </w:p>
    <w:p w14:paraId="62FEA063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白鹿镇</w:t>
      </w:r>
      <w:r>
        <w:rPr>
          <w:rFonts w:hint="eastAsia" w:ascii="仿宋" w:hAnsi="仿宋" w:eastAsia="仿宋" w:cs="仿宋"/>
          <w:sz w:val="32"/>
          <w:szCs w:val="32"/>
        </w:rPr>
        <w:t>人民政府的主要职责是：落实国家政策，严格依法行政，发挥经济管理职能，加强政策引导，制定发展规划，服务市场主体和营造发展环境，搞好市场监管，大力促进社会事业发展，发展镇村经济、文化和社会事业，提供公共服务，维护社会稳定，推进小康社会建设。</w:t>
      </w:r>
    </w:p>
    <w:p w14:paraId="0F113DD8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（一）执行本级人民代表大会的各项决议，并报告执行决议、决定和命令的情况。</w:t>
      </w:r>
    </w:p>
    <w:p w14:paraId="0BF21BEC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（二）制定并落实本行政区域的经济计划和措施，全面提高人民群众的生活水平和生活质量。</w:t>
      </w:r>
    </w:p>
    <w:p w14:paraId="49DED4D2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（三）开展社会主义民主和法制的宣传教育，保障公民的权利，打击违法犯罪，维护社会稳定。</w:t>
      </w:r>
    </w:p>
    <w:p w14:paraId="5006BB1D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四</w:t>
      </w:r>
      <w:r>
        <w:rPr>
          <w:rFonts w:hint="eastAsia" w:ascii="仿宋" w:hAnsi="仿宋" w:eastAsia="仿宋" w:cs="仿宋"/>
          <w:sz w:val="32"/>
          <w:szCs w:val="32"/>
        </w:rPr>
        <w:t>）制定社会各项事业发展计划，发展教育、卫生、科技、民政、广播电视、文化、体育事业；加强计划生育工作；推进社会保障、社会福利事业和养老保险等工作。</w:t>
      </w:r>
    </w:p>
    <w:p w14:paraId="457E3897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五</w:t>
      </w:r>
      <w:r>
        <w:rPr>
          <w:rFonts w:hint="eastAsia" w:ascii="仿宋" w:hAnsi="仿宋" w:eastAsia="仿宋" w:cs="仿宋"/>
          <w:sz w:val="32"/>
          <w:szCs w:val="32"/>
        </w:rPr>
        <w:t>）加强镇级财政的监督和管理。</w:t>
      </w:r>
    </w:p>
    <w:p w14:paraId="45E7C943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sz w:val="32"/>
          <w:szCs w:val="32"/>
        </w:rPr>
        <w:t>）指导村（居）民委员会的组织制度建设和业务建设，促进村（居）民委员会民主自治。</w:t>
      </w:r>
    </w:p>
    <w:p w14:paraId="4FD80B3D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sz w:val="32"/>
          <w:szCs w:val="32"/>
        </w:rPr>
        <w:t>）制定和组织实施镇村建设规划，保护和改善生活环境和生态环境。</w:t>
      </w:r>
    </w:p>
    <w:p w14:paraId="37CC33E5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sz w:val="32"/>
          <w:szCs w:val="32"/>
        </w:rPr>
        <w:t>）承办本级党委、人大和上级交办的其他事项。</w:t>
      </w:r>
    </w:p>
    <w:p w14:paraId="28158E58">
      <w:pPr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二、部门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基本情况</w:t>
      </w:r>
    </w:p>
    <w:p w14:paraId="72CB3BB4">
      <w:pPr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</w:rPr>
        <w:t>我单位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编制人数57人，其中：行政编制3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人、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全部补助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事业编制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人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实有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在职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人数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45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人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其中：行政人员2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人、事业人员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人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），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退休人员1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人。</w:t>
      </w:r>
    </w:p>
    <w:p w14:paraId="755552AC">
      <w:pPr>
        <w:widowControl/>
        <w:spacing w:line="600" w:lineRule="exact"/>
        <w:ind w:firstLine="640"/>
        <w:jc w:val="center"/>
        <w:rPr>
          <w:rFonts w:hint="eastAsia" w:ascii="仿宋" w:hAnsi="仿宋" w:eastAsia="仿宋" w:cs="仿宋"/>
          <w:b/>
          <w:sz w:val="32"/>
          <w:szCs w:val="32"/>
        </w:rPr>
      </w:pPr>
    </w:p>
    <w:p w14:paraId="35CFDED1">
      <w:pPr>
        <w:widowControl/>
        <w:numPr>
          <w:ilvl w:val="0"/>
          <w:numId w:val="1"/>
        </w:numPr>
        <w:spacing w:line="600" w:lineRule="exact"/>
        <w:ind w:firstLine="640"/>
        <w:jc w:val="center"/>
        <w:rPr>
          <w:rFonts w:hint="eastAsia" w:ascii="宋体" w:hAnsi="宋体"/>
          <w:b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32"/>
          <w:szCs w:val="32"/>
        </w:rPr>
        <w:t>2018年度部门决算表</w:t>
      </w:r>
    </w:p>
    <w:p w14:paraId="00932BDA">
      <w:pPr>
        <w:widowControl/>
        <w:numPr>
          <w:ilvl w:val="0"/>
          <w:numId w:val="0"/>
        </w:numPr>
        <w:spacing w:line="600" w:lineRule="exact"/>
        <w:ind w:firstLine="3534" w:firstLineChars="1100"/>
        <w:jc w:val="both"/>
        <w:rPr>
          <w:rFonts w:hint="eastAsia" w:ascii="宋体" w:hAnsi="宋体" w:eastAsia="宋体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（详见附表）</w:t>
      </w:r>
    </w:p>
    <w:p w14:paraId="08BB3218">
      <w:pPr>
        <w:widowControl/>
        <w:spacing w:line="600" w:lineRule="exact"/>
        <w:ind w:firstLine="640"/>
        <w:jc w:val="center"/>
        <w:rPr>
          <w:rFonts w:hint="eastAsia" w:ascii="仿宋" w:hAnsi="仿宋" w:eastAsia="仿宋" w:cs="仿宋"/>
          <w:b/>
          <w:sz w:val="32"/>
          <w:szCs w:val="32"/>
        </w:rPr>
      </w:pPr>
    </w:p>
    <w:p w14:paraId="1BBBDBBE">
      <w:pPr>
        <w:widowControl/>
        <w:spacing w:line="600" w:lineRule="exact"/>
        <w:ind w:firstLine="640"/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第三部分  2018年度部门决算情况说明</w:t>
      </w:r>
    </w:p>
    <w:p w14:paraId="52A24E1D">
      <w:pPr>
        <w:ind w:firstLine="630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6B8C1A08">
      <w:pPr>
        <w:ind w:firstLine="63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一、收入决算情况说明</w:t>
      </w:r>
    </w:p>
    <w:p w14:paraId="036B1FE5">
      <w:pPr>
        <w:ind w:firstLine="63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本部门2018年度收入总计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11003.7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 w:cs="仿宋"/>
          <w:sz w:val="32"/>
          <w:szCs w:val="32"/>
        </w:rPr>
        <w:t>其中年初结转和结余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1046.54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)</w:t>
      </w:r>
      <w:r>
        <w:rPr>
          <w:rFonts w:hint="eastAsia" w:ascii="仿宋" w:hAnsi="仿宋" w:eastAsia="仿宋" w:cs="仿宋"/>
          <w:sz w:val="32"/>
          <w:szCs w:val="32"/>
        </w:rPr>
        <w:t>，较2017年增加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2102.7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增长23.6.5</w:t>
      </w:r>
      <w:r>
        <w:rPr>
          <w:rFonts w:hint="eastAsia" w:ascii="仿宋" w:hAnsi="仿宋" w:eastAsia="仿宋" w:cs="仿宋"/>
          <w:sz w:val="32"/>
          <w:szCs w:val="32"/>
        </w:rPr>
        <w:t xml:space="preserve"> %；本年收入合计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9957.16</w:t>
      </w:r>
      <w:r>
        <w:rPr>
          <w:rFonts w:hint="eastAsia" w:ascii="仿宋" w:hAnsi="仿宋" w:eastAsia="仿宋" w:cs="仿宋"/>
          <w:sz w:val="32"/>
          <w:szCs w:val="32"/>
        </w:rPr>
        <w:t>万元，较2017年增加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2372.76</w:t>
      </w:r>
      <w:r>
        <w:rPr>
          <w:rFonts w:hint="eastAsia" w:ascii="仿宋" w:hAnsi="仿宋" w:eastAsia="仿宋" w:cs="仿宋"/>
          <w:sz w:val="32"/>
          <w:szCs w:val="32"/>
        </w:rPr>
        <w:t>万元，增长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31.3</w:t>
      </w:r>
      <w:r>
        <w:rPr>
          <w:rFonts w:hint="eastAsia" w:ascii="仿宋" w:hAnsi="仿宋" w:eastAsia="仿宋" w:cs="仿宋"/>
          <w:sz w:val="32"/>
          <w:szCs w:val="32"/>
        </w:rPr>
        <w:t>%，主要原因是为改善农村生产、生活环境、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美丽乡村</w:t>
      </w:r>
      <w:r>
        <w:rPr>
          <w:rFonts w:hint="eastAsia" w:ascii="仿宋" w:hAnsi="仿宋" w:eastAsia="仿宋" w:cs="仿宋"/>
          <w:sz w:val="32"/>
          <w:szCs w:val="32"/>
        </w:rPr>
        <w:t>建设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、集镇改造、</w:t>
      </w:r>
      <w:r>
        <w:rPr>
          <w:rFonts w:hint="eastAsia" w:ascii="仿宋" w:hAnsi="仿宋" w:eastAsia="仿宋" w:cs="仿宋"/>
          <w:sz w:val="32"/>
          <w:szCs w:val="32"/>
        </w:rPr>
        <w:t>扶贫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方面</w:t>
      </w:r>
      <w:r>
        <w:rPr>
          <w:rFonts w:hint="eastAsia" w:ascii="仿宋" w:hAnsi="仿宋" w:eastAsia="仿宋" w:cs="仿宋"/>
          <w:sz w:val="32"/>
          <w:szCs w:val="32"/>
        </w:rPr>
        <w:t>所需资金增多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，财政拨款资金增加</w:t>
      </w:r>
      <w:r>
        <w:rPr>
          <w:rFonts w:hint="eastAsia" w:ascii="微软雅黑" w:hAnsi="微软雅黑" w:eastAsia="微软雅黑" w:cs="宋体"/>
          <w:color w:val="333333"/>
          <w:kern w:val="0"/>
          <w:sz w:val="32"/>
          <w:szCs w:val="32"/>
        </w:rPr>
        <w:t>。</w:t>
      </w:r>
    </w:p>
    <w:p w14:paraId="5500FA97">
      <w:pPr>
        <w:ind w:firstLine="63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本年收入的具体构成为：财政拨款收入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9221.13</w:t>
      </w:r>
      <w:r>
        <w:rPr>
          <w:rFonts w:hint="eastAsia" w:ascii="仿宋" w:hAnsi="仿宋" w:eastAsia="仿宋" w:cs="仿宋"/>
          <w:sz w:val="32"/>
          <w:szCs w:val="32"/>
        </w:rPr>
        <w:t>万元，占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92.6</w:t>
      </w:r>
      <w:r>
        <w:rPr>
          <w:rFonts w:hint="eastAsia" w:ascii="仿宋" w:hAnsi="仿宋" w:eastAsia="仿宋" w:cs="仿宋"/>
          <w:sz w:val="32"/>
          <w:szCs w:val="32"/>
        </w:rPr>
        <w:t xml:space="preserve"> %；其他收入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736.03</w:t>
      </w:r>
      <w:r>
        <w:rPr>
          <w:rFonts w:hint="eastAsia" w:ascii="仿宋" w:hAnsi="仿宋" w:eastAsia="仿宋" w:cs="仿宋"/>
          <w:sz w:val="32"/>
          <w:szCs w:val="32"/>
        </w:rPr>
        <w:t>万元，占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7.4</w:t>
      </w:r>
      <w:r>
        <w:rPr>
          <w:rFonts w:hint="eastAsia" w:ascii="仿宋" w:hAnsi="仿宋" w:eastAsia="仿宋" w:cs="仿宋"/>
          <w:sz w:val="32"/>
          <w:szCs w:val="32"/>
        </w:rPr>
        <w:t xml:space="preserve">%。  </w:t>
      </w:r>
    </w:p>
    <w:p w14:paraId="494D4913">
      <w:pPr>
        <w:ind w:firstLine="63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二、支出决算情况说明</w:t>
      </w:r>
    </w:p>
    <w:p w14:paraId="688C2D77">
      <w:pPr>
        <w:ind w:firstLine="63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本部门2018年度支出总计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11003.7</w:t>
      </w:r>
      <w:r>
        <w:rPr>
          <w:rFonts w:hint="eastAsia" w:ascii="仿宋" w:hAnsi="仿宋" w:eastAsia="仿宋" w:cs="仿宋"/>
          <w:sz w:val="32"/>
          <w:szCs w:val="32"/>
        </w:rPr>
        <w:t>万元，其中本年支出合计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9623</w:t>
      </w:r>
      <w:r>
        <w:rPr>
          <w:rFonts w:hint="eastAsia" w:ascii="仿宋" w:hAnsi="仿宋" w:eastAsia="仿宋" w:cs="仿宋"/>
          <w:sz w:val="32"/>
          <w:szCs w:val="32"/>
        </w:rPr>
        <w:t>万元，较2017年增加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1768.6</w:t>
      </w:r>
      <w:r>
        <w:rPr>
          <w:rFonts w:hint="eastAsia" w:ascii="仿宋" w:hAnsi="仿宋" w:eastAsia="仿宋" w:cs="仿宋"/>
          <w:sz w:val="32"/>
          <w:szCs w:val="32"/>
        </w:rPr>
        <w:t>万元，增长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22.5</w:t>
      </w:r>
      <w:r>
        <w:rPr>
          <w:rFonts w:hint="eastAsia" w:ascii="仿宋" w:hAnsi="仿宋" w:eastAsia="仿宋" w:cs="仿宋"/>
          <w:sz w:val="32"/>
          <w:szCs w:val="32"/>
        </w:rPr>
        <w:t xml:space="preserve"> %，年末结转和结余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1380.7</w:t>
      </w:r>
      <w:r>
        <w:rPr>
          <w:rFonts w:hint="eastAsia" w:ascii="仿宋" w:hAnsi="仿宋" w:eastAsia="仿宋" w:cs="仿宋"/>
          <w:sz w:val="32"/>
          <w:szCs w:val="32"/>
        </w:rPr>
        <w:t>万元，较2017年增加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334.2</w:t>
      </w:r>
      <w:r>
        <w:rPr>
          <w:rFonts w:hint="eastAsia" w:ascii="仿宋" w:hAnsi="仿宋" w:eastAsia="仿宋" w:cs="仿宋"/>
          <w:sz w:val="32"/>
          <w:szCs w:val="32"/>
        </w:rPr>
        <w:t>万元，增长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32</w:t>
      </w:r>
      <w:r>
        <w:rPr>
          <w:rFonts w:hint="eastAsia" w:ascii="仿宋" w:hAnsi="仿宋" w:eastAsia="仿宋" w:cs="仿宋"/>
          <w:sz w:val="32"/>
          <w:szCs w:val="32"/>
        </w:rPr>
        <w:t>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，支出增加的</w:t>
      </w:r>
      <w:r>
        <w:rPr>
          <w:rFonts w:hint="eastAsia" w:ascii="仿宋" w:hAnsi="仿宋" w:eastAsia="仿宋" w:cs="仿宋"/>
          <w:sz w:val="32"/>
          <w:szCs w:val="32"/>
        </w:rPr>
        <w:t>主要原因是在改善农村生产、生活环境、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秀美乡村建设、集镇改造、</w:t>
      </w:r>
      <w:r>
        <w:rPr>
          <w:rFonts w:hint="eastAsia" w:ascii="仿宋" w:hAnsi="仿宋" w:eastAsia="仿宋" w:cs="仿宋"/>
          <w:sz w:val="32"/>
          <w:szCs w:val="32"/>
        </w:rPr>
        <w:t>对农村基本设施建设以及扶贫方面支出增加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0522F1BB">
      <w:pPr>
        <w:ind w:firstLine="63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三、财政拨款支出决算情况说明</w:t>
      </w:r>
    </w:p>
    <w:p w14:paraId="1FDB7607">
      <w:pPr>
        <w:ind w:firstLine="63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本部门2018年度财政拨款本年支出年初预算数为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547.2</w:t>
      </w:r>
      <w:r>
        <w:rPr>
          <w:rFonts w:hint="eastAsia" w:ascii="仿宋" w:hAnsi="仿宋" w:eastAsia="仿宋" w:cs="仿宋"/>
          <w:sz w:val="32"/>
          <w:szCs w:val="32"/>
        </w:rPr>
        <w:t xml:space="preserve">   万元，决算数为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8886.96</w:t>
      </w:r>
      <w:r>
        <w:rPr>
          <w:rFonts w:hint="eastAsia" w:ascii="仿宋" w:hAnsi="仿宋" w:eastAsia="仿宋" w:cs="仿宋"/>
          <w:sz w:val="32"/>
          <w:szCs w:val="32"/>
        </w:rPr>
        <w:t>万元，完成年初预算的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1524</w:t>
      </w:r>
      <w:r>
        <w:rPr>
          <w:rFonts w:hint="eastAsia" w:ascii="仿宋" w:hAnsi="仿宋" w:eastAsia="仿宋" w:cs="仿宋"/>
          <w:sz w:val="32"/>
          <w:szCs w:val="32"/>
        </w:rPr>
        <w:t>%。其中：一般公共服务支出决算数为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4508.4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较上年增加1078.4万元；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教育支出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2000万元，较上长增加500万；科学技术技术支出200万元，较上长减少100万；文化体育与传媒支出43.16万元，较上年减少56.59万元；社会保障和就业支出1089.92万元，较上年增加991.05万元；医疗卫生与计划生育支出24.60万元，较上年增加14.46万元；节能环保支出11.60万元，较上年增加6.6万元；城乡社区支出10万元，较上年减少30万元；农林水支出452.64万元，较上年减少1398.36万元；交通运输支出14.46万元，较上年增加14.46万元；住房保障支出26.18万元，较上年增加15.44万元；其他支出506万元，较上年增加1.5万元。较年初预算增加的</w:t>
      </w:r>
      <w:r>
        <w:rPr>
          <w:rFonts w:hint="eastAsia" w:ascii="仿宋" w:hAnsi="仿宋" w:eastAsia="仿宋" w:cs="仿宋"/>
          <w:sz w:val="32"/>
          <w:szCs w:val="32"/>
        </w:rPr>
        <w:t>主要原因是在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教育、社会保障和就业、秀美乡村、集镇改造、</w:t>
      </w:r>
      <w:r>
        <w:rPr>
          <w:rFonts w:hint="eastAsia" w:ascii="仿宋" w:hAnsi="仿宋" w:eastAsia="仿宋" w:cs="仿宋"/>
          <w:sz w:val="32"/>
          <w:szCs w:val="32"/>
        </w:rPr>
        <w:t>对农村基本设施建设以及扶贫方面支出增加。</w:t>
      </w:r>
    </w:p>
    <w:p w14:paraId="60B0AAC0">
      <w:pPr>
        <w:ind w:firstLine="63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四、一般公共预算财政拨款基本支出决算情况说明</w:t>
      </w:r>
    </w:p>
    <w:p w14:paraId="4A558B96">
      <w:pPr>
        <w:ind w:firstLine="585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本部门2018年度一般公共预算财政拨款基本支出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8886.96</w:t>
      </w:r>
      <w:r>
        <w:rPr>
          <w:rFonts w:hint="eastAsia" w:ascii="仿宋" w:hAnsi="仿宋" w:eastAsia="仿宋" w:cs="仿宋"/>
          <w:sz w:val="32"/>
          <w:szCs w:val="32"/>
        </w:rPr>
        <w:t>万元，其中：</w:t>
      </w:r>
    </w:p>
    <w:p w14:paraId="307E00B9">
      <w:pPr>
        <w:ind w:firstLine="585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（一）工资福利支出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343.21</w:t>
      </w:r>
      <w:r>
        <w:rPr>
          <w:rFonts w:hint="eastAsia" w:ascii="仿宋" w:hAnsi="仿宋" w:eastAsia="仿宋" w:cs="仿宋"/>
          <w:sz w:val="32"/>
          <w:szCs w:val="32"/>
        </w:rPr>
        <w:t>万元，较2017年减少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238.9</w:t>
      </w:r>
      <w:r>
        <w:rPr>
          <w:rFonts w:hint="eastAsia" w:ascii="仿宋" w:hAnsi="仿宋" w:eastAsia="仿宋" w:cs="仿宋"/>
          <w:sz w:val="32"/>
          <w:szCs w:val="32"/>
        </w:rPr>
        <w:t>万元，下降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41</w:t>
      </w:r>
      <w:r>
        <w:rPr>
          <w:rFonts w:hint="eastAsia" w:ascii="仿宋" w:hAnsi="仿宋" w:eastAsia="仿宋" w:cs="仿宋"/>
          <w:sz w:val="32"/>
          <w:szCs w:val="32"/>
        </w:rPr>
        <w:t>%，主要原因是：</w:t>
      </w:r>
      <w:r>
        <w:rPr>
          <w:rFonts w:hint="eastAsia" w:ascii="仿宋" w:hAnsi="仿宋" w:eastAsia="仿宋" w:cs="仿宋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</w:rPr>
        <w:instrText xml:space="preserve"> = 1 \* GB3 \* MERGEFORMAT </w:instrText>
      </w:r>
      <w:r>
        <w:rPr>
          <w:rFonts w:hint="eastAsia" w:ascii="仿宋" w:hAnsi="仿宋" w:eastAsia="仿宋" w:cs="仿宋"/>
          <w:sz w:val="32"/>
          <w:szCs w:val="32"/>
        </w:rPr>
        <w:fldChar w:fldCharType="separate"/>
      </w:r>
      <w:r>
        <w:t>①</w:t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因人员减少，工资福利支出相应减少；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lang w:eastAsia="zh-CN"/>
        </w:rPr>
        <w:instrText xml:space="preserve"> = 2 \* GB3 \* MERGEFORMAT </w:instrText>
      </w:r>
      <w:r>
        <w:rPr>
          <w:rFonts w:hint="eastAsia" w:ascii="仿宋" w:hAnsi="仿宋" w:eastAsia="仿宋" w:cs="仿宋"/>
          <w:sz w:val="32"/>
          <w:szCs w:val="32"/>
          <w:lang w:eastAsia="zh-CN"/>
        </w:rPr>
        <w:fldChar w:fldCharType="separate"/>
      </w:r>
      <w:r>
        <w:t>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临时人员其他工资福利支出减少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110万元，在劳务费中列支；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instrText xml:space="preserve"> = 3 \* GB3 \* MERGEFORMAT </w:instrTex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separate"/>
      </w:r>
      <w:r>
        <w:t>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2018年度奖励性工资在对个人和家庭补助中列支。</w:t>
      </w:r>
    </w:p>
    <w:p w14:paraId="3447617D">
      <w:pPr>
        <w:ind w:firstLine="585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（二）商品和服务支出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1814.34</w:t>
      </w:r>
      <w:r>
        <w:rPr>
          <w:rFonts w:hint="eastAsia" w:ascii="仿宋" w:hAnsi="仿宋" w:eastAsia="仿宋" w:cs="仿宋"/>
          <w:sz w:val="32"/>
          <w:szCs w:val="32"/>
        </w:rPr>
        <w:t>万元，较2017年增加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1140.34</w:t>
      </w:r>
      <w:r>
        <w:rPr>
          <w:rFonts w:hint="eastAsia" w:ascii="仿宋" w:hAnsi="仿宋" w:eastAsia="仿宋" w:cs="仿宋"/>
          <w:sz w:val="32"/>
          <w:szCs w:val="32"/>
        </w:rPr>
        <w:t>万元，增长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169.2</w:t>
      </w:r>
      <w:r>
        <w:rPr>
          <w:rFonts w:hint="eastAsia" w:ascii="仿宋" w:hAnsi="仿宋" w:eastAsia="仿宋" w:cs="仿宋"/>
          <w:sz w:val="32"/>
          <w:szCs w:val="32"/>
        </w:rPr>
        <w:t xml:space="preserve"> %，主要原因是：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对企业创税奖励税金及附加费用的增加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557ED8D9">
      <w:pPr>
        <w:widowControl/>
        <w:shd w:val="clear" w:color="auto" w:fill="FFFFFF"/>
        <w:ind w:firstLine="480"/>
        <w:jc w:val="left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（三）对个人和家庭补助支出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6701.13</w:t>
      </w:r>
      <w:r>
        <w:rPr>
          <w:rFonts w:hint="eastAsia" w:ascii="仿宋" w:hAnsi="仿宋" w:eastAsia="仿宋" w:cs="仿宋"/>
          <w:sz w:val="32"/>
          <w:szCs w:val="32"/>
          <w:u w:val="none"/>
        </w:rPr>
        <w:t>万元，较2017年增加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4648.2</w:t>
      </w:r>
      <w:r>
        <w:rPr>
          <w:rFonts w:hint="eastAsia" w:ascii="仿宋" w:hAnsi="仿宋" w:eastAsia="仿宋" w:cs="仿宋"/>
          <w:sz w:val="32"/>
          <w:szCs w:val="32"/>
          <w:u w:val="none"/>
        </w:rPr>
        <w:t>万元，增长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226.4</w:t>
      </w:r>
      <w:r>
        <w:rPr>
          <w:rFonts w:hint="eastAsia" w:ascii="仿宋" w:hAnsi="仿宋" w:eastAsia="仿宋" w:cs="仿宋"/>
          <w:sz w:val="32"/>
          <w:szCs w:val="32"/>
          <w:u w:val="none"/>
        </w:rPr>
        <w:t xml:space="preserve"> %，主要原因是：</w:t>
      </w:r>
      <w:r>
        <w:rPr>
          <w:rFonts w:hint="eastAsia" w:ascii="仿宋" w:hAnsi="仿宋" w:eastAsia="仿宋" w:cs="仿宋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</w:rPr>
        <w:instrText xml:space="preserve"> = 1 \* GB3 \* MERGEFORMAT </w:instrText>
      </w:r>
      <w:r>
        <w:rPr>
          <w:rFonts w:hint="eastAsia" w:ascii="仿宋" w:hAnsi="仿宋" w:eastAsia="仿宋" w:cs="仿宋"/>
          <w:sz w:val="32"/>
          <w:szCs w:val="32"/>
        </w:rPr>
        <w:fldChar w:fldCharType="separate"/>
      </w:r>
      <w:r>
        <w:t>①</w:t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因农业产业改革，给予牲猪养殖户补贴增加、扶贫工作持续开展，对贫困户生产、生活费用增加；职工体检，医疗费用增加；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instrText xml:space="preserve"> = 2 \* GB3 \* MERGEFORMAT </w:instrTex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fldChar w:fldCharType="separate"/>
      </w:r>
      <w:r>
        <w:t>②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对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企业创税奖金6523万元列支在对个人和家庭的补助中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。</w:t>
      </w:r>
    </w:p>
    <w:p w14:paraId="1216141F">
      <w:pPr>
        <w:widowControl/>
        <w:shd w:val="clear" w:color="auto" w:fill="FFFFFF"/>
        <w:ind w:firstLine="48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（四）资本性支出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28.28</w:t>
      </w:r>
      <w:r>
        <w:rPr>
          <w:rFonts w:hint="eastAsia" w:ascii="仿宋" w:hAnsi="仿宋" w:eastAsia="仿宋" w:cs="仿宋"/>
          <w:sz w:val="32"/>
          <w:szCs w:val="32"/>
        </w:rPr>
        <w:t>万元，较2017年减少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9.1</w:t>
      </w:r>
      <w:r>
        <w:rPr>
          <w:rFonts w:hint="eastAsia" w:ascii="仿宋" w:hAnsi="仿宋" w:eastAsia="仿宋" w:cs="仿宋"/>
          <w:sz w:val="32"/>
          <w:szCs w:val="32"/>
        </w:rPr>
        <w:t>万元，下降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%，原因为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办公设备购置</w:t>
      </w:r>
      <w:r>
        <w:rPr>
          <w:rFonts w:hint="eastAsia" w:ascii="仿宋" w:hAnsi="仿宋" w:eastAsia="仿宋" w:cs="仿宋"/>
          <w:sz w:val="32"/>
          <w:szCs w:val="32"/>
        </w:rPr>
        <w:t>减少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做到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资源合理配置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02EBDE2C">
      <w:pPr>
        <w:ind w:firstLine="63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五、一般公共预算财政拨款“三公”经费支出决算情况说明</w:t>
      </w:r>
    </w:p>
    <w:p w14:paraId="71ED3550">
      <w:pPr>
        <w:ind w:firstLine="63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本部门2018年度一般公共预算财政拨款“三公”经费支出年初预算数为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54.95</w:t>
      </w:r>
      <w:r>
        <w:rPr>
          <w:rFonts w:hint="eastAsia" w:ascii="仿宋" w:hAnsi="仿宋" w:eastAsia="仿宋" w:cs="仿宋"/>
          <w:sz w:val="32"/>
          <w:szCs w:val="32"/>
        </w:rPr>
        <w:t>万元，决算数为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26.8</w:t>
      </w:r>
      <w:r>
        <w:rPr>
          <w:rFonts w:hint="eastAsia" w:ascii="仿宋" w:hAnsi="仿宋" w:eastAsia="仿宋" w:cs="仿宋"/>
          <w:sz w:val="32"/>
          <w:szCs w:val="32"/>
        </w:rPr>
        <w:t xml:space="preserve"> 万元，完成预算的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48.8</w:t>
      </w:r>
      <w:r>
        <w:rPr>
          <w:rFonts w:hint="eastAsia" w:ascii="仿宋" w:hAnsi="仿宋" w:eastAsia="仿宋" w:cs="仿宋"/>
          <w:sz w:val="32"/>
          <w:szCs w:val="32"/>
        </w:rPr>
        <w:t xml:space="preserve"> %，决算数较2017年增加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9.3</w:t>
      </w:r>
      <w:r>
        <w:rPr>
          <w:rFonts w:hint="eastAsia" w:ascii="仿宋" w:hAnsi="仿宋" w:eastAsia="仿宋" w:cs="仿宋"/>
          <w:sz w:val="32"/>
          <w:szCs w:val="32"/>
        </w:rPr>
        <w:t xml:space="preserve"> 万元，增长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53</w:t>
      </w:r>
      <w:r>
        <w:rPr>
          <w:rFonts w:hint="eastAsia" w:ascii="仿宋" w:hAnsi="仿宋" w:eastAsia="仿宋" w:cs="仿宋"/>
          <w:sz w:val="32"/>
          <w:szCs w:val="32"/>
        </w:rPr>
        <w:t>%，其中：</w:t>
      </w:r>
    </w:p>
    <w:p w14:paraId="61A19001">
      <w:pPr>
        <w:ind w:firstLine="63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（一）因公出国（境）支出年初预算为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0万元，决算数为0万元。</w:t>
      </w:r>
    </w:p>
    <w:p w14:paraId="530F1A92">
      <w:pPr>
        <w:ind w:firstLine="63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）公务接待费支出年初预算数为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45.5</w:t>
      </w:r>
      <w:r>
        <w:rPr>
          <w:rFonts w:hint="eastAsia" w:ascii="仿宋" w:hAnsi="仿宋" w:eastAsia="仿宋" w:cs="仿宋"/>
          <w:sz w:val="32"/>
          <w:szCs w:val="32"/>
        </w:rPr>
        <w:t>万元，决算数为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17.4</w:t>
      </w:r>
      <w:r>
        <w:rPr>
          <w:rFonts w:hint="eastAsia" w:ascii="仿宋" w:hAnsi="仿宋" w:eastAsia="仿宋" w:cs="仿宋"/>
          <w:sz w:val="32"/>
          <w:szCs w:val="32"/>
        </w:rPr>
        <w:t>万元，完成预算的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38.2</w:t>
      </w:r>
      <w:r>
        <w:rPr>
          <w:rFonts w:hint="eastAsia" w:ascii="仿宋" w:hAnsi="仿宋" w:eastAsia="仿宋" w:cs="仿宋"/>
          <w:sz w:val="32"/>
          <w:szCs w:val="32"/>
        </w:rPr>
        <w:t>%，决算数较2017年增加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6.5</w:t>
      </w:r>
      <w:r>
        <w:rPr>
          <w:rFonts w:hint="eastAsia" w:ascii="仿宋" w:hAnsi="仿宋" w:eastAsia="仿宋" w:cs="仿宋"/>
          <w:sz w:val="32"/>
          <w:szCs w:val="32"/>
        </w:rPr>
        <w:t>万元，增长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59.6</w:t>
      </w:r>
      <w:r>
        <w:rPr>
          <w:rFonts w:hint="eastAsia" w:ascii="仿宋" w:hAnsi="仿宋" w:eastAsia="仿宋" w:cs="仿宋"/>
          <w:sz w:val="32"/>
          <w:szCs w:val="32"/>
        </w:rPr>
        <w:t xml:space="preserve"> %。决算数较年初预算数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减少</w:t>
      </w:r>
      <w:r>
        <w:rPr>
          <w:rFonts w:hint="eastAsia" w:ascii="仿宋" w:hAnsi="仿宋" w:eastAsia="仿宋" w:cs="仿宋"/>
          <w:sz w:val="32"/>
          <w:szCs w:val="32"/>
        </w:rPr>
        <w:t>的主要原因是：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例行节约，反正铺张浪费，严格执行“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中央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八项规定”规范公务接待管理制度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10343814">
      <w:pPr>
        <w:ind w:firstLine="63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sz w:val="32"/>
          <w:szCs w:val="32"/>
        </w:rPr>
        <w:t>）公务用车运行维护费支出年初预算数为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9.45</w:t>
      </w:r>
      <w:r>
        <w:rPr>
          <w:rFonts w:hint="eastAsia" w:ascii="仿宋" w:hAnsi="仿宋" w:eastAsia="仿宋" w:cs="仿宋"/>
          <w:sz w:val="32"/>
          <w:szCs w:val="32"/>
        </w:rPr>
        <w:t>万元，决算数为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9.38</w:t>
      </w:r>
      <w:r>
        <w:rPr>
          <w:rFonts w:hint="eastAsia" w:ascii="仿宋" w:hAnsi="仿宋" w:eastAsia="仿宋" w:cs="仿宋"/>
          <w:sz w:val="32"/>
          <w:szCs w:val="32"/>
        </w:rPr>
        <w:t>万元，完成预算的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99.3</w:t>
      </w:r>
      <w:r>
        <w:rPr>
          <w:rFonts w:hint="eastAsia" w:ascii="仿宋" w:hAnsi="仿宋" w:eastAsia="仿宋" w:cs="仿宋"/>
          <w:sz w:val="32"/>
          <w:szCs w:val="32"/>
        </w:rPr>
        <w:t xml:space="preserve"> %，决算数较2017年增加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2.8</w:t>
      </w:r>
      <w:r>
        <w:rPr>
          <w:rFonts w:hint="eastAsia" w:ascii="仿宋" w:hAnsi="仿宋" w:eastAsia="仿宋" w:cs="仿宋"/>
          <w:sz w:val="32"/>
          <w:szCs w:val="32"/>
        </w:rPr>
        <w:t xml:space="preserve"> 万元，增长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42.6</w:t>
      </w:r>
      <w:r>
        <w:rPr>
          <w:rFonts w:hint="eastAsia" w:ascii="仿宋" w:hAnsi="仿宋" w:eastAsia="仿宋" w:cs="仿宋"/>
          <w:sz w:val="32"/>
          <w:szCs w:val="32"/>
        </w:rPr>
        <w:t xml:space="preserve"> 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，较好地完成了年初预算目标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0C885A91">
      <w:pPr>
        <w:ind w:firstLine="63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六、机关运行经费支出情况说明</w:t>
      </w:r>
    </w:p>
    <w:p w14:paraId="7288B488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450" w:lineRule="atLeast"/>
        <w:ind w:left="0" w:right="0" w:firstLine="640"/>
        <w:rPr>
          <w:rFonts w:hint="eastAsia" w:eastAsia="宋体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本部门2018年度机关运行经费支出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8886.96</w:t>
      </w:r>
      <w:r>
        <w:rPr>
          <w:rFonts w:hint="eastAsia" w:ascii="仿宋" w:hAnsi="仿宋" w:eastAsia="仿宋" w:cs="仿宋"/>
          <w:sz w:val="32"/>
          <w:szCs w:val="32"/>
          <w:u w:val="none"/>
        </w:rPr>
        <w:t>万元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u w:val="none"/>
        </w:rPr>
        <w:t>较年初预算数增加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7657.96</w:t>
      </w:r>
      <w:r>
        <w:rPr>
          <w:rFonts w:hint="eastAsia" w:ascii="仿宋" w:hAnsi="仿宋" w:eastAsia="仿宋" w:cs="仿宋"/>
          <w:sz w:val="32"/>
          <w:szCs w:val="32"/>
          <w:u w:val="none"/>
        </w:rPr>
        <w:t>万元，增长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623.1</w:t>
      </w:r>
      <w:r>
        <w:rPr>
          <w:rFonts w:hint="eastAsia" w:ascii="仿宋" w:hAnsi="仿宋" w:eastAsia="仿宋" w:cs="仿宋"/>
          <w:sz w:val="32"/>
          <w:szCs w:val="32"/>
          <w:u w:val="none"/>
        </w:rPr>
        <w:t>%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。分别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是：</w:t>
      </w:r>
      <w:r>
        <w:rPr>
          <w:rFonts w:hint="eastAsia" w:ascii="仿宋" w:hAnsi="仿宋" w:eastAsia="仿宋" w:cs="仿宋"/>
          <w:sz w:val="32"/>
          <w:szCs w:val="32"/>
          <w:u w:val="none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u w:val="none"/>
        </w:rPr>
        <w:instrText xml:space="preserve"> = 1 \* GB3 \* MERGEFORMAT </w:instrText>
      </w:r>
      <w:r>
        <w:rPr>
          <w:rFonts w:hint="eastAsia" w:ascii="仿宋" w:hAnsi="仿宋" w:eastAsia="仿宋" w:cs="仿宋"/>
          <w:sz w:val="32"/>
          <w:szCs w:val="32"/>
          <w:u w:val="none"/>
        </w:rPr>
        <w:fldChar w:fldCharType="separate"/>
      </w:r>
      <w:r>
        <w:rPr>
          <w:u w:val="none"/>
        </w:rPr>
        <w:t>①</w:t>
      </w:r>
      <w:r>
        <w:rPr>
          <w:rFonts w:hint="eastAsia" w:ascii="仿宋" w:hAnsi="仿宋" w:eastAsia="仿宋" w:cs="仿宋"/>
          <w:sz w:val="32"/>
          <w:szCs w:val="32"/>
          <w:u w:val="none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工资福利支出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343.21万元；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instrText xml:space="preserve"> = 2 \* GB3 \* MERGEFORMAT </w:instrTex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fldChar w:fldCharType="separate"/>
      </w:r>
      <w:r>
        <w:rPr>
          <w:u w:val="none"/>
        </w:rPr>
        <w:t>②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对个人和家庭的补助6701.13万元；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instrText xml:space="preserve"> = 3 \* GB3 \* MERGEFORMAT </w:instrTex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fldChar w:fldCharType="separate"/>
      </w:r>
      <w:r>
        <w:rPr>
          <w:u w:val="none"/>
        </w:rPr>
        <w:t>③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商品和服务支出1814.34万元，（其中办公费37.34万元、印刷费2.13万元，水费0.72万元、电费8.49万元、邮电费6.77万元，物业管理费8.41万元、差旅费2.74万元、维修费109.53万元、会议费2.65万元、培训费2.98万元、公务接待17.40万元、专用材料费6.72万元、专用材料9.2万元、劳务费203.61万元、委托业务费10.23万元、工会经费29.68万元、福利费31.03万元、公务用车运行维护费9.38万元、其他交通费29.05万元、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税金及附加费用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1226.28万元、其他商品和服务支出60万元）；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instrText xml:space="preserve"> = 4 \* GB3 \* MERGEFORMAT </w:instrTex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fldChar w:fldCharType="separate"/>
      </w:r>
      <w:r>
        <w:rPr>
          <w:u w:val="none"/>
        </w:rPr>
        <w:t>④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资本性支出28.28万元。较年初预算增加的主要原因是对企业创税奖励资金增加。</w:t>
      </w:r>
    </w:p>
    <w:p w14:paraId="4C41E36C">
      <w:pPr>
        <w:numPr>
          <w:ilvl w:val="0"/>
          <w:numId w:val="2"/>
        </w:numPr>
        <w:ind w:firstLine="63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国有资产占用情况说明</w:t>
      </w:r>
    </w:p>
    <w:p w14:paraId="3DD10EEE"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截止2018年12月31日，本部门共有车辆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kern w:val="0"/>
          <w:sz w:val="32"/>
          <w:szCs w:val="32"/>
        </w:rPr>
        <w:t>辆，其中主要领导干部用车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kern w:val="0"/>
          <w:sz w:val="32"/>
          <w:szCs w:val="32"/>
        </w:rPr>
        <w:t>辆。</w:t>
      </w:r>
    </w:p>
    <w:p w14:paraId="6D1B99B4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第四部分  名词解释</w:t>
      </w:r>
    </w:p>
    <w:p w14:paraId="15C8EE4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90" w:lineRule="atLeast"/>
        <w:ind w:left="0" w:right="0" w:firstLine="480"/>
        <w:jc w:val="both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一、财政拨款收入：指县财政当年拨付的资金。</w:t>
      </w:r>
    </w:p>
    <w:p w14:paraId="0AA7093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90" w:lineRule="atLeast"/>
        <w:ind w:left="0" w:right="0" w:firstLine="480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二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其他收入：指除上述“财政拨款收入”以外的收入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主要是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预算外资金收入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。</w:t>
      </w:r>
    </w:p>
    <w:p w14:paraId="2A65CC9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90" w:lineRule="atLeast"/>
        <w:ind w:left="0" w:right="0" w:firstLine="480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 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三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、年初结转和结余：指以前年度尚未完成、结转到本年按有关规定继续使用的资金。</w:t>
      </w:r>
    </w:p>
    <w:p w14:paraId="6FFAF56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90" w:lineRule="atLeast"/>
        <w:ind w:left="0" w:right="0" w:firstLine="480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四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、年末结转和结余：指本年度或以前年度预算安排、因客观条件发生变化无法按原计划实施，需要延迟到以后年度按有关规定继续使用的资金。</w:t>
      </w:r>
    </w:p>
    <w:p w14:paraId="09F9464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90" w:lineRule="atLeast"/>
        <w:ind w:left="0" w:right="0" w:firstLine="480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五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、基本支出：指为保障机构正常运转、完成日常工作任务而发生的人员支出和公用支出。</w:t>
      </w:r>
    </w:p>
    <w:p w14:paraId="73F3BBE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90" w:lineRule="atLeast"/>
        <w:ind w:left="0" w:right="0" w:firstLine="480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六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、“三公”经费：纳入财政预决算管理的“三公”经费，是指部门用财政拨款安排的因公出国（境）费、公务用车购置及运行费和公务接待费。其中，因公出国（境）费反映单位公务出国（境）的国际旅费、国外城市间交通费、住宿费、伙食费、培训费、公杂费等支出；公务用车购置及运行费反映单位公务用车车辆购置支出（含车辆购置税）及租用费、燃料费、维修费、过路过桥费、保险费、安全奖励费用等支出；公务接待费反映单位按规定开支的各类公务接待（含外宾接待）支出。</w:t>
      </w:r>
    </w:p>
    <w:p w14:paraId="7F1A24F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90" w:lineRule="atLeast"/>
        <w:ind w:left="0" w:right="0" w:firstLine="480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七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、机关运行经费：为保障行政单位（含参照公务员法管理的事业单位）运行用于购买货物和服务的各项资金，包括办公及印刷费、邮电费、差旅费、会议费、福利费、日常维修费、专用材料及一般设备购置费、办公用房水电费、办公用房取暖费、办公用房物业管理费、公务用车运行维护费以及其他费用。</w:t>
      </w:r>
    </w:p>
    <w:p w14:paraId="5A5B0925">
      <w:pPr>
        <w:pStyle w:val="4"/>
        <w:shd w:val="clear" w:color="auto" w:fill="FFFFFF"/>
        <w:spacing w:before="0" w:beforeAutospacing="0" w:after="0" w:afterAutospacing="0"/>
        <w:ind w:right="800" w:firstLine="200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庐山市白鹿镇人民政府</w:t>
      </w:r>
    </w:p>
    <w:p w14:paraId="2A523BE6">
      <w:pPr>
        <w:pStyle w:val="4"/>
        <w:shd w:val="clear" w:color="auto" w:fill="FFFFFF"/>
        <w:spacing w:before="0" w:beforeAutospacing="0" w:after="0" w:afterAutospacing="0"/>
        <w:ind w:right="960" w:firstLine="20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B9200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7D96F228"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ql5uc8AAAAFAQAADwAAAAAAAAAB&#10;ACAAAAAiAAAAZHJzL2Rvd25yZXYueG1sUEsBAhQAFAAAAAgAh07iQCXKTBvgAQAAuQMAAA4AAAAA&#10;AAAAAQAgAAAAHgEAAGRycy9lMm9Eb2MueG1sUEsFBgAAAAAGAAYAWQEAAH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D96F228"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993A6C"/>
    <w:multiLevelType w:val="singleLevel"/>
    <w:tmpl w:val="C3993A6C"/>
    <w:lvl w:ilvl="0" w:tentative="0">
      <w:start w:val="2"/>
      <w:numFmt w:val="chineseCounting"/>
      <w:suff w:val="space"/>
      <w:lvlText w:val="第%1部分"/>
      <w:lvlJc w:val="left"/>
      <w:rPr>
        <w:rFonts w:hint="eastAsia"/>
      </w:rPr>
    </w:lvl>
  </w:abstractNum>
  <w:abstractNum w:abstractNumId="1">
    <w:nsid w:val="74AEBD13"/>
    <w:multiLevelType w:val="singleLevel"/>
    <w:tmpl w:val="74AEBD13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89E"/>
    <w:rsid w:val="004D589E"/>
    <w:rsid w:val="00F578E6"/>
    <w:rsid w:val="010304D4"/>
    <w:rsid w:val="013A4946"/>
    <w:rsid w:val="03444807"/>
    <w:rsid w:val="040E7D25"/>
    <w:rsid w:val="04DE439F"/>
    <w:rsid w:val="05A54CEE"/>
    <w:rsid w:val="06FD5084"/>
    <w:rsid w:val="094E6B75"/>
    <w:rsid w:val="0A7C58E6"/>
    <w:rsid w:val="0AC77CEB"/>
    <w:rsid w:val="0B473F8C"/>
    <w:rsid w:val="0D2C4F73"/>
    <w:rsid w:val="11F52380"/>
    <w:rsid w:val="12703C36"/>
    <w:rsid w:val="132F1899"/>
    <w:rsid w:val="16CB309A"/>
    <w:rsid w:val="16E7421B"/>
    <w:rsid w:val="1A080F67"/>
    <w:rsid w:val="1A7565E8"/>
    <w:rsid w:val="1C241B44"/>
    <w:rsid w:val="1C694D4E"/>
    <w:rsid w:val="1C8E4145"/>
    <w:rsid w:val="1D11776B"/>
    <w:rsid w:val="1E6E4589"/>
    <w:rsid w:val="1EA10F73"/>
    <w:rsid w:val="20421FEB"/>
    <w:rsid w:val="220938E9"/>
    <w:rsid w:val="248F18E7"/>
    <w:rsid w:val="24FA4BC5"/>
    <w:rsid w:val="284D12CC"/>
    <w:rsid w:val="2A3A55B1"/>
    <w:rsid w:val="2BCE0339"/>
    <w:rsid w:val="2CE4606F"/>
    <w:rsid w:val="2ED05602"/>
    <w:rsid w:val="2FF10594"/>
    <w:rsid w:val="2FF66C08"/>
    <w:rsid w:val="31EE428A"/>
    <w:rsid w:val="35D04B01"/>
    <w:rsid w:val="36121EB3"/>
    <w:rsid w:val="363A3344"/>
    <w:rsid w:val="37651222"/>
    <w:rsid w:val="376F47C9"/>
    <w:rsid w:val="388523D9"/>
    <w:rsid w:val="398F1ACD"/>
    <w:rsid w:val="3E9C4CD1"/>
    <w:rsid w:val="40E871D3"/>
    <w:rsid w:val="411D75C8"/>
    <w:rsid w:val="41323E5F"/>
    <w:rsid w:val="43F637B2"/>
    <w:rsid w:val="463A002A"/>
    <w:rsid w:val="468734D0"/>
    <w:rsid w:val="470E0029"/>
    <w:rsid w:val="48510543"/>
    <w:rsid w:val="48817CDA"/>
    <w:rsid w:val="48E73925"/>
    <w:rsid w:val="4AE7209C"/>
    <w:rsid w:val="4C7C1953"/>
    <w:rsid w:val="4F7E6ADE"/>
    <w:rsid w:val="519D4BF6"/>
    <w:rsid w:val="51F74A7B"/>
    <w:rsid w:val="53A3372D"/>
    <w:rsid w:val="53B34DE5"/>
    <w:rsid w:val="561A51BC"/>
    <w:rsid w:val="56471BC1"/>
    <w:rsid w:val="56F24BE6"/>
    <w:rsid w:val="58796F5B"/>
    <w:rsid w:val="5A7A3B60"/>
    <w:rsid w:val="5E3F2358"/>
    <w:rsid w:val="5E557502"/>
    <w:rsid w:val="60252939"/>
    <w:rsid w:val="62E0338C"/>
    <w:rsid w:val="62FE469C"/>
    <w:rsid w:val="63887468"/>
    <w:rsid w:val="66753F12"/>
    <w:rsid w:val="68A90A1A"/>
    <w:rsid w:val="68B678C9"/>
    <w:rsid w:val="68C14F52"/>
    <w:rsid w:val="6A420F3A"/>
    <w:rsid w:val="6C3B04B0"/>
    <w:rsid w:val="6E9C1A89"/>
    <w:rsid w:val="6FE20681"/>
    <w:rsid w:val="705D360C"/>
    <w:rsid w:val="753F24F6"/>
    <w:rsid w:val="756238BC"/>
    <w:rsid w:val="76475CB5"/>
    <w:rsid w:val="768D0033"/>
    <w:rsid w:val="776B7961"/>
    <w:rsid w:val="776E7B3C"/>
    <w:rsid w:val="78510404"/>
    <w:rsid w:val="79C2408C"/>
    <w:rsid w:val="79DD6B98"/>
    <w:rsid w:val="7C1109B8"/>
    <w:rsid w:val="7C7B567E"/>
    <w:rsid w:val="7E2F61CD"/>
    <w:rsid w:val="7E4152A8"/>
    <w:rsid w:val="7E9F78CB"/>
    <w:rsid w:val="7EE403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name="Normal (Web)"/>
    <w:lsdException w:qFormat="1"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FollowedHyperlink"/>
    <w:basedOn w:val="6"/>
    <w:qFormat/>
    <w:uiPriority w:val="0"/>
    <w:rPr>
      <w:color w:val="595555"/>
      <w:u w:val="none"/>
    </w:rPr>
  </w:style>
  <w:style w:type="character" w:styleId="8">
    <w:name w:val="Emphasis"/>
    <w:basedOn w:val="6"/>
    <w:qFormat/>
    <w:uiPriority w:val="0"/>
  </w:style>
  <w:style w:type="character" w:styleId="9">
    <w:name w:val="HTML Definition"/>
    <w:basedOn w:val="6"/>
    <w:qFormat/>
    <w:uiPriority w:val="0"/>
  </w:style>
  <w:style w:type="character" w:styleId="10">
    <w:name w:val="HTML Acronym"/>
    <w:basedOn w:val="6"/>
    <w:qFormat/>
    <w:uiPriority w:val="0"/>
  </w:style>
  <w:style w:type="character" w:styleId="11">
    <w:name w:val="HTML Variable"/>
    <w:basedOn w:val="6"/>
    <w:qFormat/>
    <w:uiPriority w:val="0"/>
  </w:style>
  <w:style w:type="character" w:styleId="12">
    <w:name w:val="Hyperlink"/>
    <w:basedOn w:val="6"/>
    <w:qFormat/>
    <w:uiPriority w:val="0"/>
    <w:rPr>
      <w:color w:val="595555"/>
      <w:u w:val="none"/>
    </w:rPr>
  </w:style>
  <w:style w:type="character" w:styleId="13">
    <w:name w:val="HTML Code"/>
    <w:basedOn w:val="6"/>
    <w:qFormat/>
    <w:uiPriority w:val="0"/>
    <w:rPr>
      <w:rFonts w:ascii="Courier New" w:hAnsi="Courier New"/>
      <w:sz w:val="20"/>
    </w:rPr>
  </w:style>
  <w:style w:type="character" w:styleId="14">
    <w:name w:val="HTML Cite"/>
    <w:basedOn w:val="6"/>
    <w:uiPriority w:val="0"/>
  </w:style>
  <w:style w:type="paragraph" w:customStyle="1" w:styleId="15">
    <w:name w:val="p0"/>
    <w:basedOn w:val="1"/>
    <w:uiPriority w:val="0"/>
    <w:pPr>
      <w:widowControl/>
    </w:pPr>
    <w:rPr>
      <w:kern w:val="0"/>
      <w:szCs w:val="21"/>
    </w:rPr>
  </w:style>
  <w:style w:type="paragraph" w:customStyle="1" w:styleId="16">
    <w:name w:val="No Spacing"/>
    <w:basedOn w:val="1"/>
    <w:qFormat/>
    <w:uiPriority w:val="0"/>
  </w:style>
  <w:style w:type="character" w:customStyle="1" w:styleId="17">
    <w:name w:val="disabled"/>
    <w:basedOn w:val="6"/>
    <w:qFormat/>
    <w:uiPriority w:val="0"/>
    <w:rPr>
      <w:color w:val="999999"/>
      <w:bdr w:val="single" w:color="C5C5C5" w:sz="6" w:space="0"/>
    </w:rPr>
  </w:style>
  <w:style w:type="character" w:customStyle="1" w:styleId="18">
    <w:name w:val="current"/>
    <w:basedOn w:val="6"/>
    <w:qFormat/>
    <w:uiPriority w:val="0"/>
    <w:rPr>
      <w:b/>
      <w:color w:val="FFFFFF"/>
      <w:bdr w:val="single" w:color="E3393A" w:sz="6" w:space="0"/>
      <w:shd w:val="clear" w:color="auto" w:fill="E3393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9</Pages>
  <Words>3069</Words>
  <Characters>3556</Characters>
  <Lines>14</Lines>
  <Paragraphs>4</Paragraphs>
  <TotalTime>7</TotalTime>
  <ScaleCrop>false</ScaleCrop>
  <LinksUpToDate>false</LinksUpToDate>
  <CharactersWithSpaces>3670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2011-09-28T23:42:00Z</dcterms:created>
  <dc:creator>X</dc:creator>
  <cp:lastModifiedBy>李航</cp:lastModifiedBy>
  <cp:lastPrinted>2019-11-14T06:19:00Z</cp:lastPrinted>
  <dcterms:modified xsi:type="dcterms:W3CDTF">2026-03-23T08:30:06Z</dcterms:modified>
  <dc:title>白鹿镇人民政府2017年部门决算编制说明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900C707E88E041F29264B2DF262CA6E2</vt:lpwstr>
  </property>
  <property fmtid="{D5CDD505-2E9C-101B-9397-08002B2CF9AE}" pid="4" name="KSOTemplateDocerSaveRecord">
    <vt:lpwstr>eyJoZGlkIjoiYzgwNTBhOWRkZDhhMWQ1Y2E4MTUyYTY2MzhiYTEyNTUiLCJ1c2VySWQiOiIyNTM1MTY5MTAifQ==</vt:lpwstr>
  </property>
</Properties>
</file>