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36"/>
        </w:rPr>
      </w:pPr>
    </w:p>
    <w:p>
      <w:pPr>
        <w:jc w:val="center"/>
        <w:rPr>
          <w:rFonts w:ascii="黑体" w:hAnsi="黑体" w:eastAsia="黑体"/>
          <w:sz w:val="44"/>
          <w:szCs w:val="36"/>
        </w:rPr>
      </w:pPr>
      <w:r>
        <w:rPr>
          <w:rFonts w:hint="eastAsia" w:ascii="黑体" w:hAnsi="黑体" w:eastAsia="黑体"/>
          <w:sz w:val="44"/>
          <w:szCs w:val="36"/>
        </w:rPr>
        <w:t>庐山市温泉旅游度假村管理委员会</w:t>
      </w:r>
    </w:p>
    <w:p>
      <w:pPr>
        <w:jc w:val="center"/>
        <w:rPr>
          <w:rFonts w:ascii="黑体" w:eastAsia="黑体"/>
          <w:sz w:val="44"/>
          <w:szCs w:val="36"/>
        </w:rPr>
      </w:pPr>
      <w:r>
        <w:rPr>
          <w:rFonts w:hint="eastAsia" w:ascii="黑体" w:eastAsia="黑体"/>
          <w:sz w:val="44"/>
          <w:szCs w:val="36"/>
        </w:rPr>
        <w:t>2018年度部门决算</w:t>
      </w:r>
    </w:p>
    <w:p>
      <w:pPr>
        <w:jc w:val="center"/>
        <w:rPr>
          <w:rFonts w:ascii="黑体" w:eastAsia="黑体"/>
          <w:sz w:val="40"/>
          <w:szCs w:val="36"/>
        </w:rPr>
      </w:pPr>
    </w:p>
    <w:p>
      <w:pPr>
        <w:jc w:val="center"/>
        <w:rPr>
          <w:rFonts w:ascii="黑体" w:eastAsia="黑体"/>
          <w:sz w:val="40"/>
          <w:szCs w:val="36"/>
        </w:rPr>
      </w:pPr>
      <w:r>
        <w:rPr>
          <w:rFonts w:hint="eastAsia" w:ascii="黑体" w:eastAsia="黑体"/>
          <w:sz w:val="40"/>
          <w:szCs w:val="36"/>
        </w:rPr>
        <w:t>目    录</w:t>
      </w:r>
    </w:p>
    <w:p>
      <w:pPr>
        <w:jc w:val="center"/>
        <w:rPr>
          <w:rFonts w:ascii="黑体" w:eastAsia="黑体"/>
          <w:sz w:val="40"/>
          <w:szCs w:val="36"/>
        </w:rPr>
      </w:pPr>
    </w:p>
    <w:p>
      <w:pPr>
        <w:jc w:val="center"/>
        <w:rPr>
          <w:rFonts w:ascii="黑体" w:hAnsi="黑体" w:eastAsia="黑体"/>
          <w:sz w:val="32"/>
          <w:szCs w:val="32"/>
        </w:rPr>
      </w:pPr>
      <w:r>
        <w:rPr>
          <w:rFonts w:hint="eastAsia" w:ascii="黑体" w:hAnsi="黑体" w:eastAsia="黑体"/>
          <w:b/>
          <w:sz w:val="32"/>
          <w:szCs w:val="32"/>
        </w:rPr>
        <w:t xml:space="preserve">第一部分  </w:t>
      </w:r>
      <w:r>
        <w:rPr>
          <w:rFonts w:hint="eastAsia" w:ascii="黑体" w:hAnsi="黑体" w:eastAsia="黑体"/>
          <w:sz w:val="32"/>
          <w:szCs w:val="32"/>
        </w:rPr>
        <w:t>庐山市温泉旅游度假村管理委员会概况</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一、部门主要职责</w:t>
      </w:r>
    </w:p>
    <w:p>
      <w:pPr>
        <w:widowControl/>
        <w:numPr>
          <w:ilvl w:val="0"/>
          <w:numId w:val="1"/>
        </w:numPr>
        <w:spacing w:line="600" w:lineRule="exact"/>
        <w:ind w:left="0"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部门基本情况</w:t>
      </w:r>
    </w:p>
    <w:p>
      <w:pPr>
        <w:widowControl/>
        <w:spacing w:line="600" w:lineRule="exact"/>
        <w:ind w:firstLine="640"/>
        <w:jc w:val="left"/>
        <w:rPr>
          <w:rFonts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三、支出决算表</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四、财政拨款收入支出决算总表</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五、一般公共预算财政拨款支出决算表</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六、一般公共预算财政拨款基本支出决算表</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七、一般公共预算财政拨款“三公”经费支出决算</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八、政府性基金预算财政拨款收入支出决算表</w:t>
      </w:r>
    </w:p>
    <w:p>
      <w:pPr>
        <w:widowControl/>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九、国有资产占用情况表</w:t>
      </w:r>
    </w:p>
    <w:p>
      <w:pPr>
        <w:widowControl/>
        <w:spacing w:line="600" w:lineRule="exact"/>
        <w:jc w:val="left"/>
        <w:rPr>
          <w:rFonts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640" w:firstLineChars="200"/>
        <w:jc w:val="left"/>
        <w:rPr>
          <w:rFonts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七、政府采购支出情况说明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八、国有资产占用情况说明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九、预算绩效情况说明</w:t>
      </w:r>
    </w:p>
    <w:p>
      <w:pPr>
        <w:widowControl/>
        <w:spacing w:line="600" w:lineRule="exact"/>
        <w:ind w:firstLine="640"/>
        <w:jc w:val="left"/>
        <w:rPr>
          <w:rFonts w:ascii="黑体" w:hAnsi="黑体" w:eastAsia="黑体"/>
          <w:sz w:val="32"/>
          <w:szCs w:val="32"/>
        </w:rPr>
      </w:pPr>
      <w:r>
        <w:rPr>
          <w:rFonts w:hint="eastAsia" w:ascii="黑体" w:hAnsi="黑体" w:eastAsia="黑体"/>
          <w:sz w:val="32"/>
          <w:szCs w:val="32"/>
        </w:rPr>
        <w:t>第四部分  名词解释</w:t>
      </w: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jc w:val="center"/>
        <w:rPr>
          <w:rFonts w:ascii="宋体" w:hAnsi="宋体"/>
          <w:b/>
          <w:sz w:val="32"/>
          <w:szCs w:val="30"/>
        </w:rPr>
      </w:pPr>
      <w:r>
        <w:rPr>
          <w:rFonts w:hint="eastAsia" w:ascii="宋体" w:hAnsi="宋体"/>
          <w:b/>
          <w:sz w:val="32"/>
          <w:szCs w:val="30"/>
        </w:rPr>
        <w:t xml:space="preserve">第一部分  </w:t>
      </w:r>
      <w:r>
        <w:rPr>
          <w:rFonts w:hint="eastAsia" w:ascii="黑体" w:hAnsi="黑体" w:eastAsia="黑体"/>
          <w:sz w:val="32"/>
          <w:szCs w:val="32"/>
        </w:rPr>
        <w:t>庐山市温泉旅游度假村管理委员会</w:t>
      </w:r>
      <w:r>
        <w:rPr>
          <w:rFonts w:hint="eastAsia" w:ascii="宋体" w:hAnsi="宋体"/>
          <w:b/>
          <w:sz w:val="32"/>
          <w:szCs w:val="30"/>
        </w:rPr>
        <w:t>概况</w:t>
      </w:r>
    </w:p>
    <w:p>
      <w:pPr>
        <w:ind w:firstLine="630"/>
        <w:jc w:val="left"/>
        <w:rPr>
          <w:rFonts w:ascii="黑体" w:hAnsi="黑体" w:eastAsia="黑体"/>
          <w:sz w:val="30"/>
          <w:szCs w:val="30"/>
        </w:rPr>
      </w:pPr>
      <w:r>
        <w:rPr>
          <w:rFonts w:hint="eastAsia" w:ascii="黑体" w:hAnsi="黑体" w:eastAsia="黑体"/>
          <w:sz w:val="30"/>
          <w:szCs w:val="30"/>
        </w:rPr>
        <w:t>一、部门主要职能</w:t>
      </w:r>
    </w:p>
    <w:p>
      <w:pPr>
        <w:ind w:firstLine="630"/>
        <w:jc w:val="left"/>
        <w:rPr>
          <w:rFonts w:ascii="white-space:normal;background-c" w:hAnsi="white-space:normal;background-c" w:eastAsia="white-space:normal;background-c" w:cs="white-space:normal;background-c"/>
          <w:b w:val="0"/>
          <w:i w:val="0"/>
          <w:caps w:val="0"/>
          <w:color w:val="333333"/>
          <w:spacing w:val="0"/>
          <w:sz w:val="24"/>
          <w:szCs w:val="24"/>
          <w:shd w:val="clear" w:fill="FFFFFF"/>
        </w:rPr>
      </w:pPr>
      <w:r>
        <w:rPr>
          <w:rFonts w:hint="eastAsia" w:ascii="仿宋" w:hAnsi="仿宋" w:eastAsia="仿宋" w:cs="仿宋"/>
          <w:b w:val="0"/>
          <w:i w:val="0"/>
          <w:caps w:val="0"/>
          <w:color w:val="333333"/>
          <w:spacing w:val="0"/>
          <w:sz w:val="30"/>
          <w:szCs w:val="30"/>
          <w:shd w:val="clear" w:fill="FFFFFF"/>
        </w:rPr>
        <w:t>温管会主要职责 （一）依照国家有关法律法规、规章及市委、市政府制定的相关政策规定，制定庐山温泉旅游度假区（以下称度假区）具体的管理办法，并负责组织实施。 （二）起草拟订度假区总体规划和发展计划，报市人民政府批准后组织实施。 （三）负责度假区内投资项目的申报或审批。 （四）负责审批度假区内公共基础设施建设管理和区容、区貌、环境保护等工作。 （五）负责度假区所有引资项目的对外洽谈、项目监管、市场营销、后续管理等工作。 （六）负责管理度假区内的国有资源及国有经营资产。 （七）负责度假区内投资环境的改善和优化，监督、协调、服务外部涉及度假区的各项工作。 （八）负责管理和服务好温泉水公司和温泉自来水公司。 （九）市委、市政府委托管理的其它职责。</w:t>
      </w:r>
    </w:p>
    <w:p>
      <w:pPr>
        <w:ind w:firstLine="630"/>
        <w:jc w:val="left"/>
        <w:rPr>
          <w:rFonts w:ascii="黑体" w:hAnsi="黑体" w:eastAsia="黑体"/>
          <w:sz w:val="30"/>
          <w:szCs w:val="30"/>
        </w:rPr>
      </w:pPr>
      <w:r>
        <w:rPr>
          <w:rFonts w:hint="eastAsia" w:ascii="黑体" w:hAnsi="黑体" w:eastAsia="黑体"/>
          <w:sz w:val="30"/>
          <w:szCs w:val="30"/>
        </w:rPr>
        <w:t>二、部门基本情况</w:t>
      </w:r>
    </w:p>
    <w:p>
      <w:pPr>
        <w:ind w:firstLine="630"/>
        <w:jc w:val="left"/>
        <w:rPr>
          <w:rFonts w:ascii="仿宋" w:hAnsi="仿宋" w:eastAsia="仿宋"/>
          <w:sz w:val="30"/>
          <w:szCs w:val="30"/>
        </w:rPr>
      </w:pPr>
      <w:r>
        <w:rPr>
          <w:rFonts w:hint="eastAsia" w:ascii="仿宋" w:hAnsi="仿宋" w:eastAsia="仿宋"/>
          <w:sz w:val="30"/>
          <w:szCs w:val="30"/>
        </w:rPr>
        <w:t>纳入本套部门决算汇编范围的单位共</w:t>
      </w:r>
      <w:r>
        <w:rPr>
          <w:rFonts w:hint="eastAsia" w:ascii="仿宋" w:hAnsi="仿宋" w:eastAsia="仿宋"/>
          <w:sz w:val="30"/>
          <w:szCs w:val="30"/>
          <w:lang w:val="en-US" w:eastAsia="zh-CN"/>
        </w:rPr>
        <w:t>1</w:t>
      </w:r>
      <w:r>
        <w:rPr>
          <w:rFonts w:hint="eastAsia" w:ascii="仿宋" w:hAnsi="仿宋" w:eastAsia="仿宋"/>
          <w:sz w:val="30"/>
          <w:szCs w:val="30"/>
        </w:rPr>
        <w:t>个。本部门2018年年末编制人数</w:t>
      </w:r>
      <w:r>
        <w:rPr>
          <w:rFonts w:hint="eastAsia" w:ascii="仿宋" w:hAnsi="仿宋" w:eastAsia="仿宋"/>
          <w:sz w:val="30"/>
          <w:szCs w:val="30"/>
          <w:lang w:val="en-US" w:eastAsia="zh-CN"/>
        </w:rPr>
        <w:t>10</w:t>
      </w:r>
      <w:r>
        <w:rPr>
          <w:rFonts w:hint="eastAsia" w:ascii="仿宋" w:hAnsi="仿宋" w:eastAsia="仿宋"/>
          <w:sz w:val="30"/>
          <w:szCs w:val="30"/>
        </w:rPr>
        <w:t>人，其中行政编制</w:t>
      </w:r>
      <w:r>
        <w:rPr>
          <w:rFonts w:hint="eastAsia" w:ascii="仿宋" w:hAnsi="仿宋" w:eastAsia="仿宋"/>
          <w:sz w:val="30"/>
          <w:szCs w:val="30"/>
          <w:lang w:val="en-US" w:eastAsia="zh-CN"/>
        </w:rPr>
        <w:t>8</w:t>
      </w:r>
      <w:r>
        <w:rPr>
          <w:rFonts w:hint="eastAsia" w:ascii="仿宋" w:hAnsi="仿宋" w:eastAsia="仿宋"/>
          <w:sz w:val="30"/>
          <w:szCs w:val="30"/>
        </w:rPr>
        <w:t>人，事业编制</w:t>
      </w:r>
      <w:r>
        <w:rPr>
          <w:rFonts w:hint="eastAsia" w:ascii="仿宋" w:hAnsi="仿宋" w:eastAsia="仿宋"/>
          <w:sz w:val="30"/>
          <w:szCs w:val="30"/>
          <w:lang w:val="en-US" w:eastAsia="zh-CN"/>
        </w:rPr>
        <w:t>2</w:t>
      </w:r>
      <w:r>
        <w:rPr>
          <w:rFonts w:hint="eastAsia" w:ascii="仿宋" w:hAnsi="仿宋" w:eastAsia="仿宋"/>
          <w:sz w:val="30"/>
          <w:szCs w:val="30"/>
        </w:rPr>
        <w:t>人；年末实有人数</w:t>
      </w:r>
      <w:r>
        <w:rPr>
          <w:rFonts w:hint="eastAsia" w:ascii="仿宋" w:hAnsi="仿宋" w:eastAsia="仿宋"/>
          <w:sz w:val="30"/>
          <w:szCs w:val="30"/>
          <w:lang w:val="en-US" w:eastAsia="zh-CN"/>
        </w:rPr>
        <w:t>10</w:t>
      </w:r>
      <w:r>
        <w:rPr>
          <w:rFonts w:hint="eastAsia" w:ascii="仿宋" w:hAnsi="仿宋" w:eastAsia="仿宋"/>
          <w:sz w:val="30"/>
          <w:szCs w:val="30"/>
        </w:rPr>
        <w:t>人，其中在职人员</w:t>
      </w:r>
      <w:r>
        <w:rPr>
          <w:rFonts w:hint="eastAsia" w:ascii="仿宋" w:hAnsi="仿宋" w:eastAsia="仿宋"/>
          <w:sz w:val="30"/>
          <w:szCs w:val="30"/>
          <w:lang w:val="en-US" w:eastAsia="zh-CN"/>
        </w:rPr>
        <w:t>10</w:t>
      </w:r>
      <w:r>
        <w:rPr>
          <w:rFonts w:hint="eastAsia" w:ascii="仿宋" w:hAnsi="仿宋" w:eastAsia="仿宋"/>
          <w:sz w:val="30"/>
          <w:szCs w:val="30"/>
        </w:rPr>
        <w:t>人，离休人员</w:t>
      </w:r>
      <w:r>
        <w:rPr>
          <w:rFonts w:hint="eastAsia" w:ascii="仿宋" w:hAnsi="仿宋" w:eastAsia="仿宋"/>
          <w:sz w:val="30"/>
          <w:szCs w:val="30"/>
          <w:lang w:val="en-US" w:eastAsia="zh-CN"/>
        </w:rPr>
        <w:t>0</w:t>
      </w:r>
      <w:r>
        <w:rPr>
          <w:rFonts w:hint="eastAsia" w:ascii="仿宋" w:hAnsi="仿宋" w:eastAsia="仿宋"/>
          <w:sz w:val="30"/>
          <w:szCs w:val="30"/>
        </w:rPr>
        <w:t>人，退休人员  人；年末学生人数</w:t>
      </w:r>
      <w:r>
        <w:rPr>
          <w:rFonts w:hint="eastAsia" w:ascii="仿宋" w:hAnsi="仿宋" w:eastAsia="仿宋"/>
          <w:sz w:val="30"/>
          <w:szCs w:val="30"/>
          <w:lang w:val="en-US" w:eastAsia="zh-CN"/>
        </w:rPr>
        <w:t>0</w:t>
      </w:r>
      <w:r>
        <w:rPr>
          <w:rFonts w:hint="eastAsia" w:ascii="仿宋" w:hAnsi="仿宋" w:eastAsia="仿宋"/>
          <w:sz w:val="30"/>
          <w:szCs w:val="30"/>
        </w:rPr>
        <w:t>人。</w: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widowControl/>
        <w:spacing w:line="600" w:lineRule="exact"/>
        <w:jc w:val="center"/>
        <w:rPr>
          <w:rFonts w:ascii="宋体" w:hAnsi="宋体"/>
          <w:b/>
          <w:sz w:val="32"/>
          <w:szCs w:val="32"/>
        </w:rPr>
      </w:pPr>
      <w:r>
        <w:rPr>
          <w:rFonts w:hint="eastAsia" w:ascii="宋体" w:hAnsi="宋体"/>
          <w:b/>
          <w:sz w:val="32"/>
          <w:szCs w:val="32"/>
        </w:rPr>
        <w:t>第二部分  2018年度部门决算表</w:t>
      </w:r>
    </w:p>
    <w:tbl>
      <w:tblPr>
        <w:tblStyle w:val="4"/>
        <w:tblW w:w="8372" w:type="dxa"/>
        <w:tblInd w:w="100" w:type="dxa"/>
        <w:tblLayout w:type="fixed"/>
        <w:tblCellMar>
          <w:top w:w="0" w:type="dxa"/>
          <w:left w:w="108" w:type="dxa"/>
          <w:bottom w:w="0" w:type="dxa"/>
          <w:right w:w="108" w:type="dxa"/>
        </w:tblCellMar>
      </w:tblPr>
      <w:tblGrid>
        <w:gridCol w:w="2418"/>
        <w:gridCol w:w="706"/>
        <w:gridCol w:w="145"/>
        <w:gridCol w:w="747"/>
        <w:gridCol w:w="245"/>
        <w:gridCol w:w="795"/>
        <w:gridCol w:w="1243"/>
        <w:gridCol w:w="513"/>
        <w:gridCol w:w="426"/>
        <w:gridCol w:w="1134"/>
      </w:tblGrid>
      <w:tr>
        <w:tblPrEx>
          <w:tblCellMar>
            <w:top w:w="0" w:type="dxa"/>
            <w:left w:w="108" w:type="dxa"/>
            <w:bottom w:w="0" w:type="dxa"/>
            <w:right w:w="108" w:type="dxa"/>
          </w:tblCellMar>
        </w:tblPrEx>
        <w:trPr>
          <w:trHeight w:val="460" w:hRule="atLeast"/>
        </w:trPr>
        <w:tc>
          <w:tcPr>
            <w:tcW w:w="8372" w:type="dxa"/>
            <w:gridSpan w:val="10"/>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收入支出决算总表</w:t>
            </w:r>
          </w:p>
        </w:tc>
      </w:tr>
      <w:tr>
        <w:tblPrEx>
          <w:tblCellMar>
            <w:top w:w="0" w:type="dxa"/>
            <w:left w:w="108" w:type="dxa"/>
            <w:bottom w:w="0" w:type="dxa"/>
            <w:right w:w="108" w:type="dxa"/>
          </w:tblCellMar>
        </w:tblPrEx>
        <w:trPr>
          <w:trHeight w:val="260" w:hRule="atLeast"/>
        </w:trPr>
        <w:tc>
          <w:tcPr>
            <w:tcW w:w="3124"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892"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040"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243"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073" w:type="dxa"/>
            <w:gridSpan w:val="3"/>
            <w:tcBorders>
              <w:top w:val="nil"/>
              <w:left w:val="nil"/>
              <w:bottom w:val="nil"/>
              <w:right w:val="nil"/>
            </w:tcBorders>
            <w:shd w:val="clear" w:color="000000" w:fill="FFFFFF"/>
            <w:noWrap/>
            <w:vAlign w:val="bottom"/>
          </w:tcPr>
          <w:p>
            <w:pPr>
              <w:widowControl/>
              <w:ind w:firstLine="1000" w:firstLineChars="500"/>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公开01表</w:t>
            </w:r>
          </w:p>
        </w:tc>
      </w:tr>
      <w:tr>
        <w:tblPrEx>
          <w:tblCellMar>
            <w:top w:w="0" w:type="dxa"/>
            <w:left w:w="108" w:type="dxa"/>
            <w:bottom w:w="0" w:type="dxa"/>
            <w:right w:w="108" w:type="dxa"/>
          </w:tblCellMar>
        </w:tblPrEx>
        <w:trPr>
          <w:trHeight w:val="260" w:hRule="atLeast"/>
        </w:trPr>
        <w:tc>
          <w:tcPr>
            <w:tcW w:w="4016" w:type="dxa"/>
            <w:gridSpan w:val="4"/>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编制单位：庐山市温泉旅游度假村管理委会</w:t>
            </w:r>
          </w:p>
        </w:tc>
        <w:tc>
          <w:tcPr>
            <w:tcW w:w="2283" w:type="dxa"/>
            <w:gridSpan w:val="3"/>
            <w:tcBorders>
              <w:top w:val="nil"/>
              <w:left w:val="nil"/>
              <w:bottom w:val="single" w:color="000000" w:sz="4" w:space="0"/>
              <w:right w:val="nil"/>
            </w:tcBorders>
            <w:shd w:val="clear" w:color="000000" w:fill="FFFFFF"/>
            <w:noWrap/>
            <w:vAlign w:val="bottom"/>
          </w:tcPr>
          <w:p>
            <w:pPr>
              <w:widowControl/>
              <w:ind w:firstLine="600" w:firstLineChars="300"/>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2073" w:type="dxa"/>
            <w:gridSpan w:val="3"/>
            <w:tcBorders>
              <w:top w:val="nil"/>
              <w:left w:val="nil"/>
              <w:bottom w:val="single" w:color="000000" w:sz="4" w:space="0"/>
              <w:right w:val="nil"/>
            </w:tcBorders>
            <w:shd w:val="clear" w:color="000000" w:fill="FFFFFF"/>
            <w:noWrap/>
            <w:vAlign w:val="bottom"/>
          </w:tcPr>
          <w:p>
            <w:pPr>
              <w:widowControl/>
              <w:ind w:firstLine="400" w:firstLineChars="200"/>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4261" w:type="dxa"/>
            <w:gridSpan w:val="5"/>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收     入</w:t>
            </w:r>
          </w:p>
        </w:tc>
        <w:tc>
          <w:tcPr>
            <w:tcW w:w="4111" w:type="dxa"/>
            <w:gridSpan w:val="5"/>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支     出</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    目</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行次</w:t>
            </w:r>
          </w:p>
        </w:tc>
        <w:tc>
          <w:tcPr>
            <w:tcW w:w="992"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项目（按功能分类）</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行次</w:t>
            </w:r>
          </w:p>
        </w:tc>
        <w:tc>
          <w:tcPr>
            <w:tcW w:w="1134"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    次</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992"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    次</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34"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一、财政拨款收入</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302.43</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一、一般公共服务支出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28</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530"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其中：政府性基金预算财政拨款</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二、外交支出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29</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二、上级补助收入</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三、国防支出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30</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三、事业收入</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四、公共安全支出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31</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四、经营收入</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五、教育支出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32</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560"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五、附属单位上缴收入</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六、科学技术支出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33</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六、其他收入</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7</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七、文化体育与传媒支出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34</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8</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八、社会保障和就业支出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35</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r>
      <w:tr>
        <w:tblPrEx>
          <w:tblCellMar>
            <w:top w:w="0" w:type="dxa"/>
            <w:left w:w="108" w:type="dxa"/>
            <w:bottom w:w="0" w:type="dxa"/>
            <w:right w:w="108" w:type="dxa"/>
          </w:tblCellMar>
        </w:tblPrEx>
        <w:trPr>
          <w:trHeight w:val="500"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9</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九、医疗卫生与计划生育支出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36</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10</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十、节能环保支出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37</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11</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十一、城乡社区支出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38</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12</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十二、农林水支出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39</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13</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十三、交通运输支出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40</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14</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十四、资源勘探信息等支出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41</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15</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十五、商业服务业等支出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42</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16</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十六、金融支出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43</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17</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十七、援助其他地区支出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44</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18</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十八、国土海洋气象等支出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45</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19</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十九、住房保障支出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46</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二十、粮油物资储备支出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47</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21</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二十一、其他支出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48</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22</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二十二、债务还本支出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49</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23</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二十三、债务付息支出</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50</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本年收入合计</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24</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302.43</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本年支出合计</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51</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340.81</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用事业基金弥补收支差额</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25</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结余分配</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52</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年初结转和结余</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26</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223.05</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年末结转和结余</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53</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184.67</w:t>
            </w:r>
          </w:p>
        </w:tc>
      </w:tr>
      <w:tr>
        <w:tblPrEx>
          <w:tblCellMar>
            <w:top w:w="0" w:type="dxa"/>
            <w:left w:w="108" w:type="dxa"/>
            <w:bottom w:w="0" w:type="dxa"/>
            <w:right w:w="108" w:type="dxa"/>
          </w:tblCellMar>
        </w:tblPrEx>
        <w:trPr>
          <w:trHeight w:val="308" w:hRule="atLeast"/>
        </w:trPr>
        <w:tc>
          <w:tcPr>
            <w:tcW w:w="2418" w:type="dxa"/>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总计</w:t>
            </w:r>
          </w:p>
        </w:tc>
        <w:tc>
          <w:tcPr>
            <w:tcW w:w="851"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27</w:t>
            </w:r>
          </w:p>
        </w:tc>
        <w:tc>
          <w:tcPr>
            <w:tcW w:w="992" w:type="dxa"/>
            <w:gridSpan w:val="2"/>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525.48</w:t>
            </w:r>
          </w:p>
        </w:tc>
        <w:tc>
          <w:tcPr>
            <w:tcW w:w="2551" w:type="dxa"/>
            <w:gridSpan w:val="3"/>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总计</w:t>
            </w:r>
          </w:p>
        </w:tc>
        <w:tc>
          <w:tcPr>
            <w:tcW w:w="42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54</w:t>
            </w:r>
          </w:p>
        </w:tc>
        <w:tc>
          <w:tcPr>
            <w:tcW w:w="1134" w:type="dxa"/>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525.48</w:t>
            </w:r>
          </w:p>
        </w:tc>
      </w:tr>
      <w:tr>
        <w:tblPrEx>
          <w:tblCellMar>
            <w:top w:w="0" w:type="dxa"/>
            <w:left w:w="108" w:type="dxa"/>
            <w:bottom w:w="0" w:type="dxa"/>
            <w:right w:w="108" w:type="dxa"/>
          </w:tblCellMar>
        </w:tblPrEx>
        <w:trPr>
          <w:trHeight w:val="308" w:hRule="atLeast"/>
        </w:trPr>
        <w:tc>
          <w:tcPr>
            <w:tcW w:w="8372" w:type="dxa"/>
            <w:gridSpan w:val="10"/>
            <w:tcBorders>
              <w:top w:val="nil"/>
              <w:left w:val="nil"/>
              <w:bottom w:val="nil"/>
              <w:right w:val="nil"/>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注：本表反映部门本年度的总收支和年末结转结余情况。</w:t>
            </w:r>
          </w:p>
        </w:tc>
      </w:tr>
    </w:tbl>
    <w:p>
      <w:pPr>
        <w:widowControl/>
        <w:spacing w:line="600" w:lineRule="exact"/>
        <w:jc w:val="center"/>
        <w:rPr>
          <w:rFonts w:ascii="宋体" w:hAnsi="宋体"/>
          <w:b/>
          <w:sz w:val="32"/>
          <w:szCs w:val="32"/>
        </w:rPr>
      </w:pPr>
    </w:p>
    <w:tbl>
      <w:tblPr>
        <w:tblStyle w:val="4"/>
        <w:tblW w:w="8721" w:type="dxa"/>
        <w:tblInd w:w="95" w:type="dxa"/>
        <w:tblLayout w:type="autofit"/>
        <w:tblCellMar>
          <w:top w:w="0" w:type="dxa"/>
          <w:left w:w="108" w:type="dxa"/>
          <w:bottom w:w="0" w:type="dxa"/>
          <w:right w:w="108" w:type="dxa"/>
        </w:tblCellMar>
      </w:tblPr>
      <w:tblGrid>
        <w:gridCol w:w="416"/>
        <w:gridCol w:w="217"/>
        <w:gridCol w:w="216"/>
        <w:gridCol w:w="216"/>
        <w:gridCol w:w="236"/>
        <w:gridCol w:w="216"/>
        <w:gridCol w:w="1898"/>
        <w:gridCol w:w="412"/>
        <w:gridCol w:w="404"/>
        <w:gridCol w:w="450"/>
        <w:gridCol w:w="400"/>
        <w:gridCol w:w="843"/>
        <w:gridCol w:w="216"/>
        <w:gridCol w:w="529"/>
        <w:gridCol w:w="616"/>
        <w:gridCol w:w="851"/>
        <w:gridCol w:w="726"/>
      </w:tblGrid>
      <w:tr>
        <w:tblPrEx>
          <w:tblCellMar>
            <w:top w:w="0" w:type="dxa"/>
            <w:left w:w="108" w:type="dxa"/>
            <w:bottom w:w="0" w:type="dxa"/>
            <w:right w:w="108" w:type="dxa"/>
          </w:tblCellMar>
        </w:tblPrEx>
        <w:trPr>
          <w:trHeight w:val="460" w:hRule="atLeast"/>
        </w:trPr>
        <w:tc>
          <w:tcPr>
            <w:tcW w:w="8721" w:type="dxa"/>
            <w:gridSpan w:val="17"/>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收入决算表</w:t>
            </w:r>
          </w:p>
        </w:tc>
      </w:tr>
      <w:tr>
        <w:tblPrEx>
          <w:tblCellMar>
            <w:top w:w="0" w:type="dxa"/>
            <w:left w:w="108" w:type="dxa"/>
            <w:bottom w:w="0" w:type="dxa"/>
            <w:right w:w="108" w:type="dxa"/>
          </w:tblCellMar>
        </w:tblPrEx>
        <w:trPr>
          <w:trHeight w:val="250" w:hRule="atLeast"/>
        </w:trPr>
        <w:tc>
          <w:tcPr>
            <w:tcW w:w="633"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32"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52"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239"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784"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00"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059"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529"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193" w:type="dxa"/>
            <w:gridSpan w:val="3"/>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公开02表</w:t>
            </w:r>
          </w:p>
        </w:tc>
      </w:tr>
      <w:tr>
        <w:tblPrEx>
          <w:tblCellMar>
            <w:top w:w="0" w:type="dxa"/>
            <w:left w:w="108" w:type="dxa"/>
            <w:bottom w:w="0" w:type="dxa"/>
            <w:right w:w="108" w:type="dxa"/>
          </w:tblCellMar>
        </w:tblPrEx>
        <w:trPr>
          <w:trHeight w:val="260" w:hRule="atLeast"/>
        </w:trPr>
        <w:tc>
          <w:tcPr>
            <w:tcW w:w="4940" w:type="dxa"/>
            <w:gridSpan w:val="11"/>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w:t>
            </w:r>
          </w:p>
        </w:tc>
        <w:tc>
          <w:tcPr>
            <w:tcW w:w="1588" w:type="dxa"/>
            <w:gridSpan w:val="3"/>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2193" w:type="dxa"/>
            <w:gridSpan w:val="3"/>
            <w:tcBorders>
              <w:top w:val="nil"/>
              <w:left w:val="nil"/>
              <w:bottom w:val="single" w:color="000000" w:sz="4" w:space="0"/>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金额单位：万元</w:t>
            </w:r>
          </w:p>
        </w:tc>
      </w:tr>
      <w:tr>
        <w:tblPrEx>
          <w:tblCellMar>
            <w:top w:w="0" w:type="dxa"/>
            <w:left w:w="108" w:type="dxa"/>
            <w:bottom w:w="0" w:type="dxa"/>
            <w:right w:w="108" w:type="dxa"/>
          </w:tblCellMar>
        </w:tblPrEx>
        <w:trPr>
          <w:trHeight w:val="308" w:hRule="atLeast"/>
        </w:trPr>
        <w:tc>
          <w:tcPr>
            <w:tcW w:w="3415" w:type="dxa"/>
            <w:gridSpan w:val="7"/>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    目</w:t>
            </w:r>
          </w:p>
        </w:tc>
        <w:tc>
          <w:tcPr>
            <w:tcW w:w="675"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本年收入合计</w:t>
            </w:r>
          </w:p>
        </w:tc>
        <w:tc>
          <w:tcPr>
            <w:tcW w:w="850"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财政拨款收入</w:t>
            </w:r>
          </w:p>
        </w:tc>
        <w:tc>
          <w:tcPr>
            <w:tcW w:w="843"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上级补助收入</w:t>
            </w:r>
          </w:p>
        </w:tc>
        <w:tc>
          <w:tcPr>
            <w:tcW w:w="745"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事业收入</w:t>
            </w:r>
          </w:p>
        </w:tc>
        <w:tc>
          <w:tcPr>
            <w:tcW w:w="616"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经营收入</w:t>
            </w:r>
          </w:p>
        </w:tc>
        <w:tc>
          <w:tcPr>
            <w:tcW w:w="851"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附属单位上缴收入</w:t>
            </w:r>
          </w:p>
        </w:tc>
        <w:tc>
          <w:tcPr>
            <w:tcW w:w="726"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其他收入</w:t>
            </w:r>
          </w:p>
        </w:tc>
      </w:tr>
      <w:tr>
        <w:tblPrEx>
          <w:tblCellMar>
            <w:top w:w="0" w:type="dxa"/>
            <w:left w:w="108" w:type="dxa"/>
            <w:bottom w:w="0" w:type="dxa"/>
            <w:right w:w="108" w:type="dxa"/>
          </w:tblCellMar>
        </w:tblPrEx>
        <w:trPr>
          <w:trHeight w:val="385" w:hRule="atLeast"/>
        </w:trPr>
        <w:tc>
          <w:tcPr>
            <w:tcW w:w="1301" w:type="dxa"/>
            <w:gridSpan w:val="5"/>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支出功能分类  科目编码</w:t>
            </w:r>
          </w:p>
        </w:tc>
        <w:tc>
          <w:tcPr>
            <w:tcW w:w="2114"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675"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0"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4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45"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70" w:hRule="atLeast"/>
        </w:trPr>
        <w:tc>
          <w:tcPr>
            <w:tcW w:w="1301" w:type="dxa"/>
            <w:gridSpan w:val="5"/>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2114"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75"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0"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4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45"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23" w:hRule="atLeast"/>
        </w:trPr>
        <w:tc>
          <w:tcPr>
            <w:tcW w:w="1301" w:type="dxa"/>
            <w:gridSpan w:val="5"/>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2114"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75"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0"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4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45"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90" w:hRule="atLeast"/>
        </w:trPr>
        <w:tc>
          <w:tcPr>
            <w:tcW w:w="416" w:type="dxa"/>
            <w:vMerge w:val="restart"/>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类</w:t>
            </w:r>
          </w:p>
        </w:tc>
        <w:tc>
          <w:tcPr>
            <w:tcW w:w="433" w:type="dxa"/>
            <w:gridSpan w:val="2"/>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款</w:t>
            </w:r>
          </w:p>
        </w:tc>
        <w:tc>
          <w:tcPr>
            <w:tcW w:w="452" w:type="dxa"/>
            <w:gridSpan w:val="2"/>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w:t>
            </w:r>
          </w:p>
        </w:tc>
        <w:tc>
          <w:tcPr>
            <w:tcW w:w="2114"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675"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850"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843"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745"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6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851"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c>
          <w:tcPr>
            <w:tcW w:w="72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7 </w:t>
            </w:r>
          </w:p>
        </w:tc>
      </w:tr>
      <w:tr>
        <w:tblPrEx>
          <w:tblCellMar>
            <w:top w:w="0" w:type="dxa"/>
            <w:left w:w="108" w:type="dxa"/>
            <w:bottom w:w="0" w:type="dxa"/>
            <w:right w:w="108" w:type="dxa"/>
          </w:tblCellMar>
        </w:tblPrEx>
        <w:trPr>
          <w:trHeight w:val="320" w:hRule="atLeast"/>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33"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52"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2114"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合计</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302.43</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302.43</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社会保障和就业支出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20805</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行政事业单位离退休</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2080505</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机关事业单位基本养老保险缴费支出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11.82</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11.82</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2080506</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机关事业单位职业年金缴费支出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2.18</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2.18</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医疗卫生与计划生育支出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21011</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行政事业单位医疗</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2101101</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行政单位医疗</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3.67</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3.67</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2101102</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事业单位医疗</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0.49</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0.49</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212</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城乡社区支出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21203</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城乡社区公共设施</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2120399</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其他城乡社区公共设施支出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商业服务业等支出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21605</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旅游业管理与服务支出</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2160501</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行政运行</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126.61</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126.61</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301" w:type="dxa"/>
            <w:gridSpan w:val="5"/>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2160505</w:t>
            </w:r>
          </w:p>
        </w:tc>
        <w:tc>
          <w:tcPr>
            <w:tcW w:w="2114"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旅游行业业务管理</w:t>
            </w:r>
          </w:p>
        </w:tc>
        <w:tc>
          <w:tcPr>
            <w:tcW w:w="6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0.66</w:t>
            </w:r>
          </w:p>
        </w:tc>
        <w:tc>
          <w:tcPr>
            <w:tcW w:w="85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0.66</w:t>
            </w:r>
          </w:p>
        </w:tc>
        <w:tc>
          <w:tcPr>
            <w:tcW w:w="843"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4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6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2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8721" w:type="dxa"/>
            <w:gridSpan w:val="17"/>
            <w:tcBorders>
              <w:top w:val="nil"/>
              <w:left w:val="nil"/>
              <w:bottom w:val="nil"/>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注：本表反映部门本年度取得的各项收入情况。</w:t>
            </w:r>
          </w:p>
        </w:tc>
      </w:tr>
    </w:tbl>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tbl>
      <w:tblPr>
        <w:tblStyle w:val="4"/>
        <w:tblW w:w="9085" w:type="dxa"/>
        <w:tblInd w:w="95" w:type="dxa"/>
        <w:tblLayout w:type="autofit"/>
        <w:tblCellMar>
          <w:top w:w="0" w:type="dxa"/>
          <w:left w:w="108" w:type="dxa"/>
          <w:bottom w:w="0" w:type="dxa"/>
          <w:right w:w="108" w:type="dxa"/>
        </w:tblCellMar>
      </w:tblPr>
      <w:tblGrid>
        <w:gridCol w:w="416"/>
        <w:gridCol w:w="416"/>
        <w:gridCol w:w="416"/>
        <w:gridCol w:w="2734"/>
        <w:gridCol w:w="692"/>
        <w:gridCol w:w="301"/>
        <w:gridCol w:w="816"/>
        <w:gridCol w:w="816"/>
        <w:gridCol w:w="167"/>
        <w:gridCol w:w="236"/>
        <w:gridCol w:w="516"/>
        <w:gridCol w:w="709"/>
        <w:gridCol w:w="850"/>
      </w:tblGrid>
      <w:tr>
        <w:tblPrEx>
          <w:tblCellMar>
            <w:top w:w="0" w:type="dxa"/>
            <w:left w:w="108" w:type="dxa"/>
            <w:bottom w:w="0" w:type="dxa"/>
            <w:right w:w="108" w:type="dxa"/>
          </w:tblCellMar>
        </w:tblPrEx>
        <w:trPr>
          <w:trHeight w:val="460" w:hRule="atLeast"/>
        </w:trPr>
        <w:tc>
          <w:tcPr>
            <w:tcW w:w="9085" w:type="dxa"/>
            <w:gridSpan w:val="13"/>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支出决算表</w:t>
            </w:r>
          </w:p>
        </w:tc>
      </w:tr>
      <w:tr>
        <w:tblPrEx>
          <w:tblCellMar>
            <w:top w:w="0" w:type="dxa"/>
            <w:left w:w="108" w:type="dxa"/>
            <w:bottom w:w="0" w:type="dxa"/>
            <w:right w:w="108" w:type="dxa"/>
          </w:tblCellMar>
        </w:tblPrEx>
        <w:trPr>
          <w:trHeight w:val="260" w:hRule="atLeast"/>
        </w:trPr>
        <w:tc>
          <w:tcPr>
            <w:tcW w:w="4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3426"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301"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799" w:type="dxa"/>
            <w:gridSpan w:val="3"/>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3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075" w:type="dxa"/>
            <w:gridSpan w:val="3"/>
            <w:tcBorders>
              <w:top w:val="nil"/>
              <w:left w:val="nil"/>
              <w:bottom w:val="nil"/>
              <w:right w:val="nil"/>
            </w:tcBorders>
            <w:shd w:val="clear" w:color="000000" w:fill="FFFFFF"/>
            <w:noWrap/>
            <w:vAlign w:val="bottom"/>
          </w:tcPr>
          <w:p>
            <w:pPr>
              <w:widowControl/>
              <w:ind w:firstLine="600" w:firstLineChars="300"/>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公开03表</w:t>
            </w:r>
          </w:p>
        </w:tc>
      </w:tr>
      <w:tr>
        <w:tblPrEx>
          <w:tblCellMar>
            <w:top w:w="0" w:type="dxa"/>
            <w:left w:w="108" w:type="dxa"/>
            <w:bottom w:w="0" w:type="dxa"/>
            <w:right w:w="108" w:type="dxa"/>
          </w:tblCellMar>
        </w:tblPrEx>
        <w:trPr>
          <w:trHeight w:val="260" w:hRule="atLeast"/>
        </w:trPr>
        <w:tc>
          <w:tcPr>
            <w:tcW w:w="4975" w:type="dxa"/>
            <w:gridSpan w:val="6"/>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w:t>
            </w:r>
          </w:p>
        </w:tc>
        <w:tc>
          <w:tcPr>
            <w:tcW w:w="1632" w:type="dxa"/>
            <w:gridSpan w:val="2"/>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2478" w:type="dxa"/>
            <w:gridSpan w:val="5"/>
            <w:tcBorders>
              <w:top w:val="nil"/>
              <w:left w:val="nil"/>
              <w:bottom w:val="single" w:color="000000" w:sz="4" w:space="0"/>
              <w:right w:val="nil"/>
            </w:tcBorders>
            <w:shd w:val="clear" w:color="000000" w:fill="FFFFFF"/>
            <w:noWrap/>
            <w:vAlign w:val="bottom"/>
          </w:tcPr>
          <w:p>
            <w:pPr>
              <w:widowControl/>
              <w:ind w:firstLine="600" w:firstLineChars="300"/>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3982" w:type="dxa"/>
            <w:gridSpan w:val="4"/>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    目</w:t>
            </w:r>
          </w:p>
        </w:tc>
        <w:tc>
          <w:tcPr>
            <w:tcW w:w="993"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本年支出合计</w:t>
            </w:r>
          </w:p>
        </w:tc>
        <w:tc>
          <w:tcPr>
            <w:tcW w:w="816"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基本支出</w:t>
            </w:r>
          </w:p>
        </w:tc>
        <w:tc>
          <w:tcPr>
            <w:tcW w:w="816"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项目支出</w:t>
            </w:r>
          </w:p>
        </w:tc>
        <w:tc>
          <w:tcPr>
            <w:tcW w:w="919" w:type="dxa"/>
            <w:gridSpan w:val="3"/>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上缴上级支出</w:t>
            </w:r>
          </w:p>
        </w:tc>
        <w:tc>
          <w:tcPr>
            <w:tcW w:w="709"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经营支出</w:t>
            </w:r>
          </w:p>
        </w:tc>
        <w:tc>
          <w:tcPr>
            <w:tcW w:w="85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对附属单位补助支出</w:t>
            </w:r>
          </w:p>
        </w:tc>
      </w:tr>
      <w:tr>
        <w:tblPrEx>
          <w:tblCellMar>
            <w:top w:w="0" w:type="dxa"/>
            <w:left w:w="108" w:type="dxa"/>
            <w:bottom w:w="0" w:type="dxa"/>
            <w:right w:w="108" w:type="dxa"/>
          </w:tblCellMar>
        </w:tblPrEx>
        <w:trPr>
          <w:trHeight w:val="312" w:hRule="atLeast"/>
        </w:trPr>
        <w:tc>
          <w:tcPr>
            <w:tcW w:w="1248" w:type="dxa"/>
            <w:gridSpan w:val="3"/>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支出功能分类科目编码</w:t>
            </w:r>
          </w:p>
        </w:tc>
        <w:tc>
          <w:tcPr>
            <w:tcW w:w="2734"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993"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919" w:type="dxa"/>
            <w:gridSpan w:val="3"/>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0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12" w:hRule="atLeast"/>
        </w:trPr>
        <w:tc>
          <w:tcPr>
            <w:tcW w:w="124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273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993"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919" w:type="dxa"/>
            <w:gridSpan w:val="3"/>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0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80" w:hRule="atLeast"/>
        </w:trPr>
        <w:tc>
          <w:tcPr>
            <w:tcW w:w="124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273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993"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919" w:type="dxa"/>
            <w:gridSpan w:val="3"/>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70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08" w:hRule="atLeast"/>
        </w:trPr>
        <w:tc>
          <w:tcPr>
            <w:tcW w:w="416" w:type="dxa"/>
            <w:vMerge w:val="restart"/>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类</w:t>
            </w:r>
          </w:p>
        </w:tc>
        <w:tc>
          <w:tcPr>
            <w:tcW w:w="416"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款</w:t>
            </w:r>
          </w:p>
        </w:tc>
        <w:tc>
          <w:tcPr>
            <w:tcW w:w="416"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w:t>
            </w:r>
          </w:p>
        </w:tc>
        <w:tc>
          <w:tcPr>
            <w:tcW w:w="273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993"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8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8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919" w:type="dxa"/>
            <w:gridSpan w:val="3"/>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70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85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r>
      <w:tr>
        <w:tblPrEx>
          <w:tblCellMar>
            <w:top w:w="0" w:type="dxa"/>
            <w:left w:w="108" w:type="dxa"/>
            <w:bottom w:w="0" w:type="dxa"/>
            <w:right w:w="108" w:type="dxa"/>
          </w:tblCellMar>
        </w:tblPrEx>
        <w:trPr>
          <w:trHeight w:val="308" w:hRule="atLeast"/>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273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合计</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340.81</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145.43</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195.37</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社会保障和就业支出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20805</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行政事业单位离退休</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2080505</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机关事业单位基本养老保险缴费支出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11.82</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11.82</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2080506</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机关事业单位职业年金缴费支出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2.18</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2.18</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医疗卫生与计划生育支出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21011</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行政事业单位医疗</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2101101</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行政单位医疗</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2101102</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事业单位医疗</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0.49</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0.49</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211</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节能环保支出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21103</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污染防治</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2110302</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水体</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212</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城乡社区支出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21203</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城乡社区公共设施</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2120399</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其他城乡社区公共设施支出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商业服务业等支出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21605</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旅游业管理与服务支出</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2160501</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行政运行</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126.61</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126.61</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2160505</w:t>
            </w:r>
          </w:p>
        </w:tc>
        <w:tc>
          <w:tcPr>
            <w:tcW w:w="2734"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旅游行业业务管理</w:t>
            </w:r>
          </w:p>
        </w:tc>
        <w:tc>
          <w:tcPr>
            <w:tcW w:w="993"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0.66</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0.66</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919"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0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9085" w:type="dxa"/>
            <w:gridSpan w:val="13"/>
            <w:tcBorders>
              <w:top w:val="nil"/>
              <w:left w:val="nil"/>
              <w:bottom w:val="nil"/>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注：本表反映部门本年度各项支出情况。</w:t>
            </w:r>
          </w:p>
        </w:tc>
      </w:tr>
    </w:tbl>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tbl>
      <w:tblPr>
        <w:tblStyle w:val="4"/>
        <w:tblpPr w:leftFromText="180" w:rightFromText="180" w:vertAnchor="page" w:horzAnchor="margin" w:tblpXSpec="center" w:tblpY="1679"/>
        <w:tblW w:w="10173" w:type="dxa"/>
        <w:tblInd w:w="0" w:type="dxa"/>
        <w:tblLayout w:type="autofit"/>
        <w:tblCellMar>
          <w:top w:w="0" w:type="dxa"/>
          <w:left w:w="108" w:type="dxa"/>
          <w:bottom w:w="0" w:type="dxa"/>
          <w:right w:w="108" w:type="dxa"/>
        </w:tblCellMar>
      </w:tblPr>
      <w:tblGrid>
        <w:gridCol w:w="2093"/>
        <w:gridCol w:w="416"/>
        <w:gridCol w:w="302"/>
        <w:gridCol w:w="514"/>
        <w:gridCol w:w="816"/>
        <w:gridCol w:w="1912"/>
        <w:gridCol w:w="425"/>
        <w:gridCol w:w="289"/>
        <w:gridCol w:w="426"/>
        <w:gridCol w:w="136"/>
        <w:gridCol w:w="680"/>
        <w:gridCol w:w="746"/>
        <w:gridCol w:w="176"/>
        <w:gridCol w:w="1242"/>
      </w:tblGrid>
      <w:tr>
        <w:tblPrEx>
          <w:tblCellMar>
            <w:top w:w="0" w:type="dxa"/>
            <w:left w:w="108" w:type="dxa"/>
            <w:bottom w:w="0" w:type="dxa"/>
            <w:right w:w="108" w:type="dxa"/>
          </w:tblCellMar>
        </w:tblPrEx>
        <w:trPr>
          <w:trHeight w:val="460" w:hRule="atLeast"/>
        </w:trPr>
        <w:tc>
          <w:tcPr>
            <w:tcW w:w="10173" w:type="dxa"/>
            <w:gridSpan w:val="14"/>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财政拨款收入支出决算总表</w:t>
            </w:r>
          </w:p>
        </w:tc>
      </w:tr>
      <w:tr>
        <w:tblPrEx>
          <w:tblCellMar>
            <w:top w:w="0" w:type="dxa"/>
            <w:left w:w="108" w:type="dxa"/>
            <w:bottom w:w="0" w:type="dxa"/>
            <w:right w:w="108" w:type="dxa"/>
          </w:tblCellMar>
        </w:tblPrEx>
        <w:trPr>
          <w:trHeight w:val="260" w:hRule="atLeast"/>
        </w:trPr>
        <w:tc>
          <w:tcPr>
            <w:tcW w:w="2811" w:type="dxa"/>
            <w:gridSpan w:val="3"/>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514"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8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626" w:type="dxa"/>
            <w:gridSpan w:val="3"/>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2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816"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164" w:type="dxa"/>
            <w:gridSpan w:val="3"/>
            <w:tcBorders>
              <w:top w:val="nil"/>
              <w:left w:val="nil"/>
              <w:bottom w:val="nil"/>
              <w:right w:val="nil"/>
            </w:tcBorders>
            <w:shd w:val="clear" w:color="000000" w:fill="FFFFFF"/>
            <w:noWrap/>
            <w:vAlign w:val="bottom"/>
          </w:tcPr>
          <w:p>
            <w:pPr>
              <w:widowControl/>
              <w:rPr>
                <w:rFonts w:ascii="宋体" w:hAnsi="宋体" w:eastAsia="宋体" w:cs="Arial"/>
                <w:color w:val="000000"/>
                <w:kern w:val="0"/>
                <w:sz w:val="20"/>
                <w:szCs w:val="20"/>
              </w:rPr>
            </w:pPr>
            <w:r>
              <w:rPr>
                <w:rFonts w:hint="eastAsia" w:ascii="宋体" w:hAnsi="宋体" w:eastAsia="宋体" w:cs="Arial"/>
                <w:color w:val="000000"/>
                <w:kern w:val="0"/>
                <w:sz w:val="20"/>
                <w:szCs w:val="20"/>
              </w:rPr>
              <w:t>公开04表</w:t>
            </w:r>
          </w:p>
        </w:tc>
      </w:tr>
      <w:tr>
        <w:tblPrEx>
          <w:tblCellMar>
            <w:top w:w="0" w:type="dxa"/>
            <w:left w:w="108" w:type="dxa"/>
            <w:bottom w:w="0" w:type="dxa"/>
            <w:right w:w="108" w:type="dxa"/>
          </w:tblCellMar>
        </w:tblPrEx>
        <w:trPr>
          <w:gridAfter w:val="1"/>
          <w:wAfter w:w="1242" w:type="dxa"/>
          <w:trHeight w:val="260" w:hRule="atLeast"/>
        </w:trPr>
        <w:tc>
          <w:tcPr>
            <w:tcW w:w="6767" w:type="dxa"/>
            <w:gridSpan w:val="8"/>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            2018年度</w:t>
            </w:r>
          </w:p>
        </w:tc>
        <w:tc>
          <w:tcPr>
            <w:tcW w:w="2164" w:type="dxa"/>
            <w:gridSpan w:val="5"/>
            <w:tcBorders>
              <w:top w:val="nil"/>
              <w:left w:val="nil"/>
              <w:bottom w:val="single" w:color="000000" w:sz="4" w:space="0"/>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金额单位：万元</w:t>
            </w:r>
          </w:p>
        </w:tc>
      </w:tr>
      <w:tr>
        <w:tblPrEx>
          <w:tblCellMar>
            <w:top w:w="0" w:type="dxa"/>
            <w:left w:w="108" w:type="dxa"/>
            <w:bottom w:w="0" w:type="dxa"/>
            <w:right w:w="108" w:type="dxa"/>
          </w:tblCellMar>
        </w:tblPrEx>
        <w:trPr>
          <w:trHeight w:val="308" w:hRule="atLeast"/>
        </w:trPr>
        <w:tc>
          <w:tcPr>
            <w:tcW w:w="3325" w:type="dxa"/>
            <w:gridSpan w:val="4"/>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收     入</w:t>
            </w:r>
          </w:p>
        </w:tc>
        <w:tc>
          <w:tcPr>
            <w:tcW w:w="6848" w:type="dxa"/>
            <w:gridSpan w:val="10"/>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支     出</w:t>
            </w:r>
          </w:p>
        </w:tc>
      </w:tr>
      <w:tr>
        <w:tblPrEx>
          <w:tblCellMar>
            <w:top w:w="0" w:type="dxa"/>
            <w:left w:w="108" w:type="dxa"/>
            <w:bottom w:w="0" w:type="dxa"/>
            <w:right w:w="108" w:type="dxa"/>
          </w:tblCellMar>
        </w:tblPrEx>
        <w:trPr>
          <w:trHeight w:val="293" w:hRule="atLeast"/>
        </w:trPr>
        <w:tc>
          <w:tcPr>
            <w:tcW w:w="2093" w:type="dxa"/>
            <w:vMerge w:val="restart"/>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    目</w:t>
            </w:r>
          </w:p>
        </w:tc>
        <w:tc>
          <w:tcPr>
            <w:tcW w:w="416"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行次</w:t>
            </w:r>
          </w:p>
        </w:tc>
        <w:tc>
          <w:tcPr>
            <w:tcW w:w="816" w:type="dxa"/>
            <w:gridSpan w:val="2"/>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c>
          <w:tcPr>
            <w:tcW w:w="2728"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项目（按功能分类）</w:t>
            </w:r>
          </w:p>
        </w:tc>
        <w:tc>
          <w:tcPr>
            <w:tcW w:w="425"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行次</w:t>
            </w:r>
          </w:p>
        </w:tc>
        <w:tc>
          <w:tcPr>
            <w:tcW w:w="3695" w:type="dxa"/>
            <w:gridSpan w:val="7"/>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r>
      <w:tr>
        <w:tblPrEx>
          <w:tblCellMar>
            <w:top w:w="0" w:type="dxa"/>
            <w:left w:w="108" w:type="dxa"/>
            <w:bottom w:w="0" w:type="dxa"/>
            <w:right w:w="108" w:type="dxa"/>
          </w:tblCellMar>
        </w:tblPrEx>
        <w:trPr>
          <w:trHeight w:val="678" w:hRule="atLeast"/>
        </w:trPr>
        <w:tc>
          <w:tcPr>
            <w:tcW w:w="209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16"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2728"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51" w:type="dxa"/>
            <w:gridSpan w:val="3"/>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合计</w:t>
            </w:r>
          </w:p>
        </w:tc>
        <w:tc>
          <w:tcPr>
            <w:tcW w:w="142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一般公共预算财政拨款</w:t>
            </w:r>
          </w:p>
        </w:tc>
        <w:tc>
          <w:tcPr>
            <w:tcW w:w="1418"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政府性基金预算财政拨款</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    次</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    次</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51" w:type="dxa"/>
            <w:gridSpan w:val="3"/>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1426"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1418"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一、一般公共预算财政拨款</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302.43</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一、一般公共服务支出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30</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二、政府性基金预算财政拨款</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二、外交支出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31</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三、国防支出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32</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四、公共安全支出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33</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五、教育支出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34</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六、科学技术支出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35</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7</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七、文化体育与传媒支出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36</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8</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八、社会保障和就业支出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37</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9</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九、医疗卫生与计划生育支出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38</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4.16</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10</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十、节能环保支出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39</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38.37</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11</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十一、城乡社区支出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40</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12</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十二、农林水支出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41</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13</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十三、交通运输支出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42</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14</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十四、资源勘探信息等支出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43</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15</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十五、商业服务业等支出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44</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127.27</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16</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十六、金融支出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45</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17</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十七、援助其他地区支出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46</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18</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十八、国土海洋气象等支出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47</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19</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十九、住房保障支出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48</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二十、粮油物资储备支出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49</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21</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二十一、其他支出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50</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22</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二十二、债务还本支出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51</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23</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二十三、债务付息支出</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52</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本年收入合计</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24</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302.43</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本年支出合计</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53</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340.81</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340.81</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年初财政拨款结转和结余</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25</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223.05</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年末财政拨款结转和结余</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54</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184.67</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184.67</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一、一般公共预算财政拨款</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26</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223.05</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55</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二、政府性基金预算财政拨款</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27</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56</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209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总计</w:t>
            </w:r>
          </w:p>
        </w:tc>
        <w:tc>
          <w:tcPr>
            <w:tcW w:w="4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28</w:t>
            </w:r>
          </w:p>
        </w:tc>
        <w:tc>
          <w:tcPr>
            <w:tcW w:w="81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525.48</w:t>
            </w:r>
          </w:p>
        </w:tc>
        <w:tc>
          <w:tcPr>
            <w:tcW w:w="2728"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总计</w:t>
            </w:r>
          </w:p>
        </w:tc>
        <w:tc>
          <w:tcPr>
            <w:tcW w:w="4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57</w:t>
            </w:r>
          </w:p>
        </w:tc>
        <w:tc>
          <w:tcPr>
            <w:tcW w:w="851" w:type="dxa"/>
            <w:gridSpan w:val="3"/>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525.48</w:t>
            </w:r>
          </w:p>
        </w:tc>
        <w:tc>
          <w:tcPr>
            <w:tcW w:w="1426"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525.48</w:t>
            </w:r>
          </w:p>
        </w:tc>
        <w:tc>
          <w:tcPr>
            <w:tcW w:w="1418"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10173" w:type="dxa"/>
            <w:gridSpan w:val="14"/>
            <w:tcBorders>
              <w:top w:val="nil"/>
              <w:left w:val="nil"/>
              <w:bottom w:val="nil"/>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注：本表反映部门本年度一般公共预算财政拨款和政府性基金预算财政拨款的总收支和年末结转结余情况。</w:t>
            </w:r>
          </w:p>
        </w:tc>
      </w:tr>
    </w:tbl>
    <w:tbl>
      <w:tblPr>
        <w:tblStyle w:val="4"/>
        <w:tblW w:w="8518" w:type="dxa"/>
        <w:tblInd w:w="95" w:type="dxa"/>
        <w:tblLayout w:type="autofit"/>
        <w:tblCellMar>
          <w:top w:w="0" w:type="dxa"/>
          <w:left w:w="108" w:type="dxa"/>
          <w:bottom w:w="0" w:type="dxa"/>
          <w:right w:w="108" w:type="dxa"/>
        </w:tblCellMar>
      </w:tblPr>
      <w:tblGrid>
        <w:gridCol w:w="436"/>
        <w:gridCol w:w="436"/>
        <w:gridCol w:w="436"/>
        <w:gridCol w:w="3766"/>
        <w:gridCol w:w="1160"/>
        <w:gridCol w:w="1150"/>
        <w:gridCol w:w="1134"/>
      </w:tblGrid>
      <w:tr>
        <w:tblPrEx>
          <w:tblCellMar>
            <w:top w:w="0" w:type="dxa"/>
            <w:left w:w="108" w:type="dxa"/>
            <w:bottom w:w="0" w:type="dxa"/>
            <w:right w:w="108" w:type="dxa"/>
          </w:tblCellMar>
        </w:tblPrEx>
        <w:trPr>
          <w:trHeight w:val="470" w:hRule="atLeast"/>
        </w:trPr>
        <w:tc>
          <w:tcPr>
            <w:tcW w:w="8518" w:type="dxa"/>
            <w:gridSpan w:val="7"/>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一般公共预算财政拨款支出决算表</w:t>
            </w:r>
          </w:p>
        </w:tc>
      </w:tr>
      <w:tr>
        <w:tblPrEx>
          <w:tblCellMar>
            <w:top w:w="0" w:type="dxa"/>
            <w:left w:w="108" w:type="dxa"/>
            <w:bottom w:w="0" w:type="dxa"/>
            <w:right w:w="108" w:type="dxa"/>
          </w:tblCellMar>
        </w:tblPrEx>
        <w:trPr>
          <w:trHeight w:val="260" w:hRule="atLeast"/>
        </w:trPr>
        <w:tc>
          <w:tcPr>
            <w:tcW w:w="43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3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3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376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160"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284" w:type="dxa"/>
            <w:gridSpan w:val="2"/>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公开05表</w:t>
            </w:r>
          </w:p>
        </w:tc>
      </w:tr>
      <w:tr>
        <w:tblPrEx>
          <w:tblCellMar>
            <w:top w:w="0" w:type="dxa"/>
            <w:left w:w="108" w:type="dxa"/>
            <w:bottom w:w="0" w:type="dxa"/>
            <w:right w:w="108" w:type="dxa"/>
          </w:tblCellMar>
        </w:tblPrEx>
        <w:trPr>
          <w:trHeight w:val="260" w:hRule="atLeast"/>
        </w:trPr>
        <w:tc>
          <w:tcPr>
            <w:tcW w:w="5074" w:type="dxa"/>
            <w:gridSpan w:val="4"/>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w:t>
            </w:r>
          </w:p>
        </w:tc>
        <w:tc>
          <w:tcPr>
            <w:tcW w:w="1160" w:type="dxa"/>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2284" w:type="dxa"/>
            <w:gridSpan w:val="2"/>
            <w:tcBorders>
              <w:top w:val="nil"/>
              <w:left w:val="nil"/>
              <w:bottom w:val="single" w:color="000000" w:sz="4" w:space="0"/>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5074" w:type="dxa"/>
            <w:gridSpan w:val="4"/>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项    目</w:t>
            </w:r>
          </w:p>
        </w:tc>
        <w:tc>
          <w:tcPr>
            <w:tcW w:w="1160" w:type="dxa"/>
            <w:vMerge w:val="restart"/>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本年支出合计</w:t>
            </w:r>
          </w:p>
        </w:tc>
        <w:tc>
          <w:tcPr>
            <w:tcW w:w="1150"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基本支出</w:t>
            </w:r>
          </w:p>
        </w:tc>
        <w:tc>
          <w:tcPr>
            <w:tcW w:w="1134"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项目支出</w:t>
            </w:r>
          </w:p>
        </w:tc>
      </w:tr>
      <w:tr>
        <w:tblPrEx>
          <w:tblCellMar>
            <w:top w:w="0" w:type="dxa"/>
            <w:left w:w="108" w:type="dxa"/>
            <w:bottom w:w="0" w:type="dxa"/>
            <w:right w:w="108" w:type="dxa"/>
          </w:tblCellMar>
        </w:tblPrEx>
        <w:trPr>
          <w:trHeight w:val="312" w:hRule="atLeast"/>
        </w:trPr>
        <w:tc>
          <w:tcPr>
            <w:tcW w:w="1308" w:type="dxa"/>
            <w:gridSpan w:val="3"/>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支出功能分类  科目编码</w:t>
            </w:r>
          </w:p>
        </w:tc>
        <w:tc>
          <w:tcPr>
            <w:tcW w:w="3766"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科目名称</w:t>
            </w:r>
          </w:p>
        </w:tc>
        <w:tc>
          <w:tcPr>
            <w:tcW w:w="11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5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3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130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376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5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3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r>
      <w:tr>
        <w:tblPrEx>
          <w:tblCellMar>
            <w:top w:w="0" w:type="dxa"/>
            <w:left w:w="108" w:type="dxa"/>
            <w:bottom w:w="0" w:type="dxa"/>
            <w:right w:w="108" w:type="dxa"/>
          </w:tblCellMar>
        </w:tblPrEx>
        <w:trPr>
          <w:trHeight w:val="312" w:hRule="atLeast"/>
        </w:trPr>
        <w:tc>
          <w:tcPr>
            <w:tcW w:w="130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376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6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5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113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436" w:type="dxa"/>
            <w:vMerge w:val="restart"/>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类</w:t>
            </w:r>
          </w:p>
        </w:tc>
        <w:tc>
          <w:tcPr>
            <w:tcW w:w="436"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款</w:t>
            </w:r>
          </w:p>
        </w:tc>
        <w:tc>
          <w:tcPr>
            <w:tcW w:w="436"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项</w:t>
            </w:r>
          </w:p>
        </w:tc>
        <w:tc>
          <w:tcPr>
            <w:tcW w:w="376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栏次</w:t>
            </w:r>
          </w:p>
        </w:tc>
        <w:tc>
          <w:tcPr>
            <w:tcW w:w="116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1</w:t>
            </w:r>
          </w:p>
        </w:tc>
        <w:tc>
          <w:tcPr>
            <w:tcW w:w="115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2</w:t>
            </w:r>
          </w:p>
        </w:tc>
        <w:tc>
          <w:tcPr>
            <w:tcW w:w="113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3</w:t>
            </w:r>
          </w:p>
        </w:tc>
      </w:tr>
      <w:tr>
        <w:tblPrEx>
          <w:tblCellMar>
            <w:top w:w="0" w:type="dxa"/>
            <w:left w:w="108" w:type="dxa"/>
            <w:bottom w:w="0" w:type="dxa"/>
            <w:right w:w="108" w:type="dxa"/>
          </w:tblCellMar>
        </w:tblPrEx>
        <w:trPr>
          <w:trHeight w:val="308" w:hRule="atLeast"/>
        </w:trPr>
        <w:tc>
          <w:tcPr>
            <w:tcW w:w="43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43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43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2"/>
                <w:szCs w:val="22"/>
              </w:rPr>
            </w:pPr>
          </w:p>
        </w:tc>
        <w:tc>
          <w:tcPr>
            <w:tcW w:w="376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2"/>
                <w:szCs w:val="22"/>
              </w:rPr>
            </w:pPr>
            <w:r>
              <w:rPr>
                <w:rFonts w:hint="eastAsia" w:ascii="宋体" w:hAnsi="宋体" w:eastAsia="宋体" w:cs="Arial"/>
                <w:color w:val="000000"/>
                <w:kern w:val="0"/>
                <w:sz w:val="22"/>
                <w:szCs w:val="22"/>
              </w:rPr>
              <w:t>合计</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340.81</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145.43</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195.37</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208</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社会保障和就业支出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14.00</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14.00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20805</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行政事业单位离退休</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14.00</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14.00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2080505</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机关事业单位基本养老保险缴费支出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11.82</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11.82</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2080506</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机关事业单位职业年金缴费支出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2.18</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2.18</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210</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医疗卫生与计划生育支出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4.16</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4.16</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21011</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行政事业单位医疗</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4.16</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4.16</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2101101</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行政单位医疗</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3.67</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3.67</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2101102</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事业单位医疗</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0.49</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0.49</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211</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节能环保支出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38.37</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38.37</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21103</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污染防治</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38.37</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38.37</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2110302</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水体</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38.37</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38.37</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212</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城乡社区支出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157.00</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157.00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21203</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城乡社区公共设施</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157.00</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157.00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2120399</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其他城乡社区公共设施支出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157.00</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157.00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216</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商业服务业等支出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127.27</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127.27</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21605</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旅游业管理与服务支出</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127.27</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127.27</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2160501</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行政运行</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126.61</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126.61</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2160505</w:t>
            </w:r>
          </w:p>
        </w:tc>
        <w:tc>
          <w:tcPr>
            <w:tcW w:w="3766"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2"/>
                <w:szCs w:val="22"/>
              </w:rPr>
            </w:pPr>
            <w:r>
              <w:rPr>
                <w:rFonts w:hint="eastAsia" w:ascii="宋体" w:hAnsi="宋体" w:eastAsia="宋体" w:cs="Arial"/>
                <w:color w:val="000000"/>
                <w:kern w:val="0"/>
                <w:sz w:val="22"/>
                <w:szCs w:val="22"/>
              </w:rPr>
              <w:t xml:space="preserve">  旅游行业业务管理</w:t>
            </w:r>
          </w:p>
        </w:tc>
        <w:tc>
          <w:tcPr>
            <w:tcW w:w="116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0.66</w:t>
            </w:r>
          </w:p>
        </w:tc>
        <w:tc>
          <w:tcPr>
            <w:tcW w:w="115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0.66</w:t>
            </w:r>
          </w:p>
        </w:tc>
        <w:tc>
          <w:tcPr>
            <w:tcW w:w="113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2"/>
                <w:szCs w:val="22"/>
              </w:rPr>
            </w:pPr>
            <w:r>
              <w:rPr>
                <w:rFonts w:hint="eastAsia" w:ascii="宋体" w:hAnsi="宋体" w:eastAsia="宋体" w:cs="Arial"/>
                <w:color w:val="000000"/>
                <w:kern w:val="0"/>
                <w:sz w:val="22"/>
                <w:szCs w:val="22"/>
              </w:rPr>
              <w:t>0.00</w:t>
            </w:r>
          </w:p>
        </w:tc>
      </w:tr>
      <w:tr>
        <w:tblPrEx>
          <w:tblCellMar>
            <w:top w:w="0" w:type="dxa"/>
            <w:left w:w="108" w:type="dxa"/>
            <w:bottom w:w="0" w:type="dxa"/>
            <w:right w:w="108" w:type="dxa"/>
          </w:tblCellMar>
        </w:tblPrEx>
        <w:trPr>
          <w:trHeight w:val="308" w:hRule="atLeast"/>
        </w:trPr>
        <w:tc>
          <w:tcPr>
            <w:tcW w:w="8518" w:type="dxa"/>
            <w:gridSpan w:val="7"/>
            <w:tcBorders>
              <w:top w:val="nil"/>
              <w:left w:val="nil"/>
              <w:bottom w:val="nil"/>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注：本表反映部门本年度一般公共预算财政拨款支出情况。</w:t>
            </w:r>
          </w:p>
        </w:tc>
      </w:tr>
    </w:tbl>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tbl>
      <w:tblPr>
        <w:tblStyle w:val="4"/>
        <w:tblW w:w="9087" w:type="dxa"/>
        <w:tblInd w:w="-73" w:type="dxa"/>
        <w:tblLayout w:type="autofit"/>
        <w:tblCellMar>
          <w:top w:w="0" w:type="dxa"/>
          <w:left w:w="108" w:type="dxa"/>
          <w:bottom w:w="0" w:type="dxa"/>
          <w:right w:w="108" w:type="dxa"/>
        </w:tblCellMar>
      </w:tblPr>
      <w:tblGrid>
        <w:gridCol w:w="716"/>
        <w:gridCol w:w="778"/>
        <w:gridCol w:w="718"/>
        <w:gridCol w:w="816"/>
        <w:gridCol w:w="716"/>
        <w:gridCol w:w="755"/>
        <w:gridCol w:w="785"/>
        <w:gridCol w:w="301"/>
        <w:gridCol w:w="415"/>
        <w:gridCol w:w="658"/>
        <w:gridCol w:w="216"/>
        <w:gridCol w:w="1430"/>
        <w:gridCol w:w="924"/>
      </w:tblGrid>
      <w:tr>
        <w:tblPrEx>
          <w:tblCellMar>
            <w:top w:w="0" w:type="dxa"/>
            <w:left w:w="108" w:type="dxa"/>
            <w:bottom w:w="0" w:type="dxa"/>
            <w:right w:w="108" w:type="dxa"/>
          </w:tblCellMar>
        </w:tblPrEx>
        <w:trPr>
          <w:trHeight w:val="460" w:hRule="atLeast"/>
        </w:trPr>
        <w:tc>
          <w:tcPr>
            <w:tcW w:w="9087" w:type="dxa"/>
            <w:gridSpan w:val="13"/>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一般公共预算财政拨款基本支出决算表</w:t>
            </w:r>
          </w:p>
        </w:tc>
      </w:tr>
      <w:tr>
        <w:tblPrEx>
          <w:tblCellMar>
            <w:top w:w="0" w:type="dxa"/>
            <w:left w:w="108" w:type="dxa"/>
            <w:bottom w:w="0" w:type="dxa"/>
            <w:right w:w="108" w:type="dxa"/>
          </w:tblCellMar>
        </w:tblPrEx>
        <w:trPr>
          <w:trHeight w:val="260" w:hRule="atLeast"/>
        </w:trPr>
        <w:tc>
          <w:tcPr>
            <w:tcW w:w="7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778"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534"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7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755"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027"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991"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570" w:type="dxa"/>
            <w:gridSpan w:val="3"/>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公开06表</w:t>
            </w:r>
          </w:p>
        </w:tc>
      </w:tr>
      <w:tr>
        <w:tblPrEx>
          <w:tblCellMar>
            <w:top w:w="0" w:type="dxa"/>
            <w:left w:w="108" w:type="dxa"/>
            <w:bottom w:w="0" w:type="dxa"/>
            <w:right w:w="108" w:type="dxa"/>
          </w:tblCellMar>
        </w:tblPrEx>
        <w:trPr>
          <w:trHeight w:val="260" w:hRule="atLeast"/>
        </w:trPr>
        <w:tc>
          <w:tcPr>
            <w:tcW w:w="4499" w:type="dxa"/>
            <w:gridSpan w:val="6"/>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w:t>
            </w:r>
          </w:p>
        </w:tc>
        <w:tc>
          <w:tcPr>
            <w:tcW w:w="2018" w:type="dxa"/>
            <w:gridSpan w:val="4"/>
            <w:tcBorders>
              <w:top w:val="nil"/>
              <w:left w:val="nil"/>
              <w:bottom w:val="single" w:color="000000" w:sz="4" w:space="0"/>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2570" w:type="dxa"/>
            <w:gridSpan w:val="3"/>
            <w:tcBorders>
              <w:top w:val="nil"/>
              <w:left w:val="nil"/>
              <w:bottom w:val="single" w:color="000000" w:sz="4" w:space="0"/>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金额单位：万元</w:t>
            </w:r>
          </w:p>
        </w:tc>
      </w:tr>
      <w:tr>
        <w:tblPrEx>
          <w:tblCellMar>
            <w:top w:w="0" w:type="dxa"/>
            <w:left w:w="108" w:type="dxa"/>
            <w:bottom w:w="0" w:type="dxa"/>
            <w:right w:w="108" w:type="dxa"/>
          </w:tblCellMar>
        </w:tblPrEx>
        <w:trPr>
          <w:trHeight w:val="308" w:hRule="atLeast"/>
        </w:trPr>
        <w:tc>
          <w:tcPr>
            <w:tcW w:w="3028" w:type="dxa"/>
            <w:gridSpan w:val="4"/>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人员经费</w:t>
            </w:r>
          </w:p>
        </w:tc>
        <w:tc>
          <w:tcPr>
            <w:tcW w:w="6059" w:type="dxa"/>
            <w:gridSpan w:val="9"/>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公用经费</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经济分类科目编码</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816"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金额</w:t>
            </w:r>
          </w:p>
        </w:tc>
        <w:tc>
          <w:tcPr>
            <w:tcW w:w="716"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经济分类科目编码</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575"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金额</w:t>
            </w:r>
          </w:p>
        </w:tc>
        <w:tc>
          <w:tcPr>
            <w:tcW w:w="874" w:type="dxa"/>
            <w:gridSpan w:val="2"/>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经济分类科目编码</w:t>
            </w:r>
          </w:p>
        </w:tc>
        <w:tc>
          <w:tcPr>
            <w:tcW w:w="1430" w:type="dxa"/>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92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金额</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301</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工资福利支出</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105.56</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302</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商品和服务支出</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37.80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307</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债务利息及费用支出</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30101</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基本工资</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38.01</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30201</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办公费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7.33</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30701</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国内债务付息</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30102</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津贴补贴</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26.44</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30202</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印刷费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30702</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国外债务付息</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30103</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奖金</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20.12</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30203</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咨询费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30703</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国内债务发行费用</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30106</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伙食补助费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30204</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手续费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30704</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国外债务发行费用</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30107</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绩效工资</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30205</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水费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310</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资本性支出</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30108</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机关事业单位基本养老保险缴费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11.33</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30206</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电费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0.18</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31001</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房屋建筑物购建</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30109</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职业年金缴费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30207</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邮电费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1.68</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31002</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办公设备购置</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30110</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职工基本医疗保险缴费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4.66</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30208</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取暖费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31003</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专用设备购置</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30111</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公务员医疗补助缴款</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30209</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物业管理费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31005</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基础设施建设</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30112</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其他社会保障缴费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0.83</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30211</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差旅费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2.33</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31006</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大型修缮</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30113</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住房公积金</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2.87</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30212</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因公出国（境）费用</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31007</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信息网络及软件购置更新</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30114</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医疗费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30213</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维修（护）费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31008</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物资储备</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30199</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其他工资福利支出</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1.31</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30214</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租赁费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31009</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土地补偿</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303</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对个人和家庭的补助</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2.08</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30215</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会议费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2.12</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31010</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安置补助</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30301</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离休费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30216</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培训费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0.25</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31011</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地上附着物和青苗补偿</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30302</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退休费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30217</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公务接待费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1.31</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31012</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拆迁补偿</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30303</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退职（役）费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30218</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专用材料费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5.41</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31013</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公务用车购置</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30304</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抚恤金</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30224</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被装购置费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31019</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其他交通工具购置</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30305</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生活补贴</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2.08</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30225</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专用燃料费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31021</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文物和陈列品购置</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30306</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救济费</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30226</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劳务费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4.56</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31022</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无形资产购置</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30307</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医疗费补助</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30227</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委托业务费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31099</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其他资本性支出</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30308</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助学金</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30228</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工会经费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3.26</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312</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对企业补助</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30309</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奖励金</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30229</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福利费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6.01</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31201</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资本金注入</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30310</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个人农业生产补贴</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30231</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公务用车运行维护费</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31203</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政府投资基金股权投资</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30399</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其他对个人和家庭的补助支出</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30239</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其他交通费用</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3.36</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31204</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费用补贴</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96"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30240</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税金及附加费用</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31205</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利息补贴</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30299</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其他商品和服务支出</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31299</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其他对企业补助</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399</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其他支出</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39906</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赠与</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39907</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国家赔偿费用支出</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39908</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对民间非营利组织和群众性自治组织补贴</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716"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96"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16" w:type="dxa"/>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540" w:type="dxa"/>
            <w:gridSpan w:val="2"/>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75"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74" w:type="dxa"/>
            <w:gridSpan w:val="2"/>
            <w:tcBorders>
              <w:top w:val="nil"/>
              <w:left w:val="nil"/>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39999</w:t>
            </w:r>
          </w:p>
        </w:tc>
        <w:tc>
          <w:tcPr>
            <w:tcW w:w="1430" w:type="dxa"/>
            <w:tcBorders>
              <w:top w:val="nil"/>
              <w:left w:val="nil"/>
              <w:bottom w:val="single" w:color="000000" w:sz="4" w:space="0"/>
              <w:right w:val="single" w:color="000000" w:sz="4" w:space="0"/>
            </w:tcBorders>
            <w:shd w:val="clear" w:color="FFFFFF"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其他支出</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663" w:hRule="atLeast"/>
        </w:trPr>
        <w:tc>
          <w:tcPr>
            <w:tcW w:w="2212" w:type="dxa"/>
            <w:gridSpan w:val="3"/>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人员经费合计</w:t>
            </w:r>
          </w:p>
        </w:tc>
        <w:tc>
          <w:tcPr>
            <w:tcW w:w="816"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107.64</w:t>
            </w:r>
          </w:p>
        </w:tc>
        <w:tc>
          <w:tcPr>
            <w:tcW w:w="5135" w:type="dxa"/>
            <w:gridSpan w:val="8"/>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公用支出合计</w:t>
            </w:r>
          </w:p>
        </w:tc>
        <w:tc>
          <w:tcPr>
            <w:tcW w:w="92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37.80</w:t>
            </w:r>
          </w:p>
        </w:tc>
      </w:tr>
      <w:tr>
        <w:tblPrEx>
          <w:tblCellMar>
            <w:top w:w="0" w:type="dxa"/>
            <w:left w:w="108" w:type="dxa"/>
            <w:bottom w:w="0" w:type="dxa"/>
            <w:right w:w="108" w:type="dxa"/>
          </w:tblCellMar>
        </w:tblPrEx>
        <w:trPr>
          <w:trHeight w:val="308" w:hRule="atLeast"/>
        </w:trPr>
        <w:tc>
          <w:tcPr>
            <w:tcW w:w="9087" w:type="dxa"/>
            <w:gridSpan w:val="13"/>
            <w:tcBorders>
              <w:top w:val="nil"/>
              <w:left w:val="nil"/>
              <w:bottom w:val="nil"/>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注：本表反映部门本年度一般公共预算财政拨款基本支出明细情况。</w:t>
            </w:r>
          </w:p>
        </w:tc>
      </w:tr>
    </w:tbl>
    <w:p>
      <w:pPr>
        <w:widowControl/>
        <w:spacing w:line="600" w:lineRule="exact"/>
        <w:jc w:val="center"/>
        <w:rPr>
          <w:rFonts w:ascii="宋体" w:hAnsi="宋体"/>
          <w:b/>
          <w:sz w:val="32"/>
          <w:szCs w:val="32"/>
        </w:rPr>
      </w:pPr>
    </w:p>
    <w:tbl>
      <w:tblPr>
        <w:tblStyle w:val="4"/>
        <w:tblW w:w="8093" w:type="dxa"/>
        <w:tblInd w:w="95" w:type="dxa"/>
        <w:tblLayout w:type="autofit"/>
        <w:tblCellMar>
          <w:top w:w="0" w:type="dxa"/>
          <w:left w:w="108" w:type="dxa"/>
          <w:bottom w:w="0" w:type="dxa"/>
          <w:right w:w="108" w:type="dxa"/>
        </w:tblCellMar>
      </w:tblPr>
      <w:tblGrid>
        <w:gridCol w:w="3974"/>
        <w:gridCol w:w="525"/>
        <w:gridCol w:w="1610"/>
        <w:gridCol w:w="1984"/>
      </w:tblGrid>
      <w:tr>
        <w:tblPrEx>
          <w:tblCellMar>
            <w:top w:w="0" w:type="dxa"/>
            <w:left w:w="108" w:type="dxa"/>
            <w:bottom w:w="0" w:type="dxa"/>
            <w:right w:w="108" w:type="dxa"/>
          </w:tblCellMar>
        </w:tblPrEx>
        <w:trPr>
          <w:trHeight w:val="520" w:hRule="atLeast"/>
        </w:trPr>
        <w:tc>
          <w:tcPr>
            <w:tcW w:w="8093" w:type="dxa"/>
            <w:gridSpan w:val="4"/>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一般公共预算财政拨款“三公”经费支出决算表</w:t>
            </w:r>
          </w:p>
        </w:tc>
      </w:tr>
      <w:tr>
        <w:tblPrEx>
          <w:tblCellMar>
            <w:top w:w="0" w:type="dxa"/>
            <w:left w:w="108" w:type="dxa"/>
            <w:bottom w:w="0" w:type="dxa"/>
            <w:right w:w="108" w:type="dxa"/>
          </w:tblCellMar>
        </w:tblPrEx>
        <w:trPr>
          <w:trHeight w:val="260" w:hRule="atLeast"/>
        </w:trPr>
        <w:tc>
          <w:tcPr>
            <w:tcW w:w="3974"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525"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610"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984" w:type="dxa"/>
            <w:tcBorders>
              <w:top w:val="nil"/>
              <w:left w:val="nil"/>
              <w:bottom w:val="nil"/>
              <w:right w:val="nil"/>
            </w:tcBorders>
            <w:shd w:val="clear" w:color="000000" w:fill="FFFFFF"/>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公开07表</w:t>
            </w:r>
          </w:p>
        </w:tc>
      </w:tr>
      <w:tr>
        <w:tblPrEx>
          <w:tblCellMar>
            <w:top w:w="0" w:type="dxa"/>
            <w:left w:w="108" w:type="dxa"/>
            <w:bottom w:w="0" w:type="dxa"/>
            <w:right w:w="108" w:type="dxa"/>
          </w:tblCellMar>
        </w:tblPrEx>
        <w:trPr>
          <w:trHeight w:val="260" w:hRule="atLeast"/>
        </w:trPr>
        <w:tc>
          <w:tcPr>
            <w:tcW w:w="4499" w:type="dxa"/>
            <w:gridSpan w:val="2"/>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w:t>
            </w:r>
          </w:p>
        </w:tc>
        <w:tc>
          <w:tcPr>
            <w:tcW w:w="1610" w:type="dxa"/>
            <w:tcBorders>
              <w:top w:val="nil"/>
              <w:left w:val="nil"/>
              <w:bottom w:val="nil"/>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1984" w:type="dxa"/>
            <w:tcBorders>
              <w:top w:val="nil"/>
              <w:left w:val="nil"/>
              <w:bottom w:val="nil"/>
              <w:right w:val="nil"/>
            </w:tcBorders>
            <w:shd w:val="clear" w:color="000000" w:fill="FFFFFF"/>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1610" w:type="dxa"/>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年初预算数</w:t>
            </w:r>
          </w:p>
        </w:tc>
        <w:tc>
          <w:tcPr>
            <w:tcW w:w="1984" w:type="dxa"/>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行次</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610"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1984"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一、“三公”经费支出</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8.65</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1.31</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1.因公出国（境）费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2.公务用车购置及运行维护费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（1）公务用车购置费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（2）公务用车运行维护费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3.公务接待费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8.65</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1.31</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（1）国内接待费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7</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8.65</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1.31</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其中：外事接待费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8</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（2）国（境）外接待费</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9</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0.00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二、相关统计数</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10</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1.因公出国（境）团组数（个）</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11</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2.因公出国（境）人次数（人）</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12</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3.公务用车购置数（辆）</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13</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4.公务用车保有量（辆）</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14</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5.国内公务接待批次（个）</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15</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其中：外事接待批次（个）</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16</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6.国内公务接待人次（人）</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17</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其中：外事接待人次（人）</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18</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7.国（境）外公务接待批次（个）</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19</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308" w:hRule="atLeast"/>
        </w:trPr>
        <w:tc>
          <w:tcPr>
            <w:tcW w:w="3974"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8.国（境）外公务接待人次（人）</w:t>
            </w:r>
          </w:p>
        </w:tc>
        <w:tc>
          <w:tcPr>
            <w:tcW w:w="525"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w:t>
            </w:r>
          </w:p>
        </w:tc>
        <w:tc>
          <w:tcPr>
            <w:tcW w:w="161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98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w:t>
            </w:r>
          </w:p>
        </w:tc>
      </w:tr>
      <w:tr>
        <w:tblPrEx>
          <w:tblCellMar>
            <w:top w:w="0" w:type="dxa"/>
            <w:left w:w="108" w:type="dxa"/>
            <w:bottom w:w="0" w:type="dxa"/>
            <w:right w:w="108" w:type="dxa"/>
          </w:tblCellMar>
        </w:tblPrEx>
        <w:trPr>
          <w:trHeight w:val="815" w:hRule="atLeast"/>
        </w:trPr>
        <w:tc>
          <w:tcPr>
            <w:tcW w:w="8093" w:type="dxa"/>
            <w:gridSpan w:val="4"/>
            <w:tcBorders>
              <w:top w:val="nil"/>
              <w:left w:val="nil"/>
              <w:bottom w:val="nil"/>
              <w:right w:val="nil"/>
            </w:tcBorders>
            <w:shd w:val="clear" w:color="000000" w:fill="FFFFFF"/>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注：本表反映部门本年度“三公”经费支出预决算情况。其中，预算数为“三公”经费年初预算数，决算数是包括当年一般公共预算财政拨款和以前年度结转资金安排的实际支出。</w:t>
            </w:r>
          </w:p>
        </w:tc>
      </w:tr>
    </w:tbl>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tbl>
      <w:tblPr>
        <w:tblStyle w:val="4"/>
        <w:tblW w:w="8538" w:type="dxa"/>
        <w:tblInd w:w="95" w:type="dxa"/>
        <w:tblLayout w:type="autofit"/>
        <w:tblCellMar>
          <w:top w:w="0" w:type="dxa"/>
          <w:left w:w="108" w:type="dxa"/>
          <w:bottom w:w="0" w:type="dxa"/>
          <w:right w:w="108" w:type="dxa"/>
        </w:tblCellMar>
      </w:tblPr>
      <w:tblGrid>
        <w:gridCol w:w="416"/>
        <w:gridCol w:w="416"/>
        <w:gridCol w:w="416"/>
        <w:gridCol w:w="1411"/>
        <w:gridCol w:w="954"/>
        <w:gridCol w:w="86"/>
        <w:gridCol w:w="691"/>
        <w:gridCol w:w="1297"/>
        <w:gridCol w:w="881"/>
        <w:gridCol w:w="881"/>
        <w:gridCol w:w="1089"/>
      </w:tblGrid>
      <w:tr>
        <w:tblPrEx>
          <w:tblCellMar>
            <w:top w:w="0" w:type="dxa"/>
            <w:left w:w="108" w:type="dxa"/>
            <w:bottom w:w="0" w:type="dxa"/>
            <w:right w:w="108" w:type="dxa"/>
          </w:tblCellMar>
        </w:tblPrEx>
        <w:trPr>
          <w:trHeight w:val="460" w:hRule="atLeast"/>
        </w:trPr>
        <w:tc>
          <w:tcPr>
            <w:tcW w:w="8538" w:type="dxa"/>
            <w:gridSpan w:val="11"/>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政府性基金预算财政拨款收入支出决算表</w:t>
            </w:r>
          </w:p>
        </w:tc>
      </w:tr>
      <w:tr>
        <w:tblPrEx>
          <w:tblCellMar>
            <w:top w:w="0" w:type="dxa"/>
            <w:left w:w="108" w:type="dxa"/>
            <w:bottom w:w="0" w:type="dxa"/>
            <w:right w:w="108" w:type="dxa"/>
          </w:tblCellMar>
        </w:tblPrEx>
        <w:trPr>
          <w:trHeight w:val="260" w:hRule="atLeast"/>
        </w:trPr>
        <w:tc>
          <w:tcPr>
            <w:tcW w:w="4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416"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411"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954"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777" w:type="dxa"/>
            <w:gridSpan w:val="2"/>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297"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2851" w:type="dxa"/>
            <w:gridSpan w:val="3"/>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公开08表</w:t>
            </w:r>
          </w:p>
        </w:tc>
      </w:tr>
      <w:tr>
        <w:tblPrEx>
          <w:tblCellMar>
            <w:top w:w="0" w:type="dxa"/>
            <w:left w:w="108" w:type="dxa"/>
            <w:bottom w:w="0" w:type="dxa"/>
            <w:right w:w="108" w:type="dxa"/>
          </w:tblCellMar>
        </w:tblPrEx>
        <w:trPr>
          <w:trHeight w:val="260" w:hRule="atLeast"/>
        </w:trPr>
        <w:tc>
          <w:tcPr>
            <w:tcW w:w="4390" w:type="dxa"/>
            <w:gridSpan w:val="7"/>
            <w:tcBorders>
              <w:top w:val="nil"/>
              <w:left w:val="nil"/>
              <w:bottom w:val="single" w:color="000000" w:sz="4" w:space="0"/>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w:t>
            </w:r>
          </w:p>
        </w:tc>
        <w:tc>
          <w:tcPr>
            <w:tcW w:w="1297" w:type="dxa"/>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2851" w:type="dxa"/>
            <w:gridSpan w:val="3"/>
            <w:tcBorders>
              <w:top w:val="nil"/>
              <w:left w:val="nil"/>
              <w:bottom w:val="single" w:color="000000" w:sz="4" w:space="0"/>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金额单位：万元</w:t>
            </w:r>
          </w:p>
        </w:tc>
      </w:tr>
      <w:tr>
        <w:tblPrEx>
          <w:tblCellMar>
            <w:top w:w="0" w:type="dxa"/>
            <w:left w:w="108" w:type="dxa"/>
            <w:bottom w:w="0" w:type="dxa"/>
            <w:right w:w="108" w:type="dxa"/>
          </w:tblCellMar>
        </w:tblPrEx>
        <w:trPr>
          <w:trHeight w:val="308" w:hRule="atLeast"/>
        </w:trPr>
        <w:tc>
          <w:tcPr>
            <w:tcW w:w="2659" w:type="dxa"/>
            <w:gridSpan w:val="4"/>
            <w:tcBorders>
              <w:top w:val="single" w:color="000000" w:sz="4" w:space="0"/>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    目</w:t>
            </w:r>
          </w:p>
        </w:tc>
        <w:tc>
          <w:tcPr>
            <w:tcW w:w="1040" w:type="dxa"/>
            <w:gridSpan w:val="2"/>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年初结转和结余</w:t>
            </w:r>
          </w:p>
        </w:tc>
        <w:tc>
          <w:tcPr>
            <w:tcW w:w="691"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本年收入</w:t>
            </w:r>
          </w:p>
        </w:tc>
        <w:tc>
          <w:tcPr>
            <w:tcW w:w="3059" w:type="dxa"/>
            <w:gridSpan w:val="3"/>
            <w:tcBorders>
              <w:top w:val="single" w:color="000000" w:sz="4" w:space="0"/>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本年支出</w:t>
            </w:r>
          </w:p>
        </w:tc>
        <w:tc>
          <w:tcPr>
            <w:tcW w:w="1089"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年末结转和结余</w:t>
            </w:r>
          </w:p>
        </w:tc>
      </w:tr>
      <w:tr>
        <w:tblPrEx>
          <w:tblCellMar>
            <w:top w:w="0" w:type="dxa"/>
            <w:left w:w="108" w:type="dxa"/>
            <w:bottom w:w="0" w:type="dxa"/>
            <w:right w:w="108" w:type="dxa"/>
          </w:tblCellMar>
        </w:tblPrEx>
        <w:trPr>
          <w:trHeight w:val="312" w:hRule="atLeast"/>
        </w:trPr>
        <w:tc>
          <w:tcPr>
            <w:tcW w:w="1248" w:type="dxa"/>
            <w:gridSpan w:val="3"/>
            <w:vMerge w:val="restart"/>
            <w:tcBorders>
              <w:top w:val="nil"/>
              <w:left w:val="single" w:color="000000" w:sz="4" w:space="0"/>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支出功能分类科目编码</w:t>
            </w:r>
          </w:p>
        </w:tc>
        <w:tc>
          <w:tcPr>
            <w:tcW w:w="1411"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1040"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9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297"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小计</w:t>
            </w:r>
          </w:p>
        </w:tc>
        <w:tc>
          <w:tcPr>
            <w:tcW w:w="881"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基本支出</w:t>
            </w:r>
          </w:p>
        </w:tc>
        <w:tc>
          <w:tcPr>
            <w:tcW w:w="881" w:type="dxa"/>
            <w:vMerge w:val="restart"/>
            <w:tcBorders>
              <w:top w:val="nil"/>
              <w:left w:val="nil"/>
              <w:bottom w:val="single" w:color="000000" w:sz="4" w:space="0"/>
              <w:right w:val="single" w:color="000000" w:sz="4" w:space="0"/>
            </w:tcBorders>
            <w:shd w:val="clear" w:color="FFFFFF" w:fill="FFFFFF"/>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项目支出</w:t>
            </w:r>
          </w:p>
        </w:tc>
        <w:tc>
          <w:tcPr>
            <w:tcW w:w="108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12" w:hRule="atLeast"/>
        </w:trPr>
        <w:tc>
          <w:tcPr>
            <w:tcW w:w="124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41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040"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9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29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8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8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08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12" w:hRule="atLeast"/>
        </w:trPr>
        <w:tc>
          <w:tcPr>
            <w:tcW w:w="1248"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41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040"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69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29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8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88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08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08" w:hRule="atLeast"/>
        </w:trPr>
        <w:tc>
          <w:tcPr>
            <w:tcW w:w="416" w:type="dxa"/>
            <w:vMerge w:val="restart"/>
            <w:tcBorders>
              <w:top w:val="nil"/>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类</w:t>
            </w:r>
          </w:p>
        </w:tc>
        <w:tc>
          <w:tcPr>
            <w:tcW w:w="416"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款</w:t>
            </w:r>
          </w:p>
        </w:tc>
        <w:tc>
          <w:tcPr>
            <w:tcW w:w="416" w:type="dxa"/>
            <w:vMerge w:val="restart"/>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w:t>
            </w:r>
          </w:p>
        </w:tc>
        <w:tc>
          <w:tcPr>
            <w:tcW w:w="1411"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1040" w:type="dxa"/>
            <w:gridSpan w:val="2"/>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691"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1297"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881"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881"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108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r>
      <w:tr>
        <w:tblPrEx>
          <w:tblCellMar>
            <w:top w:w="0" w:type="dxa"/>
            <w:left w:w="108" w:type="dxa"/>
            <w:bottom w:w="0" w:type="dxa"/>
            <w:right w:w="108" w:type="dxa"/>
          </w:tblCellMar>
        </w:tblPrEx>
        <w:trPr>
          <w:trHeight w:val="308" w:hRule="atLeast"/>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color w:val="000000"/>
                <w:kern w:val="0"/>
                <w:sz w:val="20"/>
                <w:szCs w:val="20"/>
              </w:rPr>
            </w:pPr>
          </w:p>
        </w:tc>
        <w:tc>
          <w:tcPr>
            <w:tcW w:w="1411"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合计</w:t>
            </w:r>
          </w:p>
        </w:tc>
        <w:tc>
          <w:tcPr>
            <w:tcW w:w="104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69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29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4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69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29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4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69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29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4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69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29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4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69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29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4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69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29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1248"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11"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40" w:type="dxa"/>
            <w:gridSpan w:val="2"/>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69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297"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88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9"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8538" w:type="dxa"/>
            <w:gridSpan w:val="11"/>
            <w:tcBorders>
              <w:top w:val="nil"/>
              <w:left w:val="nil"/>
              <w:bottom w:val="nil"/>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注：本表反映部门本年度政府性基金预算财政拨款收入、支出及结转和结余情况。</w:t>
            </w:r>
          </w:p>
        </w:tc>
      </w:tr>
    </w:tbl>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tbl>
      <w:tblPr>
        <w:tblStyle w:val="4"/>
        <w:tblW w:w="8300" w:type="dxa"/>
        <w:tblInd w:w="95" w:type="dxa"/>
        <w:tblLayout w:type="autofit"/>
        <w:tblCellMar>
          <w:top w:w="0" w:type="dxa"/>
          <w:left w:w="108" w:type="dxa"/>
          <w:bottom w:w="0" w:type="dxa"/>
          <w:right w:w="108" w:type="dxa"/>
        </w:tblCellMar>
      </w:tblPr>
      <w:tblGrid>
        <w:gridCol w:w="5303"/>
        <w:gridCol w:w="1049"/>
        <w:gridCol w:w="1948"/>
      </w:tblGrid>
      <w:tr>
        <w:tblPrEx>
          <w:tblCellMar>
            <w:top w:w="0" w:type="dxa"/>
            <w:left w:w="108" w:type="dxa"/>
            <w:bottom w:w="0" w:type="dxa"/>
            <w:right w:w="108" w:type="dxa"/>
          </w:tblCellMar>
        </w:tblPrEx>
        <w:trPr>
          <w:trHeight w:val="460" w:hRule="atLeast"/>
        </w:trPr>
        <w:tc>
          <w:tcPr>
            <w:tcW w:w="8300" w:type="dxa"/>
            <w:gridSpan w:val="3"/>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36"/>
                <w:szCs w:val="36"/>
              </w:rPr>
            </w:pPr>
            <w:r>
              <w:rPr>
                <w:rFonts w:hint="eastAsia" w:ascii="宋体" w:hAnsi="宋体" w:eastAsia="宋体" w:cs="Arial"/>
                <w:color w:val="000000"/>
                <w:kern w:val="0"/>
                <w:sz w:val="36"/>
                <w:szCs w:val="36"/>
              </w:rPr>
              <w:t>国有资产占用情况表</w:t>
            </w:r>
          </w:p>
        </w:tc>
      </w:tr>
      <w:tr>
        <w:tblPrEx>
          <w:tblCellMar>
            <w:top w:w="0" w:type="dxa"/>
            <w:left w:w="108" w:type="dxa"/>
            <w:bottom w:w="0" w:type="dxa"/>
            <w:right w:w="108" w:type="dxa"/>
          </w:tblCellMar>
        </w:tblPrEx>
        <w:trPr>
          <w:trHeight w:val="260" w:hRule="atLeast"/>
        </w:trPr>
        <w:tc>
          <w:tcPr>
            <w:tcW w:w="5303"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049" w:type="dxa"/>
            <w:tcBorders>
              <w:top w:val="nil"/>
              <w:left w:val="nil"/>
              <w:bottom w:val="nil"/>
              <w:right w:val="nil"/>
            </w:tcBorders>
            <w:shd w:val="clear" w:color="000000" w:fill="FFFFFF"/>
            <w:noWrap/>
            <w:vAlign w:val="bottom"/>
          </w:tcPr>
          <w:p>
            <w:pPr>
              <w:widowControl/>
              <w:jc w:val="left"/>
              <w:rPr>
                <w:rFonts w:ascii="Arial" w:hAnsi="Arial" w:eastAsia="宋体" w:cs="Arial"/>
                <w:color w:val="000000"/>
                <w:kern w:val="0"/>
                <w:sz w:val="20"/>
                <w:szCs w:val="20"/>
              </w:rPr>
            </w:pPr>
            <w:r>
              <w:rPr>
                <w:rFonts w:ascii="Arial" w:hAnsi="Arial" w:eastAsia="宋体" w:cs="Arial"/>
                <w:color w:val="000000"/>
                <w:kern w:val="0"/>
                <w:sz w:val="20"/>
                <w:szCs w:val="20"/>
              </w:rPr>
              <w:t>　</w:t>
            </w:r>
          </w:p>
        </w:tc>
        <w:tc>
          <w:tcPr>
            <w:tcW w:w="1948" w:type="dxa"/>
            <w:tcBorders>
              <w:top w:val="nil"/>
              <w:left w:val="nil"/>
              <w:bottom w:val="nil"/>
              <w:right w:val="nil"/>
            </w:tcBorders>
            <w:shd w:val="clear" w:color="000000" w:fill="FFFFFF"/>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公开09表</w:t>
            </w:r>
          </w:p>
        </w:tc>
      </w:tr>
      <w:tr>
        <w:tblPrEx>
          <w:tblCellMar>
            <w:top w:w="0" w:type="dxa"/>
            <w:left w:w="108" w:type="dxa"/>
            <w:bottom w:w="0" w:type="dxa"/>
            <w:right w:w="108" w:type="dxa"/>
          </w:tblCellMar>
        </w:tblPrEx>
        <w:trPr>
          <w:trHeight w:val="260" w:hRule="atLeast"/>
        </w:trPr>
        <w:tc>
          <w:tcPr>
            <w:tcW w:w="5303" w:type="dxa"/>
            <w:tcBorders>
              <w:top w:val="nil"/>
              <w:left w:val="nil"/>
              <w:bottom w:val="nil"/>
              <w:right w:val="nil"/>
            </w:tcBorders>
            <w:shd w:val="clear" w:color="000000" w:fill="FFFFFF"/>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编制单位：庐山市温泉旅游度假村管理委员会</w:t>
            </w:r>
          </w:p>
        </w:tc>
        <w:tc>
          <w:tcPr>
            <w:tcW w:w="1049" w:type="dxa"/>
            <w:tcBorders>
              <w:top w:val="nil"/>
              <w:left w:val="nil"/>
              <w:bottom w:val="nil"/>
              <w:right w:val="nil"/>
            </w:tcBorders>
            <w:shd w:val="clear" w:color="000000" w:fill="FFFFFF"/>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2018年度</w:t>
            </w:r>
          </w:p>
        </w:tc>
        <w:tc>
          <w:tcPr>
            <w:tcW w:w="1948" w:type="dxa"/>
            <w:tcBorders>
              <w:top w:val="nil"/>
              <w:left w:val="nil"/>
              <w:bottom w:val="nil"/>
              <w:right w:val="nil"/>
            </w:tcBorders>
            <w:shd w:val="clear" w:color="000000" w:fill="FFFFFF"/>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单位：台、辆、套</w:t>
            </w:r>
          </w:p>
        </w:tc>
      </w:tr>
      <w:tr>
        <w:tblPrEx>
          <w:tblCellMar>
            <w:top w:w="0" w:type="dxa"/>
            <w:left w:w="108" w:type="dxa"/>
            <w:bottom w:w="0" w:type="dxa"/>
            <w:right w:w="108" w:type="dxa"/>
          </w:tblCellMar>
        </w:tblPrEx>
        <w:trPr>
          <w:trHeight w:val="308" w:hRule="atLeast"/>
        </w:trPr>
        <w:tc>
          <w:tcPr>
            <w:tcW w:w="5303"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  目</w:t>
            </w:r>
          </w:p>
        </w:tc>
        <w:tc>
          <w:tcPr>
            <w:tcW w:w="1049" w:type="dxa"/>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1948" w:type="dxa"/>
            <w:tcBorders>
              <w:top w:val="single" w:color="000000" w:sz="4" w:space="0"/>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一、车辆数合计(台、辆)</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1.副部（省）级及以上领导用车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2.主要领导干部用车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3.机要通信用车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4.应急保障用车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5.执法执勤用车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6.特种专业技术用车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7</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7.离退休干部用车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8</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8.其他用车</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9</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3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二、单价50万元（含）以上通用设备（台，套）</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10</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5303" w:type="dxa"/>
            <w:tcBorders>
              <w:top w:val="nil"/>
              <w:left w:val="single" w:color="000000" w:sz="4" w:space="0"/>
              <w:bottom w:val="single" w:color="000000" w:sz="4" w:space="0"/>
              <w:right w:val="single" w:color="000000" w:sz="4" w:space="0"/>
            </w:tcBorders>
            <w:shd w:val="clear" w:color="FFFFFF"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三、单价100万元（含）以上专用设备（台，套）</w:t>
            </w:r>
          </w:p>
        </w:tc>
        <w:tc>
          <w:tcPr>
            <w:tcW w:w="1049" w:type="dxa"/>
            <w:tcBorders>
              <w:top w:val="nil"/>
              <w:left w:val="nil"/>
              <w:bottom w:val="single" w:color="000000" w:sz="4" w:space="0"/>
              <w:right w:val="single" w:color="000000" w:sz="4" w:space="0"/>
            </w:tcBorders>
            <w:shd w:val="clear" w:color="FFFFFF" w:fill="FFFFFF"/>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11</w:t>
            </w:r>
          </w:p>
        </w:tc>
        <w:tc>
          <w:tcPr>
            <w:tcW w:w="1948"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trPr>
        <w:tc>
          <w:tcPr>
            <w:tcW w:w="8300" w:type="dxa"/>
            <w:gridSpan w:val="3"/>
            <w:tcBorders>
              <w:top w:val="nil"/>
              <w:left w:val="nil"/>
              <w:bottom w:val="nil"/>
              <w:right w:val="nil"/>
            </w:tcBorders>
            <w:shd w:val="clear" w:color="000000" w:fill="FFFFFF"/>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注：本表反映截止2018年12月31日，部门占用的国有资产情况。</w:t>
            </w:r>
          </w:p>
        </w:tc>
      </w:tr>
    </w:tbl>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jc w:val="center"/>
        <w:rPr>
          <w:rFonts w:ascii="宋体" w:hAnsi="宋体"/>
          <w:b/>
          <w:sz w:val="32"/>
          <w:szCs w:val="32"/>
        </w:rPr>
      </w:pPr>
    </w:p>
    <w:p>
      <w:pPr>
        <w:widowControl/>
        <w:spacing w:line="600" w:lineRule="exact"/>
        <w:rPr>
          <w:rFonts w:ascii="宋体" w:hAnsi="宋体"/>
          <w:b/>
          <w:sz w:val="32"/>
          <w:szCs w:val="32"/>
        </w:rPr>
      </w:pPr>
    </w:p>
    <w:p>
      <w:pPr>
        <w:widowControl/>
        <w:spacing w:line="600" w:lineRule="exact"/>
        <w:jc w:val="center"/>
        <w:rPr>
          <w:rFonts w:ascii="宋体" w:hAnsi="宋体"/>
          <w:b/>
          <w:sz w:val="32"/>
          <w:szCs w:val="32"/>
        </w:rPr>
      </w:pPr>
      <w:r>
        <w:rPr>
          <w:rFonts w:hint="eastAsia" w:ascii="宋体" w:hAnsi="宋体"/>
          <w:b/>
          <w:sz w:val="32"/>
          <w:szCs w:val="32"/>
        </w:rPr>
        <w:t>第三部分  2018年度部门决算情况说明</w:t>
      </w:r>
    </w:p>
    <w:p>
      <w:pPr>
        <w:ind w:firstLine="630"/>
        <w:jc w:val="left"/>
        <w:rPr>
          <w:rFonts w:ascii="仿宋" w:hAnsi="仿宋" w:eastAsia="仿宋"/>
          <w:sz w:val="30"/>
          <w:szCs w:val="30"/>
        </w:rPr>
      </w:pPr>
    </w:p>
    <w:p>
      <w:pPr>
        <w:ind w:firstLine="600" w:firstLineChars="200"/>
        <w:jc w:val="left"/>
        <w:rPr>
          <w:rFonts w:ascii="黑体" w:hAnsi="黑体" w:eastAsia="黑体"/>
          <w:sz w:val="30"/>
          <w:szCs w:val="30"/>
        </w:rPr>
      </w:pPr>
      <w:r>
        <w:rPr>
          <w:rFonts w:hint="eastAsia" w:ascii="黑体" w:hAnsi="黑体" w:eastAsia="黑体"/>
          <w:sz w:val="30"/>
          <w:szCs w:val="30"/>
        </w:rPr>
        <w:t>一、收入决算情况说明</w:t>
      </w:r>
    </w:p>
    <w:p>
      <w:pPr>
        <w:ind w:left="298" w:leftChars="142" w:firstLine="600" w:firstLineChars="200"/>
        <w:jc w:val="left"/>
        <w:rPr>
          <w:rFonts w:ascii="仿宋" w:hAnsi="仿宋" w:eastAsia="仿宋"/>
          <w:sz w:val="30"/>
          <w:szCs w:val="30"/>
        </w:rPr>
      </w:pPr>
      <w:r>
        <w:rPr>
          <w:rFonts w:hint="eastAsia" w:ascii="仿宋" w:hAnsi="仿宋" w:eastAsia="仿宋"/>
          <w:sz w:val="30"/>
          <w:szCs w:val="30"/>
        </w:rPr>
        <w:t>本部门2018年度收入总计525.48万元，其中年初结转和结余223.05万元，较2017年增加25.1万元，增长12.67 %；本年收入合计302.43万元，较2017年减少43.17万元，下降12.49%，主要原因是：财政拨款经费减少。</w:t>
      </w:r>
    </w:p>
    <w:p>
      <w:pPr>
        <w:ind w:firstLine="630"/>
        <w:jc w:val="left"/>
        <w:rPr>
          <w:rFonts w:ascii="仿宋" w:hAnsi="仿宋" w:eastAsia="仿宋"/>
          <w:sz w:val="30"/>
          <w:szCs w:val="30"/>
        </w:rPr>
      </w:pPr>
      <w:r>
        <w:rPr>
          <w:rFonts w:hint="eastAsia" w:ascii="仿宋" w:hAnsi="仿宋" w:eastAsia="仿宋"/>
          <w:sz w:val="30"/>
          <w:szCs w:val="30"/>
        </w:rPr>
        <w:t xml:space="preserve">本年收入的具体构成为：财政拨款收入302.43万元，占100%；事业收入0万元，占0 %；经营收入0万元，占0 %；其他收入0万元，占 0 %。  </w:t>
      </w:r>
    </w:p>
    <w:p>
      <w:pPr>
        <w:ind w:firstLine="630"/>
        <w:jc w:val="left"/>
        <w:rPr>
          <w:rFonts w:ascii="黑体" w:hAnsi="黑体" w:eastAsia="黑体"/>
          <w:sz w:val="30"/>
          <w:szCs w:val="30"/>
        </w:rPr>
      </w:pPr>
      <w:r>
        <w:rPr>
          <w:rFonts w:hint="eastAsia" w:ascii="黑体" w:hAnsi="黑体" w:eastAsia="黑体"/>
          <w:sz w:val="30"/>
          <w:szCs w:val="30"/>
        </w:rPr>
        <w:t>二、支出决算情况说明</w:t>
      </w:r>
    </w:p>
    <w:p>
      <w:pPr>
        <w:ind w:firstLine="630"/>
        <w:jc w:val="left"/>
        <w:rPr>
          <w:rFonts w:ascii="仿宋" w:hAnsi="仿宋" w:eastAsia="仿宋"/>
          <w:sz w:val="30"/>
          <w:szCs w:val="30"/>
        </w:rPr>
      </w:pPr>
      <w:r>
        <w:rPr>
          <w:rFonts w:hint="eastAsia" w:ascii="仿宋" w:hAnsi="仿宋" w:eastAsia="仿宋"/>
          <w:sz w:val="30"/>
          <w:szCs w:val="30"/>
        </w:rPr>
        <w:t>本部门2018年度支出总计525.48万元，其中本年支出合计340.81万元，较2017年增加20.3万元，增长6.33%，主要原</w:t>
      </w:r>
      <w:r>
        <w:rPr>
          <w:rFonts w:hint="eastAsia" w:ascii="仿宋" w:hAnsi="仿宋" w:eastAsia="仿宋"/>
          <w:color w:val="auto"/>
          <w:sz w:val="30"/>
          <w:szCs w:val="30"/>
        </w:rPr>
        <w:t>因是：公</w:t>
      </w:r>
      <w:r>
        <w:rPr>
          <w:rFonts w:ascii="仿宋" w:hAnsi="仿宋" w:eastAsia="仿宋"/>
          <w:color w:val="auto"/>
          <w:sz w:val="30"/>
          <w:szCs w:val="30"/>
        </w:rPr>
        <w:t>用经费支出略有增长</w:t>
      </w:r>
      <w:r>
        <w:rPr>
          <w:rFonts w:hint="eastAsia" w:ascii="仿宋" w:hAnsi="仿宋" w:eastAsia="仿宋"/>
          <w:sz w:val="30"/>
          <w:szCs w:val="30"/>
        </w:rPr>
        <w:t>；年末结转和结余184.67万元，较2017年减少38.37万元，下降17.2%，主要原因是：</w:t>
      </w:r>
      <w:r>
        <w:rPr>
          <w:rFonts w:hint="eastAsia" w:ascii="仿宋" w:hAnsi="仿宋" w:eastAsia="仿宋"/>
          <w:color w:val="000000" w:themeColor="text1"/>
          <w:sz w:val="30"/>
          <w:szCs w:val="30"/>
        </w:rPr>
        <w:t>本</w:t>
      </w:r>
      <w:r>
        <w:rPr>
          <w:rFonts w:ascii="仿宋" w:hAnsi="仿宋" w:eastAsia="仿宋"/>
          <w:color w:val="000000" w:themeColor="text1"/>
          <w:sz w:val="30"/>
          <w:szCs w:val="30"/>
        </w:rPr>
        <w:t>年使用上年度财政应返还额度。</w:t>
      </w:r>
    </w:p>
    <w:p>
      <w:pPr>
        <w:ind w:firstLine="630"/>
        <w:jc w:val="left"/>
        <w:rPr>
          <w:rFonts w:ascii="仿宋" w:hAnsi="仿宋" w:eastAsia="仿宋"/>
          <w:sz w:val="30"/>
          <w:szCs w:val="30"/>
        </w:rPr>
      </w:pPr>
      <w:r>
        <w:rPr>
          <w:rFonts w:hint="eastAsia" w:ascii="仿宋" w:hAnsi="仿宋" w:eastAsia="仿宋"/>
          <w:sz w:val="30"/>
          <w:szCs w:val="30"/>
        </w:rPr>
        <w:t>本年支出的具体构成为：基本支出145.43万元，占42.67%；项目支出 195.37万元，占 57.33%；经营支出0万元，占0%；其他支出（对附属单位补助支出、上缴上级支出）0万元，占0 %。</w:t>
      </w:r>
    </w:p>
    <w:p>
      <w:pPr>
        <w:ind w:firstLine="630"/>
        <w:jc w:val="left"/>
        <w:rPr>
          <w:rFonts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ascii="仿宋" w:hAnsi="仿宋" w:eastAsia="仿宋"/>
          <w:sz w:val="30"/>
          <w:szCs w:val="30"/>
        </w:rPr>
      </w:pPr>
      <w:r>
        <w:rPr>
          <w:rFonts w:hint="eastAsia" w:ascii="仿宋" w:hAnsi="仿宋" w:eastAsia="仿宋"/>
          <w:sz w:val="30"/>
          <w:szCs w:val="30"/>
        </w:rPr>
        <w:t>本部门2018年度财政拨款本年支出年初预算数为1514.09   万元，决算数为 340.81万元，完成年初预算的22.51%。其中：</w:t>
      </w:r>
    </w:p>
    <w:p>
      <w:pPr>
        <w:ind w:firstLine="630"/>
        <w:jc w:val="left"/>
        <w:rPr>
          <w:rFonts w:ascii="仿宋" w:hAnsi="仿宋" w:eastAsia="仿宋"/>
          <w:sz w:val="30"/>
          <w:szCs w:val="30"/>
        </w:rPr>
      </w:pPr>
      <w:r>
        <w:rPr>
          <w:rFonts w:hint="eastAsia" w:ascii="仿宋" w:hAnsi="仿宋" w:eastAsia="仿宋"/>
          <w:sz w:val="30"/>
          <w:szCs w:val="30"/>
        </w:rPr>
        <w:t>（一）一般公共服务支出年初预算数为0万元，决算数为  0万元，完成年初预算的 0 %，主要原因是：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ascii="仿宋" w:hAnsi="仿宋" w:eastAsia="仿宋"/>
          <w:sz w:val="30"/>
          <w:szCs w:val="30"/>
        </w:rPr>
      </w:pPr>
      <w:r>
        <w:rPr>
          <w:rFonts w:hint="eastAsia" w:ascii="仿宋" w:hAnsi="仿宋" w:eastAsia="仿宋"/>
          <w:sz w:val="30"/>
          <w:szCs w:val="30"/>
        </w:rPr>
        <w:t>（二）公共安全支出年初预算数为 0万元，决算数为0万元，完成年初预算的0%，主要原因是：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ascii="仿宋" w:hAnsi="仿宋" w:eastAsia="仿宋"/>
          <w:sz w:val="30"/>
          <w:szCs w:val="30"/>
        </w:rPr>
      </w:pPr>
      <w:r>
        <w:rPr>
          <w:rFonts w:hint="eastAsia" w:ascii="仿宋" w:hAnsi="仿宋" w:eastAsia="仿宋"/>
          <w:sz w:val="30"/>
          <w:szCs w:val="30"/>
        </w:rPr>
        <w:t>（三）社会保障和就业支出年初预算数为14万元，决算数为14万元，完成年初预算的100%</w:t>
      </w:r>
    </w:p>
    <w:p>
      <w:pPr>
        <w:ind w:firstLine="630"/>
        <w:jc w:val="left"/>
        <w:rPr>
          <w:rFonts w:ascii="仿宋" w:hAnsi="仿宋" w:eastAsia="仿宋"/>
          <w:sz w:val="30"/>
          <w:szCs w:val="30"/>
        </w:rPr>
      </w:pPr>
      <w:r>
        <w:rPr>
          <w:rFonts w:hint="eastAsia" w:ascii="仿宋" w:hAnsi="仿宋" w:eastAsia="仿宋"/>
          <w:sz w:val="30"/>
          <w:szCs w:val="30"/>
        </w:rPr>
        <w:t>（四）医疗卫生与计划生育支出年初预算数为3.91万元，决算数为4.16万元，完成年初预算的106.39%，主要原因是：</w:t>
      </w:r>
      <w:r>
        <w:rPr>
          <w:rFonts w:hint="eastAsia" w:ascii="仿宋" w:hAnsi="仿宋" w:eastAsia="仿宋"/>
          <w:color w:val="000000" w:themeColor="text1"/>
          <w:sz w:val="30"/>
          <w:szCs w:val="30"/>
        </w:rPr>
        <w:t>医</w:t>
      </w:r>
      <w:r>
        <w:rPr>
          <w:rFonts w:ascii="仿宋" w:hAnsi="仿宋" w:eastAsia="仿宋"/>
          <w:color w:val="000000" w:themeColor="text1"/>
          <w:sz w:val="30"/>
          <w:szCs w:val="30"/>
        </w:rPr>
        <w:t>保缴费增多，故调整预算</w:t>
      </w:r>
      <w:r>
        <w:rPr>
          <w:rFonts w:hint="eastAsia" w:ascii="仿宋" w:hAnsi="仿宋" w:eastAsia="仿宋"/>
          <w:color w:val="000000" w:themeColor="text1"/>
          <w:sz w:val="30"/>
          <w:szCs w:val="30"/>
        </w:rPr>
        <w:t>。</w:t>
      </w:r>
    </w:p>
    <w:p>
      <w:pPr>
        <w:ind w:firstLine="630"/>
        <w:jc w:val="left"/>
        <w:rPr>
          <w:rFonts w:ascii="仿宋" w:hAnsi="仿宋" w:eastAsia="仿宋"/>
          <w:color w:val="000000" w:themeColor="text1"/>
          <w:sz w:val="30"/>
          <w:szCs w:val="30"/>
        </w:rPr>
      </w:pPr>
      <w:r>
        <w:rPr>
          <w:rFonts w:hint="eastAsia" w:ascii="仿宋" w:hAnsi="仿宋" w:eastAsia="仿宋"/>
          <w:sz w:val="30"/>
          <w:szCs w:val="30"/>
        </w:rPr>
        <w:t>（五）节能环保支出年初预算数为 12.16万元，决算数为38.37万元，完成年初预算的315.54%，主要原因是：</w:t>
      </w:r>
      <w:r>
        <w:rPr>
          <w:rFonts w:hint="eastAsia" w:ascii="仿宋" w:hAnsi="仿宋" w:eastAsia="仿宋"/>
          <w:color w:val="000000" w:themeColor="text1"/>
          <w:sz w:val="30"/>
          <w:szCs w:val="30"/>
        </w:rPr>
        <w:t>按照</w:t>
      </w:r>
      <w:r>
        <w:rPr>
          <w:rFonts w:ascii="仿宋" w:hAnsi="仿宋" w:eastAsia="仿宋"/>
          <w:color w:val="000000" w:themeColor="text1"/>
          <w:sz w:val="30"/>
          <w:szCs w:val="30"/>
        </w:rPr>
        <w:t>国家政策，节能环保支出增大，故调整预算</w:t>
      </w:r>
      <w:r>
        <w:rPr>
          <w:rFonts w:hint="eastAsia" w:ascii="仿宋" w:hAnsi="仿宋" w:eastAsia="仿宋"/>
          <w:color w:val="000000" w:themeColor="text1"/>
          <w:sz w:val="30"/>
          <w:szCs w:val="30"/>
        </w:rPr>
        <w:t>。</w:t>
      </w:r>
    </w:p>
    <w:p>
      <w:pPr>
        <w:ind w:firstLine="630"/>
        <w:jc w:val="left"/>
        <w:rPr>
          <w:rFonts w:ascii="仿宋" w:hAnsi="仿宋" w:eastAsia="仿宋"/>
          <w:sz w:val="30"/>
          <w:szCs w:val="30"/>
        </w:rPr>
      </w:pPr>
      <w:r>
        <w:rPr>
          <w:rFonts w:hint="eastAsia" w:ascii="仿宋" w:hAnsi="仿宋" w:eastAsia="仿宋"/>
          <w:sz w:val="30"/>
          <w:szCs w:val="30"/>
        </w:rPr>
        <w:t>（六）城乡社区支出年初预算数为0万元，决算数为157万元，完成年初预算的0%，</w:t>
      </w:r>
      <w:r>
        <w:rPr>
          <w:rFonts w:hint="eastAsia" w:ascii="仿宋" w:hAnsi="仿宋" w:eastAsia="仿宋"/>
          <w:color w:val="FF0000"/>
          <w:sz w:val="30"/>
          <w:szCs w:val="30"/>
        </w:rPr>
        <w:t>主要原因是：</w:t>
      </w:r>
      <w:r>
        <w:rPr>
          <w:rFonts w:ascii="仿宋" w:hAnsi="仿宋" w:eastAsia="仿宋"/>
          <w:color w:val="FF0000"/>
          <w:sz w:val="30"/>
          <w:szCs w:val="30"/>
        </w:rPr>
        <w:t>……</w:t>
      </w:r>
      <w:r>
        <w:rPr>
          <w:rFonts w:hint="eastAsia" w:ascii="仿宋" w:hAnsi="仿宋" w:eastAsia="仿宋"/>
          <w:color w:val="FF0000"/>
          <w:sz w:val="30"/>
          <w:szCs w:val="30"/>
        </w:rPr>
        <w:t>。</w:t>
      </w:r>
    </w:p>
    <w:p>
      <w:pPr>
        <w:ind w:firstLine="630"/>
        <w:jc w:val="left"/>
        <w:rPr>
          <w:rFonts w:ascii="仿宋" w:hAnsi="仿宋" w:eastAsia="仿宋"/>
          <w:sz w:val="30"/>
          <w:szCs w:val="30"/>
        </w:rPr>
      </w:pPr>
      <w:r>
        <w:rPr>
          <w:rFonts w:hint="eastAsia" w:ascii="仿宋" w:hAnsi="仿宋" w:eastAsia="仿宋"/>
          <w:sz w:val="30"/>
          <w:szCs w:val="30"/>
        </w:rPr>
        <w:t>（七）商业服务业支出年初预算数为1484.02万元，决算数为127.27万元，完成年初预算的8.58%，</w:t>
      </w:r>
      <w:r>
        <w:rPr>
          <w:rFonts w:hint="eastAsia" w:ascii="仿宋" w:hAnsi="仿宋" w:eastAsia="仿宋"/>
          <w:color w:val="FF0000"/>
          <w:sz w:val="30"/>
          <w:szCs w:val="30"/>
        </w:rPr>
        <w:t>主要原因是：</w:t>
      </w:r>
      <w:r>
        <w:rPr>
          <w:rFonts w:ascii="仿宋" w:hAnsi="仿宋" w:eastAsia="仿宋"/>
          <w:color w:val="FF0000"/>
          <w:sz w:val="30"/>
          <w:szCs w:val="30"/>
        </w:rPr>
        <w:t>……</w:t>
      </w:r>
      <w:r>
        <w:rPr>
          <w:rFonts w:hint="eastAsia" w:ascii="仿宋" w:hAnsi="仿宋" w:eastAsia="仿宋"/>
          <w:color w:val="FF0000"/>
          <w:sz w:val="30"/>
          <w:szCs w:val="30"/>
        </w:rPr>
        <w:t>。</w:t>
      </w:r>
    </w:p>
    <w:p>
      <w:pPr>
        <w:ind w:firstLine="630"/>
        <w:jc w:val="left"/>
        <w:rPr>
          <w:rFonts w:ascii="仿宋" w:hAnsi="仿宋" w:eastAsia="仿宋"/>
          <w:sz w:val="30"/>
          <w:szCs w:val="30"/>
        </w:rPr>
      </w:pPr>
    </w:p>
    <w:p>
      <w:pPr>
        <w:ind w:firstLine="630"/>
        <w:jc w:val="left"/>
        <w:rPr>
          <w:rFonts w:ascii="仿宋" w:hAnsi="仿宋" w:eastAsia="仿宋"/>
          <w:sz w:val="30"/>
          <w:szCs w:val="30"/>
        </w:rPr>
      </w:pPr>
    </w:p>
    <w:p>
      <w:pPr>
        <w:ind w:firstLine="585"/>
        <w:jc w:val="left"/>
        <w:rPr>
          <w:rFonts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ascii="仿宋" w:hAnsi="仿宋" w:eastAsia="仿宋"/>
          <w:sz w:val="30"/>
          <w:szCs w:val="30"/>
        </w:rPr>
      </w:pPr>
      <w:r>
        <w:rPr>
          <w:rFonts w:hint="eastAsia" w:ascii="仿宋" w:hAnsi="仿宋" w:eastAsia="仿宋"/>
          <w:sz w:val="30"/>
          <w:szCs w:val="30"/>
        </w:rPr>
        <w:t>本部门2018年度一般公共预算财政拨款基本支出145.43万元，其中：</w:t>
      </w:r>
    </w:p>
    <w:p>
      <w:pPr>
        <w:ind w:firstLine="585"/>
        <w:jc w:val="left"/>
        <w:rPr>
          <w:rFonts w:ascii="仿宋" w:hAnsi="仿宋" w:eastAsia="仿宋"/>
          <w:color w:val="FF0000"/>
          <w:sz w:val="30"/>
          <w:szCs w:val="30"/>
        </w:rPr>
      </w:pPr>
      <w:r>
        <w:rPr>
          <w:rFonts w:hint="eastAsia" w:ascii="仿宋" w:hAnsi="仿宋" w:eastAsia="仿宋"/>
          <w:sz w:val="30"/>
          <w:szCs w:val="30"/>
        </w:rPr>
        <w:t>（一）工资福利支出105.56万元，较2017年减少2.37万元，下降2.19 %，主</w:t>
      </w:r>
      <w:r>
        <w:rPr>
          <w:rFonts w:hint="eastAsia" w:ascii="仿宋" w:hAnsi="仿宋" w:eastAsia="仿宋"/>
          <w:color w:val="auto"/>
          <w:sz w:val="30"/>
          <w:szCs w:val="30"/>
        </w:rPr>
        <w:t>要原因是：</w:t>
      </w:r>
      <w:r>
        <w:rPr>
          <w:rFonts w:hint="eastAsia" w:ascii="仿宋" w:hAnsi="仿宋" w:eastAsia="仿宋"/>
          <w:color w:val="auto"/>
          <w:sz w:val="30"/>
          <w:szCs w:val="30"/>
          <w:lang w:eastAsia="zh-CN"/>
        </w:rPr>
        <w:t>因工作需要调走两位正科级领导干部，调来一位正科级干部一位事业单位一般干部</w:t>
      </w:r>
      <w:r>
        <w:rPr>
          <w:rFonts w:hint="eastAsia" w:ascii="仿宋" w:hAnsi="仿宋" w:eastAsia="仿宋"/>
          <w:color w:val="auto"/>
          <w:sz w:val="30"/>
          <w:szCs w:val="30"/>
        </w:rPr>
        <w:t>。</w:t>
      </w:r>
    </w:p>
    <w:p>
      <w:pPr>
        <w:ind w:firstLine="585"/>
        <w:jc w:val="left"/>
        <w:rPr>
          <w:rFonts w:ascii="仿宋" w:hAnsi="仿宋" w:eastAsia="仿宋"/>
          <w:sz w:val="30"/>
          <w:szCs w:val="30"/>
        </w:rPr>
      </w:pPr>
      <w:r>
        <w:rPr>
          <w:rFonts w:hint="eastAsia" w:ascii="仿宋" w:hAnsi="仿宋" w:eastAsia="仿宋"/>
          <w:sz w:val="30"/>
          <w:szCs w:val="30"/>
        </w:rPr>
        <w:t>（二）商品和服务支出37.8万元，较2017年增加19.42万元，增长105.65 %，主要原因是：差旅费、工会经费及专用材料费较上年有所增加。</w:t>
      </w:r>
    </w:p>
    <w:p>
      <w:pPr>
        <w:ind w:firstLine="585"/>
        <w:jc w:val="left"/>
        <w:rPr>
          <w:rFonts w:ascii="仿宋" w:hAnsi="仿宋" w:eastAsia="仿宋"/>
          <w:sz w:val="30"/>
          <w:szCs w:val="30"/>
        </w:rPr>
      </w:pPr>
      <w:r>
        <w:rPr>
          <w:rFonts w:hint="eastAsia" w:ascii="仿宋" w:hAnsi="仿宋" w:eastAsia="仿宋"/>
          <w:sz w:val="30"/>
          <w:szCs w:val="30"/>
        </w:rPr>
        <w:t>（三）对个人和家庭补助支出2.08万元，增长</w:t>
      </w:r>
      <w:r>
        <w:rPr>
          <w:rFonts w:hint="eastAsia" w:ascii="仿宋" w:hAnsi="仿宋" w:eastAsia="仿宋"/>
          <w:sz w:val="30"/>
          <w:szCs w:val="30"/>
          <w:lang w:val="en-US" w:eastAsia="zh-CN"/>
        </w:rPr>
        <w:t>100</w:t>
      </w:r>
      <w:r>
        <w:rPr>
          <w:rFonts w:hint="eastAsia" w:ascii="仿宋" w:hAnsi="仿宋" w:eastAsia="仿宋"/>
          <w:sz w:val="30"/>
          <w:szCs w:val="30"/>
        </w:rPr>
        <w:t xml:space="preserve"> %，</w:t>
      </w:r>
      <w:r>
        <w:rPr>
          <w:rFonts w:hint="eastAsia" w:ascii="仿宋" w:hAnsi="仿宋" w:eastAsia="仿宋"/>
          <w:color w:val="auto"/>
          <w:sz w:val="30"/>
          <w:szCs w:val="30"/>
        </w:rPr>
        <w:t>主要原因是</w:t>
      </w:r>
      <w:r>
        <w:rPr>
          <w:rFonts w:hint="eastAsia" w:ascii="仿宋" w:hAnsi="仿宋" w:eastAsia="仿宋"/>
          <w:sz w:val="30"/>
          <w:szCs w:val="30"/>
        </w:rPr>
        <w:t>：</w:t>
      </w:r>
      <w:r>
        <w:rPr>
          <w:rFonts w:hint="eastAsia" w:ascii="仿宋" w:hAnsi="仿宋" w:eastAsia="仿宋"/>
          <w:sz w:val="30"/>
          <w:szCs w:val="30"/>
          <w:lang w:eastAsia="zh-CN"/>
        </w:rPr>
        <w:t>本年度加大对困难党员和贫困户的补助</w:t>
      </w:r>
      <w:r>
        <w:rPr>
          <w:rFonts w:hint="eastAsia" w:ascii="仿宋" w:hAnsi="仿宋" w:eastAsia="仿宋"/>
          <w:sz w:val="30"/>
          <w:szCs w:val="30"/>
        </w:rPr>
        <w:t>。</w:t>
      </w:r>
    </w:p>
    <w:p>
      <w:pPr>
        <w:ind w:firstLine="585"/>
        <w:jc w:val="left"/>
        <w:rPr>
          <w:rFonts w:ascii="仿宋" w:hAnsi="仿宋" w:eastAsia="仿宋"/>
          <w:sz w:val="30"/>
          <w:szCs w:val="30"/>
        </w:rPr>
      </w:pPr>
      <w:r>
        <w:rPr>
          <w:rFonts w:hint="eastAsia" w:ascii="仿宋" w:hAnsi="仿宋" w:eastAsia="仿宋"/>
          <w:sz w:val="30"/>
          <w:szCs w:val="30"/>
        </w:rPr>
        <w:t>（四）资本性支出0万元，较2017年增加（减少） 0 万元，增长（下降） 0 %</w:t>
      </w:r>
    </w:p>
    <w:p>
      <w:pPr>
        <w:ind w:firstLine="630"/>
        <w:jc w:val="left"/>
        <w:rPr>
          <w:rFonts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ascii="仿宋" w:hAnsi="仿宋" w:eastAsia="仿宋"/>
          <w:sz w:val="30"/>
          <w:szCs w:val="30"/>
        </w:rPr>
      </w:pPr>
      <w:r>
        <w:rPr>
          <w:rFonts w:hint="eastAsia" w:ascii="仿宋" w:hAnsi="仿宋" w:eastAsia="仿宋"/>
          <w:sz w:val="30"/>
          <w:szCs w:val="30"/>
        </w:rPr>
        <w:t>本部门2018年度一般公共预算财政拨款“三公”经费支出年初预算数为8.65万元，决算数为1.31万元，完成预算的15.14%，决算数较2017年增加0.13万元，增长11.02 %，其中：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 0万元，决算数为0万元，完成预算的0 %，决算数较2017年增加（减少）0  万元，增长（下降）0  %。决算数较年初预算数增加（减少）的主要原因是：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ascii="仿宋" w:hAnsi="仿宋" w:eastAsia="仿宋"/>
          <w:color w:val="000000" w:themeColor="text1"/>
          <w:sz w:val="30"/>
          <w:szCs w:val="30"/>
        </w:rPr>
      </w:pPr>
      <w:r>
        <w:rPr>
          <w:rFonts w:hint="eastAsia" w:ascii="仿宋" w:hAnsi="仿宋" w:eastAsia="仿宋"/>
          <w:sz w:val="30"/>
          <w:szCs w:val="30"/>
        </w:rPr>
        <w:t>（二）公务接待费支出年初预算数为 8.65万元，决算数为  1.31万元，完成预算的15.14 %，决算数较2017年增加0.13万元，增长11.02 %。决算数较年初预算数减少的主要原因是：</w:t>
      </w:r>
      <w:r>
        <w:rPr>
          <w:rFonts w:hint="eastAsia" w:ascii="仿宋" w:hAnsi="仿宋" w:eastAsia="仿宋"/>
          <w:color w:val="000000" w:themeColor="text1"/>
          <w:sz w:val="30"/>
          <w:szCs w:val="30"/>
        </w:rPr>
        <w:t>执行</w:t>
      </w:r>
      <w:r>
        <w:rPr>
          <w:rFonts w:ascii="仿宋" w:hAnsi="仿宋" w:eastAsia="仿宋"/>
          <w:color w:val="000000" w:themeColor="text1"/>
          <w:sz w:val="30"/>
          <w:szCs w:val="30"/>
        </w:rPr>
        <w:t>中央八项规定，控制公务接待</w:t>
      </w:r>
      <w:r>
        <w:rPr>
          <w:rFonts w:hint="eastAsia" w:ascii="仿宋" w:hAnsi="仿宋" w:eastAsia="仿宋"/>
          <w:color w:val="000000" w:themeColor="text1"/>
          <w:sz w:val="30"/>
          <w:szCs w:val="30"/>
        </w:rPr>
        <w:t>。</w:t>
      </w:r>
    </w:p>
    <w:p>
      <w:pPr>
        <w:ind w:firstLine="630"/>
        <w:jc w:val="left"/>
        <w:rPr>
          <w:rFonts w:ascii="仿宋" w:hAnsi="仿宋" w:eastAsia="仿宋"/>
          <w:sz w:val="30"/>
          <w:szCs w:val="30"/>
        </w:rPr>
      </w:pPr>
      <w:r>
        <w:rPr>
          <w:rFonts w:hint="eastAsia" w:ascii="仿宋" w:hAnsi="仿宋" w:eastAsia="仿宋"/>
          <w:sz w:val="30"/>
          <w:szCs w:val="30"/>
        </w:rPr>
        <w:t>（三）公务用车购置及运行维护费支出0万元，其中公务用车购置年初预算数为0万元，决算数为0万元，完成预算的0 %，决算数较2017年增加（减少）  万元，增长（下降）  %。决算数较年初预算数增加（减少）的主要原因是：</w:t>
      </w:r>
      <w:r>
        <w:rPr>
          <w:rFonts w:ascii="仿宋" w:hAnsi="仿宋" w:eastAsia="仿宋"/>
          <w:sz w:val="30"/>
          <w:szCs w:val="30"/>
        </w:rPr>
        <w:t>……</w:t>
      </w:r>
      <w:r>
        <w:rPr>
          <w:rFonts w:hint="eastAsia" w:ascii="仿宋" w:hAnsi="仿宋" w:eastAsia="仿宋"/>
          <w:sz w:val="30"/>
          <w:szCs w:val="30"/>
        </w:rPr>
        <w:t>；公务用车运行维护费支出年初预算数为   万元，决算数为  万元，完成预算的 %，决算数较2017年增加（减少）  万元，增长（下降）  %。决算数较年初预算数增加（减少）的主要原因是：</w:t>
      </w:r>
      <w:r>
        <w:rPr>
          <w:rFonts w:ascii="仿宋" w:hAnsi="仿宋" w:eastAsia="仿宋"/>
          <w:sz w:val="30"/>
          <w:szCs w:val="30"/>
        </w:rPr>
        <w:t>……</w:t>
      </w:r>
      <w:r>
        <w:rPr>
          <w:rFonts w:hint="eastAsia" w:ascii="仿宋" w:hAnsi="仿宋" w:eastAsia="仿宋"/>
          <w:sz w:val="30"/>
          <w:szCs w:val="30"/>
        </w:rPr>
        <w:t>。</w:t>
      </w:r>
    </w:p>
    <w:p>
      <w:pPr>
        <w:ind w:firstLine="630"/>
        <w:jc w:val="left"/>
        <w:rPr>
          <w:rFonts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ascii="仿宋" w:hAnsi="仿宋" w:eastAsia="仿宋"/>
          <w:sz w:val="30"/>
          <w:szCs w:val="30"/>
        </w:rPr>
      </w:pPr>
      <w:r>
        <w:rPr>
          <w:rFonts w:hint="eastAsia" w:ascii="仿宋" w:hAnsi="仿宋" w:eastAsia="仿宋"/>
          <w:sz w:val="30"/>
          <w:szCs w:val="30"/>
        </w:rPr>
        <w:t>本部门2018年度机关运行经费支出37.8万元（与部门决算中行政单位和参照公务员法管理事业单位一般公共预算财政拨款基本支出中公用经费之和保持一致），较年初预算数减少78.11万元，降低67.39 %，主要原因是：贯彻</w:t>
      </w:r>
      <w:r>
        <w:rPr>
          <w:rFonts w:ascii="仿宋" w:hAnsi="仿宋" w:eastAsia="仿宋"/>
          <w:sz w:val="30"/>
          <w:szCs w:val="30"/>
        </w:rPr>
        <w:t>中央八项规定、降耗增效，减少不必要开支</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6"/>
        <w:spacing w:line="600" w:lineRule="atLeast"/>
        <w:ind w:firstLine="600"/>
        <w:rPr>
          <w:rFonts w:ascii="仿宋" w:hAnsi="仿宋" w:eastAsia="仿宋"/>
          <w:sz w:val="30"/>
          <w:szCs w:val="30"/>
        </w:rPr>
      </w:pPr>
      <w:r>
        <w:rPr>
          <w:rFonts w:hint="eastAsia" w:ascii="仿宋" w:hAnsi="仿宋" w:eastAsia="仿宋"/>
          <w:sz w:val="30"/>
          <w:szCs w:val="30"/>
        </w:rPr>
        <w:t>本部门2018年度政府采购支出总额20.01万元，其中：政府采购货物支出11.29万元、政府采购工程支出 8.72万元、政府采购服务支出0万元。</w:t>
      </w:r>
      <w:bookmarkStart w:id="0" w:name="_GoBack"/>
      <w:bookmarkEnd w:id="0"/>
      <w:r>
        <w:rPr>
          <w:rFonts w:hint="eastAsia" w:ascii="仿宋" w:hAnsi="仿宋" w:eastAsia="仿宋"/>
          <w:sz w:val="30"/>
          <w:szCs w:val="30"/>
        </w:rPr>
        <w:t>（省级部门公开的政府采购金额的计算口径为：本部门纳入2018年部门预算范围的各项政府采购支出金额之和，并做好与2018年度政府采购信息统计报表中“政府采购资金情况表”有关数据的衔接。）</w:t>
      </w:r>
    </w:p>
    <w:p>
      <w:pPr>
        <w:ind w:firstLine="630"/>
        <w:jc w:val="left"/>
        <w:rPr>
          <w:rFonts w:ascii="黑体" w:hAnsi="黑体" w:eastAsia="黑体"/>
          <w:sz w:val="30"/>
          <w:szCs w:val="30"/>
        </w:rPr>
      </w:pPr>
      <w:r>
        <w:rPr>
          <w:rFonts w:hint="eastAsia" w:ascii="黑体" w:hAnsi="黑体" w:eastAsia="黑体"/>
          <w:sz w:val="30"/>
          <w:szCs w:val="30"/>
        </w:rPr>
        <w:t>八、国有资产占用情况说明。</w:t>
      </w:r>
    </w:p>
    <w:p>
      <w:pPr>
        <w:ind w:firstLine="630"/>
        <w:jc w:val="left"/>
        <w:rPr>
          <w:rFonts w:ascii="仿宋" w:hAnsi="仿宋" w:eastAsia="仿宋"/>
          <w:kern w:val="0"/>
          <w:sz w:val="30"/>
          <w:szCs w:val="30"/>
        </w:rPr>
      </w:pPr>
      <w:r>
        <w:rPr>
          <w:rFonts w:hint="eastAsia" w:ascii="仿宋" w:hAnsi="仿宋" w:eastAsia="仿宋"/>
          <w:kern w:val="0"/>
          <w:sz w:val="30"/>
          <w:szCs w:val="30"/>
        </w:rPr>
        <w:t>截止2018年12月31日，本部门共有车辆0 辆，其中，副部（省）级及以上领导用车0辆、主要领导干部用车0辆、机要通信用车0辆、应急保障用车0辆、执法执勤用车0辆、特种专业技术用车0辆、其他用车0辆，其他用车主要是</w:t>
      </w:r>
      <w:r>
        <w:rPr>
          <w:rFonts w:ascii="仿宋" w:hAnsi="仿宋" w:eastAsia="仿宋"/>
          <w:kern w:val="0"/>
          <w:sz w:val="30"/>
          <w:szCs w:val="30"/>
        </w:rPr>
        <w:t>……</w:t>
      </w:r>
      <w:r>
        <w:rPr>
          <w:rFonts w:hint="eastAsia" w:ascii="仿宋" w:hAnsi="仿宋" w:eastAsia="仿宋"/>
          <w:kern w:val="0"/>
          <w:sz w:val="30"/>
          <w:szCs w:val="30"/>
        </w:rPr>
        <w:t>；单位价值50万元以上通用设备 0 台（套）；单位价值100万元以上专用设备0  台（套）。</w:t>
      </w:r>
    </w:p>
    <w:p>
      <w:pPr>
        <w:ind w:firstLine="630"/>
        <w:jc w:val="left"/>
        <w:rPr>
          <w:rFonts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ind w:firstLine="600"/>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无项目</w:t>
      </w:r>
    </w:p>
    <w:p>
      <w:pPr>
        <w:autoSpaceDE w:val="0"/>
        <w:autoSpaceDN w:val="0"/>
        <w:adjustRightInd w:val="0"/>
        <w:spacing w:line="360" w:lineRule="auto"/>
        <w:ind w:firstLine="600"/>
        <w:jc w:val="left"/>
        <w:rPr>
          <w:rFonts w:ascii="仿宋" w:hAnsi="仿宋" w:eastAsia="仿宋" w:cs="仿宋_GB2312"/>
          <w:kern w:val="0"/>
          <w:sz w:val="30"/>
          <w:szCs w:val="30"/>
        </w:rPr>
      </w:pPr>
    </w:p>
    <w:p>
      <w:pPr>
        <w:autoSpaceDE w:val="0"/>
        <w:autoSpaceDN w:val="0"/>
        <w:adjustRightInd w:val="0"/>
        <w:spacing w:line="360" w:lineRule="auto"/>
        <w:ind w:firstLine="600"/>
        <w:jc w:val="left"/>
      </w:pPr>
    </w:p>
    <w:p>
      <w:pPr>
        <w:widowControl/>
        <w:spacing w:line="600" w:lineRule="exact"/>
        <w:ind w:firstLine="640"/>
        <w:jc w:val="center"/>
        <w:rPr>
          <w:rFonts w:ascii="宋体" w:hAnsi="宋体"/>
          <w:b/>
          <w:sz w:val="32"/>
          <w:szCs w:val="32"/>
        </w:rPr>
      </w:pPr>
      <w:r>
        <w:rPr>
          <w:rFonts w:hint="eastAsia" w:ascii="宋体" w:hAnsi="宋体"/>
          <w:b/>
          <w:sz w:val="32"/>
          <w:szCs w:val="32"/>
        </w:rPr>
        <w:t>第四部分  名词解释</w:t>
      </w:r>
    </w:p>
    <w:p>
      <w:pPr>
        <w:pStyle w:val="6"/>
        <w:spacing w:line="600" w:lineRule="atLeast"/>
        <w:ind w:firstLine="600"/>
        <w:rPr>
          <w:rFonts w:ascii="仿宋" w:hAnsi="仿宋" w:eastAsia="仿宋"/>
          <w:sz w:val="30"/>
          <w:szCs w:val="30"/>
        </w:rPr>
      </w:pPr>
    </w:p>
    <w:p>
      <w:pPr>
        <w:widowControl/>
        <w:spacing w:line="580" w:lineRule="exact"/>
        <w:jc w:val="left"/>
        <w:rPr>
          <w:rFonts w:ascii="仿宋" w:hAnsi="仿宋" w:eastAsia="仿宋"/>
          <w:kern w:val="0"/>
          <w:sz w:val="30"/>
          <w:szCs w:val="30"/>
        </w:rPr>
      </w:pPr>
      <w:r>
        <w:rPr>
          <w:rFonts w:hint="eastAsia" w:ascii="仿宋" w:hAnsi="仿宋" w:eastAsia="仿宋"/>
          <w:kern w:val="0"/>
          <w:sz w:val="30"/>
          <w:szCs w:val="30"/>
        </w:rPr>
        <w:t xml:space="preserve">    名词解释应以财务会计制度、政府收支分类科目以及部门预算管理等规定为基本说明，可在此基础上结合部门实际情况适当细化。“三公”经费支出和机关运行经费支出口径必需予以说明。</w:t>
      </w:r>
    </w:p>
    <w:p>
      <w:pPr>
        <w:rPr>
          <w:rFonts w:ascii="仿宋" w:hAnsi="仿宋" w:eastAsia="仿宋"/>
          <w:sz w:val="30"/>
          <w:szCs w:val="30"/>
        </w:rPr>
      </w:pPr>
    </w:p>
    <w:p>
      <w:pPr>
        <w:widowControl/>
        <w:spacing w:line="600" w:lineRule="exact"/>
        <w:ind w:firstLine="640"/>
        <w:jc w:val="left"/>
        <w:rPr>
          <w:rFonts w:ascii="宋体" w:hAnsi="宋体"/>
          <w:b/>
          <w:sz w:val="32"/>
          <w:szCs w:val="30"/>
        </w:rPr>
      </w:pPr>
    </w:p>
    <w:p>
      <w:pPr>
        <w:widowControl/>
        <w:spacing w:line="600" w:lineRule="exact"/>
        <w:ind w:firstLine="640"/>
        <w:jc w:val="left"/>
        <w:rPr>
          <w:rFonts w:ascii="宋体" w:hAnsi="宋体"/>
          <w:b/>
          <w:sz w:val="32"/>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white-space:normal;background-c">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EB8E8E"/>
    <w:multiLevelType w:val="singleLevel"/>
    <w:tmpl w:val="FDEB8E8E"/>
    <w:lvl w:ilvl="0" w:tentative="0">
      <w:start w:val="2"/>
      <w:numFmt w:val="chineseCounting"/>
      <w:suff w:val="nothing"/>
      <w:lvlText w:val="%1、"/>
      <w:lvlJc w:val="left"/>
      <w:pPr>
        <w:ind w:left="12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8AA1B8B"/>
    <w:rsid w:val="00060728"/>
    <w:rsid w:val="000E6E7E"/>
    <w:rsid w:val="001875F6"/>
    <w:rsid w:val="001A2EED"/>
    <w:rsid w:val="001C51F0"/>
    <w:rsid w:val="001E2975"/>
    <w:rsid w:val="00216F59"/>
    <w:rsid w:val="0029049F"/>
    <w:rsid w:val="00292A90"/>
    <w:rsid w:val="002E54F7"/>
    <w:rsid w:val="002F2D33"/>
    <w:rsid w:val="00380A92"/>
    <w:rsid w:val="004635EF"/>
    <w:rsid w:val="00480AB8"/>
    <w:rsid w:val="004976B0"/>
    <w:rsid w:val="004C20F8"/>
    <w:rsid w:val="004C3BF0"/>
    <w:rsid w:val="004E360D"/>
    <w:rsid w:val="004F702D"/>
    <w:rsid w:val="00520E9D"/>
    <w:rsid w:val="0054656F"/>
    <w:rsid w:val="00574990"/>
    <w:rsid w:val="005768E6"/>
    <w:rsid w:val="0058108C"/>
    <w:rsid w:val="005A164A"/>
    <w:rsid w:val="005E3C3A"/>
    <w:rsid w:val="005F3CF1"/>
    <w:rsid w:val="00614214"/>
    <w:rsid w:val="00645AB2"/>
    <w:rsid w:val="00671A3D"/>
    <w:rsid w:val="00677ABE"/>
    <w:rsid w:val="006C283E"/>
    <w:rsid w:val="006D3A9D"/>
    <w:rsid w:val="006E374E"/>
    <w:rsid w:val="00751165"/>
    <w:rsid w:val="00775F45"/>
    <w:rsid w:val="00783BE9"/>
    <w:rsid w:val="007C6B56"/>
    <w:rsid w:val="007E1426"/>
    <w:rsid w:val="007E1BE6"/>
    <w:rsid w:val="00824EEB"/>
    <w:rsid w:val="008C1063"/>
    <w:rsid w:val="009366E6"/>
    <w:rsid w:val="009421A8"/>
    <w:rsid w:val="00A15742"/>
    <w:rsid w:val="00A242A6"/>
    <w:rsid w:val="00A767BF"/>
    <w:rsid w:val="00AA311E"/>
    <w:rsid w:val="00AB4412"/>
    <w:rsid w:val="00B27B78"/>
    <w:rsid w:val="00B3218D"/>
    <w:rsid w:val="00B33EFF"/>
    <w:rsid w:val="00B8280E"/>
    <w:rsid w:val="00BE2954"/>
    <w:rsid w:val="00BF4285"/>
    <w:rsid w:val="00C12E1C"/>
    <w:rsid w:val="00C20D4A"/>
    <w:rsid w:val="00C8416D"/>
    <w:rsid w:val="00CC23C5"/>
    <w:rsid w:val="00CD7A13"/>
    <w:rsid w:val="00D070E3"/>
    <w:rsid w:val="00D22D2B"/>
    <w:rsid w:val="00D72DE9"/>
    <w:rsid w:val="00E15D4C"/>
    <w:rsid w:val="00E3489A"/>
    <w:rsid w:val="00E63962"/>
    <w:rsid w:val="00F62026"/>
    <w:rsid w:val="00F6676D"/>
    <w:rsid w:val="00F950EE"/>
    <w:rsid w:val="18AA1B8B"/>
    <w:rsid w:val="276D03C1"/>
    <w:rsid w:val="31A133DC"/>
    <w:rsid w:val="3C2E578E"/>
    <w:rsid w:val="4C4214F2"/>
    <w:rsid w:val="6095136D"/>
    <w:rsid w:val="654D2D99"/>
    <w:rsid w:val="74A563C2"/>
    <w:rsid w:val="77C5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kern w:val="0"/>
      <w:szCs w:val="21"/>
    </w:rPr>
  </w:style>
  <w:style w:type="character" w:customStyle="1" w:styleId="7">
    <w:name w:val="font01"/>
    <w:basedOn w:val="5"/>
    <w:uiPriority w:val="0"/>
    <w:rPr>
      <w:rFonts w:hint="eastAsia" w:ascii="宋体" w:hAnsi="宋体" w:eastAsia="宋体" w:cs="宋体"/>
      <w:color w:val="000000"/>
      <w:sz w:val="20"/>
      <w:szCs w:val="20"/>
      <w:u w:val="none"/>
    </w:r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2EB858-42B4-46A1-B6DE-04DCA9BB6F52}">
  <ds:schemaRefs/>
</ds:datastoreItem>
</file>

<file path=docProps/app.xml><?xml version="1.0" encoding="utf-8"?>
<Properties xmlns="http://schemas.openxmlformats.org/officeDocument/2006/extended-properties" xmlns:vt="http://schemas.openxmlformats.org/officeDocument/2006/docPropsVTypes">
  <Template>Normal</Template>
  <Pages>18</Pages>
  <Words>1773</Words>
  <Characters>10111</Characters>
  <Lines>84</Lines>
  <Paragraphs>23</Paragraphs>
  <TotalTime>315</TotalTime>
  <ScaleCrop>false</ScaleCrop>
  <LinksUpToDate>false</LinksUpToDate>
  <CharactersWithSpaces>11861</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2019-11-08T02:31:00Z</dcterms:created>
  <dc:creator>Administrator</dc:creator>
  <cp:lastModifiedBy>Administrator</cp:lastModifiedBy>
  <cp:lastPrinted>2019-11-08T09:12:00Z</cp:lastPrinted>
  <dcterms:modified xsi:type="dcterms:W3CDTF">2019-11-18T01:24:41Z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