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黑体" w:eastAsia="黑体"/>
          <w:sz w:val="44"/>
          <w:szCs w:val="36"/>
        </w:rPr>
      </w:pPr>
      <w:r>
        <w:rPr>
          <w:rFonts w:hint="eastAsia" w:ascii="黑体" w:eastAsia="黑体"/>
          <w:sz w:val="44"/>
          <w:szCs w:val="36"/>
        </w:rPr>
        <w:t>2018年度</w:t>
      </w:r>
      <w:r>
        <w:rPr>
          <w:rFonts w:hint="eastAsia" w:ascii="黑体" w:eastAsia="黑体"/>
          <w:sz w:val="44"/>
          <w:szCs w:val="36"/>
          <w:lang w:eastAsia="zh-CN"/>
        </w:rPr>
        <w:t>法院</w:t>
      </w:r>
      <w:r>
        <w:rPr>
          <w:rFonts w:hint="eastAsia" w:ascii="黑体" w:eastAsia="黑体"/>
          <w:sz w:val="44"/>
          <w:szCs w:val="36"/>
        </w:rPr>
        <w:t>部门决算</w:t>
      </w:r>
    </w:p>
    <w:p>
      <w:pPr>
        <w:spacing w:line="600" w:lineRule="exact"/>
        <w:jc w:val="center"/>
        <w:rPr>
          <w:rFonts w:hint="eastAsia" w:ascii="黑体" w:eastAsia="黑体"/>
          <w:sz w:val="44"/>
          <w:szCs w:val="36"/>
        </w:rPr>
      </w:pPr>
    </w:p>
    <w:p>
      <w:pPr>
        <w:spacing w:line="600" w:lineRule="exact"/>
        <w:jc w:val="center"/>
        <w:rPr>
          <w:rFonts w:hint="eastAsia" w:ascii="黑体" w:eastAsia="黑体"/>
          <w:sz w:val="40"/>
          <w:szCs w:val="36"/>
        </w:rPr>
      </w:pPr>
      <w:r>
        <w:rPr>
          <w:rFonts w:hint="eastAsia" w:ascii="黑体" w:eastAsia="黑体"/>
          <w:sz w:val="40"/>
          <w:szCs w:val="36"/>
        </w:rPr>
        <w:t xml:space="preserve">目    录  </w:t>
      </w:r>
    </w:p>
    <w:p>
      <w:pPr>
        <w:widowControl/>
        <w:spacing w:line="600" w:lineRule="exact"/>
        <w:ind w:firstLine="640"/>
        <w:jc w:val="left"/>
        <w:rPr>
          <w:rFonts w:hint="eastAsia" w:ascii="仿宋_GB2312" w:eastAsia="仿宋_GB2312"/>
          <w:sz w:val="32"/>
          <w:szCs w:val="30"/>
        </w:rPr>
      </w:pPr>
    </w:p>
    <w:p>
      <w:pPr>
        <w:widowControl/>
        <w:spacing w:line="600" w:lineRule="exact"/>
        <w:ind w:firstLine="640"/>
        <w:jc w:val="left"/>
        <w:rPr>
          <w:rFonts w:hint="eastAsia" w:ascii="黑体" w:hAnsi="黑体" w:eastAsia="黑体"/>
          <w:b/>
          <w:sz w:val="32"/>
          <w:szCs w:val="32"/>
        </w:rPr>
      </w:pPr>
      <w:r>
        <w:rPr>
          <w:rFonts w:hint="eastAsia" w:ascii="黑体" w:hAnsi="黑体" w:eastAsia="黑体"/>
          <w:b/>
          <w:sz w:val="32"/>
          <w:szCs w:val="32"/>
        </w:rPr>
        <w:t xml:space="preserve">第一部分  </w:t>
      </w:r>
      <w:r>
        <w:rPr>
          <w:rFonts w:hint="eastAsia" w:ascii="黑体" w:hAnsi="黑体" w:eastAsia="黑体"/>
          <w:b/>
          <w:color w:val="auto"/>
          <w:sz w:val="32"/>
          <w:szCs w:val="32"/>
          <w:lang w:eastAsia="zh-CN"/>
        </w:rPr>
        <w:t>法院</w:t>
      </w:r>
      <w:r>
        <w:rPr>
          <w:rFonts w:hint="eastAsia" w:ascii="黑体" w:hAnsi="黑体" w:eastAsia="黑体"/>
          <w:b/>
          <w:sz w:val="32"/>
          <w:szCs w:val="32"/>
        </w:rPr>
        <w:t>概况</w:t>
      </w:r>
    </w:p>
    <w:p>
      <w:pPr>
        <w:widowControl/>
        <w:spacing w:line="600" w:lineRule="exact"/>
        <w:ind w:firstLine="640"/>
        <w:jc w:val="left"/>
        <w:rPr>
          <w:rFonts w:hint="eastAsia" w:ascii="仿宋" w:hAnsi="仿宋" w:eastAsia="仿宋"/>
          <w:sz w:val="32"/>
          <w:szCs w:val="30"/>
        </w:rPr>
      </w:pPr>
      <w:r>
        <w:rPr>
          <w:rFonts w:hint="eastAsia" w:ascii="仿宋_GB2312" w:eastAsia="仿宋_GB2312"/>
          <w:b/>
          <w:sz w:val="32"/>
          <w:szCs w:val="30"/>
        </w:rPr>
        <w:t xml:space="preserve">    </w:t>
      </w:r>
      <w:r>
        <w:rPr>
          <w:rFonts w:hint="eastAsia" w:ascii="仿宋" w:hAnsi="仿宋" w:eastAsia="仿宋"/>
          <w:sz w:val="32"/>
          <w:szCs w:val="30"/>
        </w:rPr>
        <w:t>一、部门主要职责</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二、部门基本情况</w:t>
      </w:r>
    </w:p>
    <w:p>
      <w:pPr>
        <w:widowControl/>
        <w:spacing w:line="600" w:lineRule="exact"/>
        <w:ind w:firstLine="640"/>
        <w:jc w:val="left"/>
        <w:rPr>
          <w:rFonts w:hint="eastAsia" w:ascii="黑体" w:hAnsi="黑体" w:eastAsia="黑体"/>
          <w:sz w:val="32"/>
          <w:szCs w:val="32"/>
        </w:rPr>
      </w:pPr>
      <w:r>
        <w:rPr>
          <w:rFonts w:hint="eastAsia" w:ascii="黑体" w:hAnsi="黑体" w:eastAsia="黑体"/>
          <w:sz w:val="32"/>
          <w:szCs w:val="32"/>
        </w:rPr>
        <w:t>第二部分  2018年度部门决算表</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一、收入支出决算总表</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二、收入决算表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三、支出决算表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四、财政拨款收入支出决算总表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五、一般公共预算财政拨款支出决算表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六、一般公共预算财政拨款基本支出决算表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七、一般公共预算财政拨款“三公”经费支出决算</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八、政府性基金预算财政拨款收入支出决算表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九、国有资产占用情况表</w:t>
      </w:r>
    </w:p>
    <w:p>
      <w:pPr>
        <w:widowControl/>
        <w:spacing w:line="600" w:lineRule="exact"/>
        <w:jc w:val="left"/>
        <w:rPr>
          <w:rFonts w:hint="eastAsia" w:ascii="黑体" w:hAnsi="黑体" w:eastAsia="黑体"/>
          <w:sz w:val="32"/>
          <w:szCs w:val="32"/>
        </w:rPr>
      </w:pPr>
      <w:r>
        <w:rPr>
          <w:rFonts w:hint="eastAsia" w:ascii="仿宋" w:hAnsi="仿宋" w:eastAsia="仿宋" w:cs="宋体"/>
          <w:kern w:val="0"/>
          <w:sz w:val="32"/>
          <w:szCs w:val="32"/>
        </w:rPr>
        <w:t xml:space="preserve">    </w:t>
      </w:r>
      <w:r>
        <w:rPr>
          <w:rFonts w:hint="eastAsia" w:ascii="黑体" w:hAnsi="黑体" w:eastAsia="黑体"/>
          <w:sz w:val="32"/>
          <w:szCs w:val="32"/>
        </w:rPr>
        <w:t>第三部分  2018年度部门决算情况说明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三、财政拨款支出决算情况说明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四、一般公共预算财政拨款基本支出决算情况说明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五、一般公共预算财政拨款“三公”经费支出决算</w:t>
      </w:r>
    </w:p>
    <w:p>
      <w:pPr>
        <w:widowControl/>
        <w:spacing w:line="600" w:lineRule="exact"/>
        <w:jc w:val="left"/>
        <w:rPr>
          <w:rFonts w:hint="eastAsia" w:ascii="仿宋" w:hAnsi="仿宋" w:eastAsia="仿宋"/>
          <w:sz w:val="32"/>
          <w:szCs w:val="30"/>
        </w:rPr>
      </w:pPr>
      <w:r>
        <w:rPr>
          <w:rFonts w:hint="eastAsia" w:ascii="仿宋" w:hAnsi="仿宋" w:eastAsia="仿宋"/>
          <w:sz w:val="32"/>
          <w:szCs w:val="30"/>
        </w:rPr>
        <w:t xml:space="preserve">    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六、机关运行经费支出情况说明</w:t>
      </w:r>
    </w:p>
    <w:p>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七、政府采购支出情况说明</w:t>
      </w:r>
    </w:p>
    <w:p>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八、国有资产占用情况说明</w:t>
      </w:r>
    </w:p>
    <w:p>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九、预算绩效情况说明</w:t>
      </w:r>
    </w:p>
    <w:p>
      <w:pPr>
        <w:widowControl/>
        <w:spacing w:line="600" w:lineRule="exact"/>
        <w:ind w:firstLine="640"/>
        <w:jc w:val="left"/>
        <w:rPr>
          <w:rFonts w:ascii="仿宋" w:hAnsi="仿宋" w:eastAsia="仿宋"/>
          <w:sz w:val="32"/>
          <w:szCs w:val="30"/>
        </w:rPr>
      </w:pPr>
      <w:r>
        <w:rPr>
          <w:rFonts w:hint="eastAsia" w:ascii="黑体" w:hAnsi="黑体" w:eastAsia="黑体"/>
          <w:sz w:val="32"/>
          <w:szCs w:val="32"/>
        </w:rPr>
        <w:t>第四部分  名词解释</w:t>
      </w: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widowControl/>
        <w:spacing w:line="580" w:lineRule="exact"/>
        <w:jc w:val="center"/>
        <w:rPr>
          <w:rFonts w:hint="eastAsia" w:ascii="宋体" w:hAnsi="宋体"/>
          <w:b/>
          <w:sz w:val="32"/>
          <w:szCs w:val="30"/>
        </w:rPr>
      </w:pPr>
      <w:r>
        <w:rPr>
          <w:rFonts w:hint="eastAsia" w:ascii="宋体" w:hAnsi="宋体"/>
          <w:b/>
          <w:sz w:val="32"/>
          <w:szCs w:val="30"/>
        </w:rPr>
        <w:t xml:space="preserve">第一部分  </w:t>
      </w:r>
      <w:r>
        <w:rPr>
          <w:rFonts w:hint="eastAsia" w:ascii="宋体" w:hAnsi="宋体"/>
          <w:b/>
          <w:sz w:val="32"/>
          <w:szCs w:val="32"/>
          <w:lang w:eastAsia="zh-CN"/>
        </w:rPr>
        <w:t>法院</w:t>
      </w:r>
      <w:r>
        <w:rPr>
          <w:rFonts w:hint="eastAsia" w:ascii="宋体" w:hAnsi="宋体"/>
          <w:b/>
          <w:sz w:val="32"/>
          <w:szCs w:val="32"/>
        </w:rPr>
        <w:t>部门</w:t>
      </w:r>
      <w:r>
        <w:rPr>
          <w:rFonts w:hint="eastAsia" w:ascii="宋体" w:hAnsi="宋体"/>
          <w:b/>
          <w:sz w:val="32"/>
          <w:szCs w:val="30"/>
        </w:rPr>
        <w:t>概况</w:t>
      </w:r>
    </w:p>
    <w:p>
      <w:pPr>
        <w:ind w:firstLine="630"/>
        <w:jc w:val="center"/>
        <w:rPr>
          <w:rFonts w:hint="eastAsia"/>
          <w:sz w:val="32"/>
          <w:szCs w:val="32"/>
        </w:rPr>
      </w:pPr>
    </w:p>
    <w:p>
      <w:pPr>
        <w:ind w:firstLine="630"/>
        <w:jc w:val="left"/>
        <w:rPr>
          <w:rFonts w:hint="eastAsia" w:ascii="黑体" w:hAnsi="黑体" w:eastAsia="黑体"/>
          <w:sz w:val="30"/>
          <w:szCs w:val="30"/>
        </w:rPr>
      </w:pPr>
      <w:r>
        <w:rPr>
          <w:rFonts w:hint="eastAsia" w:ascii="黑体" w:hAnsi="黑体" w:eastAsia="黑体"/>
          <w:sz w:val="30"/>
          <w:szCs w:val="30"/>
        </w:rPr>
        <w:t>一、部门主要职能</w:t>
      </w:r>
    </w:p>
    <w:p>
      <w:pPr>
        <w:pStyle w:val="2"/>
        <w:widowControl/>
        <w:shd w:val="clear" w:color="auto" w:fill="FFFFFF"/>
        <w:spacing w:line="285" w:lineRule="atLeast"/>
        <w:ind w:firstLine="600" w:firstLineChars="200"/>
        <w:rPr>
          <w:rFonts w:hint="eastAsia" w:ascii="宋体" w:hAnsi="宋体" w:cs="宋体"/>
          <w:color w:val="000000"/>
        </w:rPr>
      </w:pPr>
      <w:r>
        <w:rPr>
          <w:rFonts w:hint="eastAsia" w:ascii="仿宋" w:hAnsi="仿宋" w:eastAsia="仿宋" w:cs="Times New Roman"/>
          <w:kern w:val="2"/>
          <w:sz w:val="30"/>
          <w:szCs w:val="30"/>
          <w:lang w:val="en-US" w:eastAsia="zh-CN" w:bidi="ar-SA"/>
        </w:rPr>
        <w:t>庐山市人民法院是国家审判机关，依法行使审判权，在市委的领导下，对庐山市人民代表大会及其常务委员会负责并报告工作，审判工作受市人民法院的监督和指导。其只要职责是：依法审判法律规定由基层人民法院管辖的刑事、民事、行政案件。受理由基层人民法院管辖的各类申诉和申请再审案件，对其中确有错误的已发生法律效力的判决、裁定，进行再审。审判由庐山市人民检察院按照审判监督程序提出的抗诉案件。依法执行和协调执行一审发生法律效力的判决、裁定和委托执行的案件以及国家行政机关依法申请执行的案件。依法受理的国家赔偿案件；审查、处理国家赔偿胜诉案件。负责人民法院思想政治工作、纪检监察工作和队伍管理、培训、教育工作；按照权限管理法官、执行员、书记员和司法警察。在审判工作中宣传法制，教育公民忠于社会主义祖国、自觉遵守宪法、法律和社会公德；积极参与社会治安综合治理，落实依法治理工作。承办其他应</w:t>
      </w:r>
      <w:r>
        <w:rPr>
          <w:rFonts w:hint="eastAsia" w:ascii="宋体" w:hAnsi="宋体" w:cs="宋体"/>
          <w:color w:val="000000"/>
          <w:shd w:val="clear" w:color="auto" w:fill="FFFFFF"/>
        </w:rPr>
        <w:t>由基层人民法院负责的工作。</w:t>
      </w:r>
    </w:p>
    <w:p>
      <w:pPr>
        <w:ind w:firstLine="630"/>
        <w:jc w:val="left"/>
        <w:rPr>
          <w:rFonts w:hint="eastAsia" w:ascii="黑体" w:hAnsi="黑体" w:eastAsia="黑体"/>
          <w:sz w:val="30"/>
          <w:szCs w:val="30"/>
        </w:rPr>
      </w:pPr>
      <w:r>
        <w:rPr>
          <w:rFonts w:hint="eastAsia" w:ascii="黑体" w:hAnsi="黑体" w:eastAsia="黑体"/>
          <w:sz w:val="30"/>
          <w:szCs w:val="30"/>
        </w:rPr>
        <w:t>二、部门基本情况</w:t>
      </w:r>
    </w:p>
    <w:p>
      <w:pPr>
        <w:spacing w:beforeLines="0" w:afterLines="0"/>
        <w:ind w:firstLine="630"/>
        <w:jc w:val="left"/>
        <w:rPr>
          <w:rFonts w:hint="default" w:ascii="Times New Roman" w:hAnsi="Times New Roman" w:eastAsia="Times New Roman"/>
          <w:sz w:val="30"/>
          <w:lang w:val="en-US"/>
        </w:rPr>
      </w:pPr>
      <w:r>
        <w:rPr>
          <w:rFonts w:hint="eastAsia" w:ascii="仿宋" w:hAnsi="仿宋" w:eastAsia="仿宋"/>
          <w:sz w:val="30"/>
          <w:lang w:val="en-US"/>
        </w:rPr>
        <w:t>纳入本套部门决算汇编范围的单位共1个，包括庐山市人民法院本级。</w:t>
      </w:r>
    </w:p>
    <w:p>
      <w:pPr>
        <w:ind w:firstLine="630"/>
        <w:jc w:val="left"/>
        <w:rPr>
          <w:rFonts w:hint="eastAsia" w:ascii="宋体" w:hAnsi="宋体"/>
          <w:b/>
          <w:sz w:val="32"/>
          <w:szCs w:val="32"/>
        </w:rPr>
      </w:pPr>
      <w:r>
        <w:rPr>
          <w:rFonts w:hint="eastAsia" w:ascii="仿宋" w:hAnsi="仿宋" w:eastAsia="仿宋"/>
          <w:sz w:val="30"/>
          <w:szCs w:val="30"/>
        </w:rPr>
        <w:t xml:space="preserve">本部门2018年年末编制人数 </w:t>
      </w:r>
      <w:r>
        <w:rPr>
          <w:rFonts w:hint="eastAsia" w:ascii="仿宋" w:hAnsi="仿宋" w:eastAsia="仿宋"/>
          <w:sz w:val="30"/>
          <w:szCs w:val="30"/>
          <w:lang w:val="en-US" w:eastAsia="zh-CN"/>
        </w:rPr>
        <w:t>63</w:t>
      </w:r>
      <w:r>
        <w:rPr>
          <w:rFonts w:hint="eastAsia" w:ascii="仿宋" w:hAnsi="仿宋" w:eastAsia="仿宋"/>
          <w:sz w:val="30"/>
          <w:szCs w:val="30"/>
        </w:rPr>
        <w:t xml:space="preserve"> 人，其中行政编制</w:t>
      </w:r>
      <w:r>
        <w:rPr>
          <w:rFonts w:hint="eastAsia" w:ascii="仿宋" w:hAnsi="仿宋" w:eastAsia="仿宋"/>
          <w:sz w:val="30"/>
          <w:szCs w:val="30"/>
          <w:lang w:val="en-US" w:eastAsia="zh-CN"/>
        </w:rPr>
        <w:t>58</w:t>
      </w:r>
      <w:r>
        <w:rPr>
          <w:rFonts w:hint="eastAsia" w:ascii="仿宋" w:hAnsi="仿宋" w:eastAsia="仿宋"/>
          <w:sz w:val="30"/>
          <w:szCs w:val="30"/>
        </w:rPr>
        <w:t xml:space="preserve">人；年末实有人数 </w:t>
      </w:r>
      <w:r>
        <w:rPr>
          <w:rFonts w:hint="eastAsia" w:ascii="仿宋" w:hAnsi="仿宋" w:eastAsia="仿宋"/>
          <w:sz w:val="30"/>
          <w:szCs w:val="30"/>
          <w:lang w:val="en-US" w:eastAsia="zh-CN"/>
        </w:rPr>
        <w:t>109</w:t>
      </w:r>
      <w:r>
        <w:rPr>
          <w:rFonts w:hint="eastAsia" w:ascii="仿宋" w:hAnsi="仿宋" w:eastAsia="仿宋"/>
          <w:sz w:val="30"/>
          <w:szCs w:val="30"/>
        </w:rPr>
        <w:t xml:space="preserve">  人，其中在职人员 </w:t>
      </w:r>
      <w:r>
        <w:rPr>
          <w:rFonts w:hint="eastAsia" w:ascii="仿宋" w:hAnsi="仿宋" w:eastAsia="仿宋"/>
          <w:sz w:val="30"/>
          <w:szCs w:val="30"/>
          <w:lang w:val="en-US" w:eastAsia="zh-CN"/>
        </w:rPr>
        <w:t>58</w:t>
      </w:r>
      <w:r>
        <w:rPr>
          <w:rFonts w:hint="eastAsia" w:ascii="仿宋" w:hAnsi="仿宋" w:eastAsia="仿宋"/>
          <w:sz w:val="30"/>
          <w:szCs w:val="30"/>
        </w:rPr>
        <w:t xml:space="preserve"> 人，退休人员 </w:t>
      </w:r>
      <w:r>
        <w:rPr>
          <w:rFonts w:hint="eastAsia" w:ascii="仿宋" w:hAnsi="仿宋" w:eastAsia="仿宋"/>
          <w:sz w:val="30"/>
          <w:szCs w:val="30"/>
          <w:lang w:val="en-US" w:eastAsia="zh-CN"/>
        </w:rPr>
        <w:t>20</w:t>
      </w:r>
      <w:r>
        <w:rPr>
          <w:rFonts w:hint="eastAsia" w:ascii="仿宋" w:hAnsi="仿宋" w:eastAsia="仿宋"/>
          <w:sz w:val="30"/>
          <w:szCs w:val="30"/>
        </w:rPr>
        <w:t xml:space="preserve">  人</w:t>
      </w:r>
      <w:r>
        <w:rPr>
          <w:rFonts w:hint="eastAsia" w:ascii="仿宋" w:hAnsi="仿宋" w:eastAsia="仿宋"/>
          <w:sz w:val="30"/>
          <w:szCs w:val="30"/>
          <w:lang w:eastAsia="zh-CN"/>
        </w:rPr>
        <w:t>。</w:t>
      </w: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r>
        <w:rPr>
          <w:rFonts w:hint="eastAsia" w:ascii="宋体" w:hAnsi="宋体"/>
          <w:b/>
          <w:sz w:val="32"/>
          <w:szCs w:val="32"/>
        </w:rPr>
        <w:t>第二部分  2018年度部门决算表</w:t>
      </w: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72405" cy="7007225"/>
            <wp:effectExtent l="0" t="0" r="4445" b="3175"/>
            <wp:docPr id="20" name="图片 20" descr="cce415f97d192d12f5c7e36ffc1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cce415f97d192d12f5c7e36ffc11092"/>
                    <pic:cNvPicPr>
                      <a:picLocks noChangeAspect="1"/>
                    </pic:cNvPicPr>
                  </pic:nvPicPr>
                  <pic:blipFill>
                    <a:blip r:embed="rId4"/>
                    <a:stretch>
                      <a:fillRect/>
                    </a:stretch>
                  </pic:blipFill>
                  <pic:spPr>
                    <a:xfrm>
                      <a:off x="0" y="0"/>
                      <a:ext cx="5272405" cy="7007225"/>
                    </a:xfrm>
                    <a:prstGeom prst="rect">
                      <a:avLst/>
                    </a:prstGeom>
                  </pic:spPr>
                </pic:pic>
              </a:graphicData>
            </a:graphic>
          </wp:inline>
        </w:drawing>
      </w:r>
    </w:p>
    <w:p>
      <w:pPr>
        <w:autoSpaceDE w:val="0"/>
        <w:autoSpaceDN w:val="0"/>
        <w:adjustRightInd w:val="0"/>
        <w:spacing w:line="360" w:lineRule="auto"/>
        <w:jc w:val="left"/>
        <w:rPr>
          <w:rFonts w:hint="eastAsia" w:eastAsia="宋体"/>
          <w:szCs w:val="30"/>
          <w:lang w:eastAsia="zh-CN"/>
        </w:rPr>
      </w:pPr>
    </w:p>
    <w:p>
      <w:pPr>
        <w:autoSpaceDE w:val="0"/>
        <w:autoSpaceDN w:val="0"/>
        <w:adjustRightInd w:val="0"/>
        <w:spacing w:line="360" w:lineRule="auto"/>
        <w:jc w:val="left"/>
        <w:rPr>
          <w:rFonts w:hint="eastAsia" w:eastAsia="宋体"/>
          <w:szCs w:val="30"/>
          <w:lang w:eastAsia="zh-CN"/>
        </w:rPr>
      </w:pPr>
    </w:p>
    <w:p>
      <w:pPr>
        <w:autoSpaceDE w:val="0"/>
        <w:autoSpaceDN w:val="0"/>
        <w:adjustRightInd w:val="0"/>
        <w:spacing w:line="360" w:lineRule="auto"/>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drawing>
          <wp:inline distT="0" distB="0" distL="114300" distR="114300">
            <wp:extent cx="5270500" cy="4440555"/>
            <wp:effectExtent l="0" t="0" r="6350" b="17145"/>
            <wp:docPr id="22" name="图片 22" descr="b42d9824619984c2d18ef01e7c20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b42d9824619984c2d18ef01e7c20370"/>
                    <pic:cNvPicPr>
                      <a:picLocks noChangeAspect="1"/>
                    </pic:cNvPicPr>
                  </pic:nvPicPr>
                  <pic:blipFill>
                    <a:blip r:embed="rId5"/>
                    <a:stretch>
                      <a:fillRect/>
                    </a:stretch>
                  </pic:blipFill>
                  <pic:spPr>
                    <a:xfrm>
                      <a:off x="0" y="0"/>
                      <a:ext cx="5270500" cy="4440555"/>
                    </a:xfrm>
                    <a:prstGeom prst="rect">
                      <a:avLst/>
                    </a:prstGeom>
                  </pic:spPr>
                </pic:pic>
              </a:graphicData>
            </a:graphic>
          </wp:inline>
        </w:drawing>
      </w:r>
    </w:p>
    <w:p>
      <w:pPr>
        <w:autoSpaceDE w:val="0"/>
        <w:autoSpaceDN w:val="0"/>
        <w:adjustRightInd w:val="0"/>
        <w:spacing w:line="360" w:lineRule="auto"/>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rPr>
        <w:t xml:space="preserve"> </w:t>
      </w:r>
      <w:r>
        <w:rPr>
          <w:rFonts w:hint="eastAsia" w:ascii="仿宋" w:hAnsi="仿宋" w:eastAsia="仿宋" w:cs="仿宋_GB2312"/>
          <w:kern w:val="0"/>
          <w:sz w:val="30"/>
          <w:szCs w:val="30"/>
          <w:lang w:eastAsia="zh-CN"/>
        </w:rPr>
        <w:drawing>
          <wp:inline distT="0" distB="0" distL="114300" distR="114300">
            <wp:extent cx="5274310" cy="3714750"/>
            <wp:effectExtent l="0" t="0" r="2540" b="0"/>
            <wp:docPr id="12" name="图片 12" descr="4a81af106b3dc0fa536d2283110c97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4a81af106b3dc0fa536d2283110c97a"/>
                    <pic:cNvPicPr>
                      <a:picLocks noChangeAspect="1"/>
                    </pic:cNvPicPr>
                  </pic:nvPicPr>
                  <pic:blipFill>
                    <a:blip r:embed="rId6"/>
                    <a:stretch>
                      <a:fillRect/>
                    </a:stretch>
                  </pic:blipFill>
                  <pic:spPr>
                    <a:xfrm>
                      <a:off x="0" y="0"/>
                      <a:ext cx="5274310" cy="3714750"/>
                    </a:xfrm>
                    <a:prstGeom prst="rect">
                      <a:avLst/>
                    </a:prstGeom>
                  </pic:spPr>
                </pic:pic>
              </a:graphicData>
            </a:graphic>
          </wp:inline>
        </w:drawing>
      </w:r>
    </w:p>
    <w:p>
      <w:pPr>
        <w:autoSpaceDE w:val="0"/>
        <w:autoSpaceDN w:val="0"/>
        <w:adjustRightInd w:val="0"/>
        <w:spacing w:line="360" w:lineRule="auto"/>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drawing>
          <wp:inline distT="0" distB="0" distL="114300" distR="114300">
            <wp:extent cx="5268595" cy="3582035"/>
            <wp:effectExtent l="0" t="0" r="8255" b="18415"/>
            <wp:docPr id="13" name="图片 13" descr="b001a125ce1131d21d6924e37560d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b001a125ce1131d21d6924e37560d12"/>
                    <pic:cNvPicPr>
                      <a:picLocks noChangeAspect="1"/>
                    </pic:cNvPicPr>
                  </pic:nvPicPr>
                  <pic:blipFill>
                    <a:blip r:embed="rId7"/>
                    <a:stretch>
                      <a:fillRect/>
                    </a:stretch>
                  </pic:blipFill>
                  <pic:spPr>
                    <a:xfrm>
                      <a:off x="0" y="0"/>
                      <a:ext cx="5268595" cy="3582035"/>
                    </a:xfrm>
                    <a:prstGeom prst="rect">
                      <a:avLst/>
                    </a:prstGeom>
                  </pic:spPr>
                </pic:pic>
              </a:graphicData>
            </a:graphic>
          </wp:inline>
        </w:drawing>
      </w: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drawing>
          <wp:inline distT="0" distB="0" distL="114300" distR="114300">
            <wp:extent cx="5271770" cy="4972050"/>
            <wp:effectExtent l="0" t="0" r="5080" b="0"/>
            <wp:docPr id="15" name="图片 15" descr="b219aea59d96d3d12f7ffcb032ce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b219aea59d96d3d12f7ffcb032ce229"/>
                    <pic:cNvPicPr>
                      <a:picLocks noChangeAspect="1"/>
                    </pic:cNvPicPr>
                  </pic:nvPicPr>
                  <pic:blipFill>
                    <a:blip r:embed="rId8"/>
                    <a:stretch>
                      <a:fillRect/>
                    </a:stretch>
                  </pic:blipFill>
                  <pic:spPr>
                    <a:xfrm>
                      <a:off x="0" y="0"/>
                      <a:ext cx="5271770" cy="4972050"/>
                    </a:xfrm>
                    <a:prstGeom prst="rect">
                      <a:avLst/>
                    </a:prstGeom>
                  </pic:spPr>
                </pic:pic>
              </a:graphicData>
            </a:graphic>
          </wp:inline>
        </w:drawing>
      </w:r>
    </w:p>
    <w:p>
      <w:pPr>
        <w:autoSpaceDE w:val="0"/>
        <w:autoSpaceDN w:val="0"/>
        <w:adjustRightInd w:val="0"/>
        <w:spacing w:line="360" w:lineRule="auto"/>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drawing>
          <wp:inline distT="0" distB="0" distL="114300" distR="114300">
            <wp:extent cx="5270500" cy="3321685"/>
            <wp:effectExtent l="0" t="0" r="6350" b="12065"/>
            <wp:docPr id="16" name="图片 16" descr="a445f77643516b59c52b73092df35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a445f77643516b59c52b73092df35a1"/>
                    <pic:cNvPicPr>
                      <a:picLocks noChangeAspect="1"/>
                    </pic:cNvPicPr>
                  </pic:nvPicPr>
                  <pic:blipFill>
                    <a:blip r:embed="rId9"/>
                    <a:stretch>
                      <a:fillRect/>
                    </a:stretch>
                  </pic:blipFill>
                  <pic:spPr>
                    <a:xfrm>
                      <a:off x="0" y="0"/>
                      <a:ext cx="5270500" cy="3321685"/>
                    </a:xfrm>
                    <a:prstGeom prst="rect">
                      <a:avLst/>
                    </a:prstGeom>
                  </pic:spPr>
                </pic:pic>
              </a:graphicData>
            </a:graphic>
          </wp:inline>
        </w:drawing>
      </w:r>
    </w:p>
    <w:p>
      <w:pPr>
        <w:autoSpaceDE w:val="0"/>
        <w:autoSpaceDN w:val="0"/>
        <w:adjustRightInd w:val="0"/>
        <w:spacing w:line="360" w:lineRule="auto"/>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drawing>
          <wp:inline distT="0" distB="0" distL="114300" distR="114300">
            <wp:extent cx="5273040" cy="3269615"/>
            <wp:effectExtent l="0" t="0" r="3810" b="6985"/>
            <wp:docPr id="17" name="图片 17" descr="b6366e2a39ba98030dc4d0ba1b80b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b6366e2a39ba98030dc4d0ba1b80b7e"/>
                    <pic:cNvPicPr>
                      <a:picLocks noChangeAspect="1"/>
                    </pic:cNvPicPr>
                  </pic:nvPicPr>
                  <pic:blipFill>
                    <a:blip r:embed="rId10"/>
                    <a:stretch>
                      <a:fillRect/>
                    </a:stretch>
                  </pic:blipFill>
                  <pic:spPr>
                    <a:xfrm>
                      <a:off x="0" y="0"/>
                      <a:ext cx="5273040" cy="3269615"/>
                    </a:xfrm>
                    <a:prstGeom prst="rect">
                      <a:avLst/>
                    </a:prstGeom>
                  </pic:spPr>
                </pic:pic>
              </a:graphicData>
            </a:graphic>
          </wp:inline>
        </w:drawing>
      </w:r>
    </w:p>
    <w:p>
      <w:pPr>
        <w:autoSpaceDE w:val="0"/>
        <w:autoSpaceDN w:val="0"/>
        <w:adjustRightInd w:val="0"/>
        <w:spacing w:line="360" w:lineRule="auto"/>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drawing>
          <wp:inline distT="0" distB="0" distL="114300" distR="114300">
            <wp:extent cx="5267960" cy="4714240"/>
            <wp:effectExtent l="0" t="0" r="8890" b="10160"/>
            <wp:docPr id="18" name="图片 18" descr="5f5419ba5e3ad23056d5cf56019777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5f5419ba5e3ad23056d5cf56019777f"/>
                    <pic:cNvPicPr>
                      <a:picLocks noChangeAspect="1"/>
                    </pic:cNvPicPr>
                  </pic:nvPicPr>
                  <pic:blipFill>
                    <a:blip r:embed="rId11"/>
                    <a:stretch>
                      <a:fillRect/>
                    </a:stretch>
                  </pic:blipFill>
                  <pic:spPr>
                    <a:xfrm>
                      <a:off x="0" y="0"/>
                      <a:ext cx="5267960" cy="4714240"/>
                    </a:xfrm>
                    <a:prstGeom prst="rect">
                      <a:avLst/>
                    </a:prstGeom>
                  </pic:spPr>
                </pic:pic>
              </a:graphicData>
            </a:graphic>
          </wp:inline>
        </w:drawing>
      </w: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71135" cy="5046345"/>
            <wp:effectExtent l="0" t="0" r="5715" b="1905"/>
            <wp:docPr id="23" name="图片 23" descr="85326935c10fed72b8aa2969d5a95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85326935c10fed72b8aa2969d5a95df"/>
                    <pic:cNvPicPr>
                      <a:picLocks noChangeAspect="1"/>
                    </pic:cNvPicPr>
                  </pic:nvPicPr>
                  <pic:blipFill>
                    <a:blip r:embed="rId12"/>
                    <a:stretch>
                      <a:fillRect/>
                    </a:stretch>
                  </pic:blipFill>
                  <pic:spPr>
                    <a:xfrm>
                      <a:off x="0" y="0"/>
                      <a:ext cx="5271135" cy="5046345"/>
                    </a:xfrm>
                    <a:prstGeom prst="rect">
                      <a:avLst/>
                    </a:prstGeom>
                  </pic:spPr>
                </pic:pic>
              </a:graphicData>
            </a:graphic>
          </wp:inline>
        </w:drawing>
      </w: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eastAsia="宋体"/>
          <w:szCs w:val="30"/>
          <w:lang w:eastAsia="zh-CN"/>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r>
        <w:rPr>
          <w:rFonts w:hint="eastAsia"/>
          <w:szCs w:val="30"/>
        </w:rPr>
        <w:drawing>
          <wp:inline distT="0" distB="0" distL="114300" distR="114300">
            <wp:extent cx="5270500" cy="2127250"/>
            <wp:effectExtent l="0" t="0" r="6350" b="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pic:cNvPicPr>
                      <a:picLocks noChangeAspect="1"/>
                    </pic:cNvPicPr>
                  </pic:nvPicPr>
                  <pic:blipFill>
                    <a:blip r:embed="rId13"/>
                    <a:stretch>
                      <a:fillRect/>
                    </a:stretch>
                  </pic:blipFill>
                  <pic:spPr>
                    <a:xfrm>
                      <a:off x="0" y="0"/>
                      <a:ext cx="5270500" cy="2127250"/>
                    </a:xfrm>
                    <a:prstGeom prst="rect">
                      <a:avLst/>
                    </a:prstGeom>
                    <a:noFill/>
                    <a:ln>
                      <a:noFill/>
                    </a:ln>
                  </pic:spPr>
                </pic:pic>
              </a:graphicData>
            </a:graphic>
          </wp:inline>
        </w:drawing>
      </w: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drawing>
          <wp:inline distT="0" distB="0" distL="114300" distR="114300">
            <wp:extent cx="5269865" cy="3699510"/>
            <wp:effectExtent l="0" t="0" r="6985" b="15240"/>
            <wp:docPr id="25" name="图片 25" descr="2c1f04d306bd48a538ca6559b1d58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2c1f04d306bd48a538ca6559b1d58e9"/>
                    <pic:cNvPicPr>
                      <a:picLocks noChangeAspect="1"/>
                    </pic:cNvPicPr>
                  </pic:nvPicPr>
                  <pic:blipFill>
                    <a:blip r:embed="rId14"/>
                    <a:stretch>
                      <a:fillRect/>
                    </a:stretch>
                  </pic:blipFill>
                  <pic:spPr>
                    <a:xfrm>
                      <a:off x="0" y="0"/>
                      <a:ext cx="5269865" cy="3699510"/>
                    </a:xfrm>
                    <a:prstGeom prst="rect">
                      <a:avLst/>
                    </a:prstGeom>
                  </pic:spPr>
                </pic:pic>
              </a:graphicData>
            </a:graphic>
          </wp:inline>
        </w:drawing>
      </w: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r>
        <w:rPr>
          <w:rFonts w:hint="eastAsia" w:ascii="宋体" w:hAnsi="宋体"/>
          <w:b/>
          <w:sz w:val="32"/>
          <w:szCs w:val="32"/>
        </w:rPr>
        <w:t>第三部分  2018年度部门决算情况说明</w:t>
      </w:r>
    </w:p>
    <w:p>
      <w:pPr>
        <w:ind w:firstLine="630"/>
        <w:jc w:val="left"/>
        <w:rPr>
          <w:rFonts w:hint="eastAsia" w:ascii="仿宋" w:hAnsi="仿宋" w:eastAsia="仿宋"/>
          <w:sz w:val="30"/>
          <w:szCs w:val="30"/>
        </w:rPr>
      </w:pPr>
    </w:p>
    <w:p>
      <w:pPr>
        <w:ind w:firstLine="630"/>
        <w:jc w:val="left"/>
        <w:rPr>
          <w:rFonts w:hint="eastAsia" w:ascii="黑体" w:hAnsi="黑体" w:eastAsia="黑体"/>
          <w:sz w:val="30"/>
          <w:szCs w:val="30"/>
        </w:rPr>
      </w:pPr>
      <w:r>
        <w:rPr>
          <w:rFonts w:hint="eastAsia" w:ascii="黑体" w:hAnsi="黑体" w:eastAsia="黑体"/>
          <w:sz w:val="30"/>
          <w:szCs w:val="30"/>
        </w:rPr>
        <w:t>一、收入决算情况说明</w:t>
      </w:r>
    </w:p>
    <w:p>
      <w:pPr>
        <w:spacing w:beforeLines="0" w:afterLines="0"/>
        <w:ind w:firstLine="630"/>
        <w:jc w:val="left"/>
        <w:rPr>
          <w:rFonts w:hint="eastAsia" w:ascii="仿宋" w:hAnsi="仿宋" w:eastAsia="仿宋"/>
          <w:sz w:val="30"/>
          <w:lang w:val="en-US" w:eastAsia="zh-CN"/>
        </w:rPr>
      </w:pPr>
      <w:r>
        <w:rPr>
          <w:rFonts w:hint="eastAsia" w:ascii="仿宋" w:hAnsi="仿宋" w:eastAsia="仿宋"/>
          <w:sz w:val="30"/>
          <w:lang w:val="en-US"/>
        </w:rPr>
        <w:t>本部门201</w:t>
      </w:r>
      <w:r>
        <w:rPr>
          <w:rFonts w:hint="eastAsia" w:ascii="仿宋" w:hAnsi="仿宋" w:eastAsia="仿宋"/>
          <w:sz w:val="30"/>
          <w:lang w:val="en-US" w:eastAsia="zh-CN"/>
        </w:rPr>
        <w:t>8</w:t>
      </w:r>
      <w:r>
        <w:rPr>
          <w:rFonts w:hint="eastAsia" w:ascii="仿宋" w:hAnsi="仿宋" w:eastAsia="仿宋"/>
          <w:sz w:val="30"/>
          <w:lang w:val="en-US"/>
        </w:rPr>
        <w:t>年度收入总计</w:t>
      </w:r>
      <w:r>
        <w:rPr>
          <w:rFonts w:hint="eastAsia" w:ascii="仿宋" w:hAnsi="仿宋" w:eastAsia="仿宋"/>
          <w:sz w:val="30"/>
          <w:lang w:val="en-US" w:eastAsia="zh-CN"/>
        </w:rPr>
        <w:t>2545</w:t>
      </w:r>
      <w:r>
        <w:rPr>
          <w:rFonts w:hint="eastAsia" w:ascii="仿宋" w:hAnsi="仿宋" w:eastAsia="仿宋"/>
          <w:sz w:val="30"/>
          <w:lang w:val="en-US"/>
        </w:rPr>
        <w:t>万元，其中上年结转和结余</w:t>
      </w:r>
      <w:r>
        <w:rPr>
          <w:rFonts w:hint="eastAsia" w:ascii="仿宋" w:hAnsi="仿宋" w:eastAsia="仿宋"/>
          <w:sz w:val="30"/>
          <w:lang w:val="en-US" w:eastAsia="zh-CN"/>
        </w:rPr>
        <w:t>721</w:t>
      </w:r>
      <w:r>
        <w:rPr>
          <w:rFonts w:hint="eastAsia" w:ascii="仿宋" w:hAnsi="仿宋" w:eastAsia="仿宋"/>
          <w:sz w:val="30"/>
          <w:lang w:val="en-US"/>
        </w:rPr>
        <w:t>万元，较上年</w:t>
      </w:r>
      <w:r>
        <w:rPr>
          <w:rFonts w:hint="eastAsia" w:ascii="仿宋" w:hAnsi="仿宋" w:eastAsia="仿宋"/>
          <w:sz w:val="30"/>
          <w:lang w:val="en-US" w:eastAsia="zh-CN"/>
        </w:rPr>
        <w:t>减少85</w:t>
      </w:r>
      <w:r>
        <w:rPr>
          <w:rFonts w:hint="eastAsia" w:ascii="仿宋" w:hAnsi="仿宋" w:eastAsia="仿宋"/>
          <w:sz w:val="30"/>
          <w:lang w:val="en-US"/>
        </w:rPr>
        <w:t>万元；本年收入合计</w:t>
      </w:r>
      <w:r>
        <w:rPr>
          <w:rFonts w:hint="eastAsia" w:ascii="仿宋" w:hAnsi="仿宋" w:eastAsia="仿宋"/>
          <w:sz w:val="30"/>
          <w:lang w:val="en-US" w:eastAsia="zh-CN"/>
        </w:rPr>
        <w:t>1824</w:t>
      </w:r>
      <w:r>
        <w:rPr>
          <w:rFonts w:hint="eastAsia" w:ascii="仿宋" w:hAnsi="仿宋" w:eastAsia="仿宋"/>
          <w:sz w:val="30"/>
          <w:lang w:val="en-US"/>
        </w:rPr>
        <w:t>万元，较上年</w:t>
      </w:r>
      <w:r>
        <w:rPr>
          <w:rFonts w:hint="eastAsia" w:ascii="仿宋" w:hAnsi="仿宋" w:eastAsia="仿宋"/>
          <w:sz w:val="30"/>
          <w:lang w:val="en-US" w:eastAsia="zh-CN"/>
        </w:rPr>
        <w:t>减少18.7</w:t>
      </w:r>
      <w:r>
        <w:rPr>
          <w:rFonts w:hint="eastAsia" w:ascii="仿宋" w:hAnsi="仿宋" w:eastAsia="仿宋"/>
          <w:sz w:val="30"/>
          <w:lang w:val="en-US"/>
        </w:rPr>
        <w:t>%，主要原因是：</w:t>
      </w:r>
      <w:r>
        <w:rPr>
          <w:rFonts w:hint="eastAsia" w:ascii="仿宋" w:hAnsi="仿宋" w:eastAsia="仿宋"/>
          <w:sz w:val="30"/>
          <w:lang w:val="en-US" w:eastAsia="zh-CN"/>
        </w:rPr>
        <w:t>审判大楼去年财政补助较多。</w:t>
      </w:r>
    </w:p>
    <w:p>
      <w:pPr>
        <w:spacing w:beforeLines="0" w:afterLines="0"/>
        <w:ind w:firstLine="630"/>
        <w:jc w:val="left"/>
        <w:rPr>
          <w:rFonts w:hint="eastAsia" w:ascii="仿宋" w:hAnsi="仿宋" w:eastAsia="仿宋"/>
          <w:sz w:val="30"/>
          <w:lang w:val="en-US"/>
        </w:rPr>
      </w:pPr>
      <w:r>
        <w:rPr>
          <w:rFonts w:hint="eastAsia" w:ascii="仿宋" w:hAnsi="仿宋" w:eastAsia="仿宋"/>
          <w:sz w:val="30"/>
          <w:lang w:val="en-US"/>
        </w:rPr>
        <w:t>本年收入的具体构成为：财政拨款收入</w:t>
      </w:r>
      <w:r>
        <w:rPr>
          <w:rFonts w:hint="eastAsia" w:ascii="仿宋" w:hAnsi="仿宋" w:eastAsia="仿宋"/>
          <w:sz w:val="30"/>
          <w:lang w:val="en-US" w:eastAsia="zh-CN"/>
        </w:rPr>
        <w:t>1824</w:t>
      </w:r>
      <w:r>
        <w:rPr>
          <w:rFonts w:hint="eastAsia" w:ascii="仿宋" w:hAnsi="仿宋" w:eastAsia="仿宋"/>
          <w:sz w:val="30"/>
          <w:lang w:val="en-US"/>
        </w:rPr>
        <w:t>万元，占100%。</w:t>
      </w:r>
    </w:p>
    <w:p>
      <w:pPr>
        <w:ind w:firstLine="630"/>
        <w:jc w:val="left"/>
        <w:rPr>
          <w:rFonts w:hint="eastAsia" w:ascii="黑体" w:hAnsi="黑体" w:eastAsia="黑体"/>
          <w:sz w:val="30"/>
          <w:szCs w:val="30"/>
        </w:rPr>
      </w:pPr>
      <w:r>
        <w:rPr>
          <w:rFonts w:hint="eastAsia" w:ascii="黑体" w:hAnsi="黑体" w:eastAsia="黑体"/>
          <w:sz w:val="30"/>
          <w:szCs w:val="30"/>
        </w:rPr>
        <w:t>二、支出决算情况说明</w:t>
      </w:r>
    </w:p>
    <w:p>
      <w:pPr>
        <w:spacing w:beforeLines="0" w:afterLines="0"/>
        <w:ind w:firstLine="630"/>
        <w:jc w:val="left"/>
        <w:rPr>
          <w:rFonts w:hint="eastAsia" w:ascii="仿宋" w:hAnsi="仿宋" w:eastAsia="仿宋"/>
          <w:sz w:val="30"/>
          <w:lang w:val="en-US" w:eastAsia="zh-CN"/>
        </w:rPr>
      </w:pPr>
      <w:r>
        <w:rPr>
          <w:rFonts w:hint="eastAsia" w:ascii="仿宋" w:hAnsi="仿宋" w:eastAsia="仿宋"/>
          <w:sz w:val="30"/>
          <w:lang w:val="en-US"/>
        </w:rPr>
        <w:t>本部门201</w:t>
      </w:r>
      <w:r>
        <w:rPr>
          <w:rFonts w:hint="eastAsia" w:ascii="仿宋" w:hAnsi="仿宋" w:eastAsia="仿宋"/>
          <w:sz w:val="30"/>
          <w:lang w:val="en-US" w:eastAsia="zh-CN"/>
        </w:rPr>
        <w:t>8</w:t>
      </w:r>
      <w:r>
        <w:rPr>
          <w:rFonts w:hint="eastAsia" w:ascii="仿宋" w:hAnsi="仿宋" w:eastAsia="仿宋"/>
          <w:sz w:val="30"/>
          <w:lang w:val="en-US"/>
        </w:rPr>
        <w:t>年度支出总计</w:t>
      </w:r>
      <w:r>
        <w:rPr>
          <w:rFonts w:hint="eastAsia" w:ascii="仿宋" w:hAnsi="仿宋" w:eastAsia="仿宋"/>
          <w:sz w:val="30"/>
          <w:lang w:val="en-US" w:eastAsia="zh-CN"/>
        </w:rPr>
        <w:t>1987</w:t>
      </w:r>
      <w:r>
        <w:rPr>
          <w:rFonts w:hint="eastAsia" w:ascii="仿宋" w:hAnsi="仿宋" w:eastAsia="仿宋"/>
          <w:sz w:val="30"/>
          <w:lang w:val="en-US"/>
        </w:rPr>
        <w:t>万元，其中本年支出合计</w:t>
      </w:r>
      <w:r>
        <w:rPr>
          <w:rFonts w:hint="eastAsia" w:ascii="仿宋" w:hAnsi="仿宋" w:eastAsia="仿宋"/>
          <w:sz w:val="30"/>
          <w:lang w:val="en-US" w:eastAsia="zh-CN"/>
        </w:rPr>
        <w:t>1987</w:t>
      </w:r>
      <w:r>
        <w:rPr>
          <w:rFonts w:hint="eastAsia" w:ascii="仿宋" w:hAnsi="仿宋" w:eastAsia="仿宋"/>
          <w:sz w:val="30"/>
          <w:lang w:val="en-US"/>
        </w:rPr>
        <w:t>万元，较上年</w:t>
      </w:r>
      <w:r>
        <w:rPr>
          <w:rFonts w:hint="eastAsia" w:ascii="仿宋" w:hAnsi="仿宋" w:eastAsia="仿宋"/>
          <w:sz w:val="30"/>
          <w:lang w:val="en-US" w:eastAsia="zh-CN"/>
        </w:rPr>
        <w:t>减少14.75</w:t>
      </w:r>
      <w:r>
        <w:rPr>
          <w:rFonts w:hint="eastAsia" w:ascii="仿宋" w:hAnsi="仿宋" w:eastAsia="仿宋"/>
          <w:sz w:val="30"/>
          <w:lang w:val="en-US"/>
        </w:rPr>
        <w:t>%，主要原因是：</w:t>
      </w:r>
      <w:r>
        <w:rPr>
          <w:rFonts w:hint="eastAsia" w:ascii="仿宋" w:hAnsi="仿宋" w:eastAsia="仿宋"/>
          <w:sz w:val="30"/>
          <w:lang w:val="en-US" w:eastAsia="zh-CN"/>
        </w:rPr>
        <w:t>今年审判大楼资金支付较上年少。</w:t>
      </w:r>
      <w:r>
        <w:rPr>
          <w:rFonts w:hint="eastAsia" w:ascii="仿宋" w:hAnsi="仿宋" w:eastAsia="仿宋"/>
          <w:sz w:val="30"/>
          <w:lang w:val="en-US"/>
        </w:rPr>
        <w:t>年末结转和结余</w:t>
      </w:r>
      <w:r>
        <w:rPr>
          <w:rFonts w:hint="eastAsia" w:ascii="仿宋" w:hAnsi="仿宋" w:eastAsia="仿宋"/>
          <w:sz w:val="30"/>
          <w:lang w:val="en-US" w:eastAsia="zh-CN"/>
        </w:rPr>
        <w:t>558.17</w:t>
      </w:r>
      <w:r>
        <w:rPr>
          <w:rFonts w:hint="eastAsia" w:ascii="仿宋" w:hAnsi="仿宋" w:eastAsia="仿宋"/>
          <w:sz w:val="30"/>
          <w:lang w:val="en-US"/>
        </w:rPr>
        <w:t>万元，较上年</w:t>
      </w:r>
      <w:r>
        <w:rPr>
          <w:rFonts w:hint="eastAsia" w:ascii="仿宋" w:hAnsi="仿宋" w:eastAsia="仿宋"/>
          <w:sz w:val="30"/>
          <w:lang w:val="en-US" w:eastAsia="zh-CN"/>
        </w:rPr>
        <w:t>减少22.58</w:t>
      </w:r>
      <w:r>
        <w:rPr>
          <w:rFonts w:hint="eastAsia" w:ascii="仿宋" w:hAnsi="仿宋" w:eastAsia="仿宋"/>
          <w:sz w:val="30"/>
          <w:lang w:val="en-US"/>
        </w:rPr>
        <w:t>%；主要原因是：</w:t>
      </w:r>
      <w:r>
        <w:rPr>
          <w:rFonts w:hint="eastAsia" w:ascii="仿宋" w:hAnsi="仿宋" w:eastAsia="仿宋"/>
          <w:sz w:val="30"/>
          <w:lang w:val="en-US" w:eastAsia="zh-CN"/>
        </w:rPr>
        <w:t>今年工资福利、项目支出增加，财政补助资金较去年并未增加。</w:t>
      </w:r>
    </w:p>
    <w:p>
      <w:pPr>
        <w:spacing w:beforeLines="0" w:afterLines="0"/>
        <w:ind w:firstLine="630"/>
        <w:jc w:val="left"/>
        <w:rPr>
          <w:rFonts w:hint="default" w:ascii="Times New Roman" w:hAnsi="Times New Roman" w:eastAsia="Times New Roman"/>
          <w:sz w:val="30"/>
          <w:lang w:val="en-US"/>
        </w:rPr>
      </w:pPr>
      <w:r>
        <w:rPr>
          <w:rFonts w:hint="eastAsia" w:ascii="仿宋" w:hAnsi="仿宋" w:eastAsia="仿宋"/>
          <w:sz w:val="30"/>
          <w:lang w:val="en-US"/>
        </w:rPr>
        <w:t>本年支出的具体构成为：基本支出</w:t>
      </w:r>
      <w:r>
        <w:rPr>
          <w:rFonts w:hint="eastAsia" w:ascii="仿宋" w:hAnsi="仿宋" w:eastAsia="仿宋"/>
          <w:sz w:val="30"/>
          <w:lang w:val="en-US" w:eastAsia="zh-CN"/>
        </w:rPr>
        <w:t>1277</w:t>
      </w:r>
      <w:r>
        <w:rPr>
          <w:rFonts w:hint="eastAsia" w:ascii="仿宋" w:hAnsi="仿宋" w:eastAsia="仿宋"/>
          <w:sz w:val="30"/>
          <w:lang w:val="en-US"/>
        </w:rPr>
        <w:t>万元，占</w:t>
      </w:r>
      <w:r>
        <w:rPr>
          <w:rFonts w:hint="eastAsia" w:ascii="仿宋" w:hAnsi="仿宋" w:eastAsia="仿宋"/>
          <w:sz w:val="30"/>
          <w:lang w:val="en-US" w:eastAsia="zh-CN"/>
        </w:rPr>
        <w:t>64.27</w:t>
      </w:r>
      <w:r>
        <w:rPr>
          <w:rFonts w:hint="eastAsia" w:ascii="仿宋" w:hAnsi="仿宋" w:eastAsia="仿宋"/>
          <w:sz w:val="30"/>
          <w:lang w:val="en-US"/>
        </w:rPr>
        <w:t>%;项目支出</w:t>
      </w:r>
      <w:r>
        <w:rPr>
          <w:rFonts w:hint="eastAsia" w:ascii="仿宋" w:hAnsi="仿宋" w:eastAsia="仿宋"/>
          <w:sz w:val="30"/>
          <w:lang w:val="en-US" w:eastAsia="zh-CN"/>
        </w:rPr>
        <w:t>710</w:t>
      </w:r>
      <w:r>
        <w:rPr>
          <w:rFonts w:hint="eastAsia" w:ascii="仿宋" w:hAnsi="仿宋" w:eastAsia="仿宋"/>
          <w:sz w:val="30"/>
          <w:lang w:val="en-US"/>
        </w:rPr>
        <w:t>万元，占</w:t>
      </w:r>
      <w:r>
        <w:rPr>
          <w:rFonts w:hint="eastAsia" w:ascii="仿宋" w:hAnsi="仿宋" w:eastAsia="仿宋"/>
          <w:sz w:val="30"/>
          <w:lang w:val="en-US" w:eastAsia="zh-CN"/>
        </w:rPr>
        <w:t>35.73</w:t>
      </w:r>
      <w:r>
        <w:rPr>
          <w:rFonts w:hint="eastAsia" w:ascii="仿宋" w:hAnsi="仿宋" w:eastAsia="仿宋"/>
          <w:sz w:val="30"/>
          <w:lang w:val="en-US"/>
        </w:rPr>
        <w:t xml:space="preserve">%。 </w:t>
      </w:r>
    </w:p>
    <w:p>
      <w:pPr>
        <w:ind w:firstLine="630"/>
        <w:jc w:val="left"/>
        <w:rPr>
          <w:rFonts w:hint="eastAsia" w:ascii="黑体" w:hAnsi="黑体" w:eastAsia="黑体"/>
          <w:sz w:val="30"/>
          <w:szCs w:val="30"/>
        </w:rPr>
      </w:pPr>
      <w:r>
        <w:rPr>
          <w:rFonts w:hint="eastAsia" w:ascii="黑体" w:hAnsi="黑体" w:eastAsia="黑体"/>
          <w:sz w:val="30"/>
          <w:szCs w:val="30"/>
        </w:rPr>
        <w:t>三、财政拨款支出决算情况说明</w:t>
      </w:r>
    </w:p>
    <w:p>
      <w:pPr>
        <w:spacing w:beforeLines="0" w:afterLines="0"/>
        <w:ind w:firstLine="600" w:firstLineChars="200"/>
        <w:jc w:val="left"/>
        <w:rPr>
          <w:rFonts w:hint="eastAsia" w:ascii="仿宋" w:hAnsi="仿宋" w:eastAsia="仿宋"/>
          <w:sz w:val="30"/>
          <w:lang w:val="en-US" w:eastAsia="zh-CN"/>
        </w:rPr>
      </w:pPr>
      <w:r>
        <w:rPr>
          <w:rFonts w:hint="eastAsia" w:ascii="仿宋" w:hAnsi="仿宋" w:eastAsia="仿宋"/>
          <w:sz w:val="30"/>
          <w:lang w:val="en-US"/>
        </w:rPr>
        <w:t>本部门201</w:t>
      </w:r>
      <w:r>
        <w:rPr>
          <w:rFonts w:hint="eastAsia" w:ascii="仿宋" w:hAnsi="仿宋" w:eastAsia="仿宋"/>
          <w:sz w:val="30"/>
          <w:lang w:val="en-US" w:eastAsia="zh-CN"/>
        </w:rPr>
        <w:t>8</w:t>
      </w:r>
      <w:r>
        <w:rPr>
          <w:rFonts w:hint="eastAsia" w:ascii="仿宋" w:hAnsi="仿宋" w:eastAsia="仿宋"/>
          <w:sz w:val="30"/>
          <w:lang w:val="en-US"/>
        </w:rPr>
        <w:t>年度财政拨款本年支出年初预算数为</w:t>
      </w:r>
      <w:r>
        <w:rPr>
          <w:rFonts w:hint="eastAsia" w:ascii="仿宋" w:hAnsi="仿宋" w:eastAsia="仿宋"/>
          <w:sz w:val="30"/>
          <w:lang w:val="en-US" w:eastAsia="zh-CN"/>
        </w:rPr>
        <w:t>1725</w:t>
      </w:r>
      <w:r>
        <w:rPr>
          <w:rFonts w:hint="eastAsia" w:ascii="仿宋" w:hAnsi="仿宋" w:eastAsia="仿宋"/>
          <w:sz w:val="30"/>
          <w:lang w:val="en-US"/>
        </w:rPr>
        <w:t>万元，决算数为</w:t>
      </w:r>
      <w:r>
        <w:rPr>
          <w:rFonts w:hint="eastAsia" w:ascii="仿宋" w:hAnsi="仿宋" w:eastAsia="仿宋"/>
          <w:sz w:val="30"/>
          <w:lang w:val="en-US" w:eastAsia="zh-CN"/>
        </w:rPr>
        <w:t>1824</w:t>
      </w:r>
      <w:r>
        <w:rPr>
          <w:rFonts w:hint="eastAsia" w:ascii="仿宋" w:hAnsi="仿宋" w:eastAsia="仿宋"/>
          <w:sz w:val="30"/>
          <w:lang w:val="en-US"/>
        </w:rPr>
        <w:t>万元，完成年初预算的</w:t>
      </w:r>
      <w:r>
        <w:rPr>
          <w:rFonts w:hint="eastAsia" w:ascii="仿宋" w:hAnsi="仿宋" w:eastAsia="仿宋"/>
          <w:sz w:val="30"/>
          <w:lang w:val="en-US" w:eastAsia="zh-CN"/>
        </w:rPr>
        <w:t>105.7</w:t>
      </w:r>
      <w:r>
        <w:rPr>
          <w:rFonts w:hint="eastAsia" w:ascii="仿宋" w:hAnsi="仿宋" w:eastAsia="仿宋"/>
          <w:sz w:val="30"/>
          <w:lang w:val="en-US"/>
        </w:rPr>
        <w:t>%；年末财政拨款结转和结余年初预算数为</w:t>
      </w:r>
      <w:r>
        <w:rPr>
          <w:rFonts w:hint="eastAsia" w:ascii="仿宋" w:hAnsi="仿宋" w:eastAsia="仿宋"/>
          <w:sz w:val="30"/>
          <w:lang w:val="en-US" w:eastAsia="zh-CN"/>
        </w:rPr>
        <w:t>720.99</w:t>
      </w:r>
      <w:r>
        <w:rPr>
          <w:rFonts w:hint="eastAsia" w:ascii="仿宋" w:hAnsi="仿宋" w:eastAsia="仿宋"/>
          <w:sz w:val="30"/>
          <w:lang w:val="en-US"/>
        </w:rPr>
        <w:t>万元，决算数为</w:t>
      </w:r>
      <w:r>
        <w:rPr>
          <w:rFonts w:hint="eastAsia" w:ascii="仿宋" w:hAnsi="仿宋" w:eastAsia="仿宋"/>
          <w:sz w:val="30"/>
          <w:lang w:val="en-US" w:eastAsia="zh-CN"/>
        </w:rPr>
        <w:t>558.17</w:t>
      </w:r>
      <w:r>
        <w:rPr>
          <w:rFonts w:hint="eastAsia" w:ascii="仿宋" w:hAnsi="仿宋" w:eastAsia="仿宋"/>
          <w:sz w:val="30"/>
          <w:lang w:val="en-US"/>
        </w:rPr>
        <w:t>万元，预决算差额</w:t>
      </w:r>
      <w:r>
        <w:rPr>
          <w:rFonts w:hint="eastAsia" w:ascii="仿宋" w:hAnsi="仿宋" w:eastAsia="仿宋"/>
          <w:sz w:val="30"/>
          <w:lang w:val="en-US" w:eastAsia="zh-CN"/>
        </w:rPr>
        <w:t>162</w:t>
      </w:r>
      <w:r>
        <w:rPr>
          <w:rFonts w:hint="eastAsia" w:ascii="仿宋" w:hAnsi="仿宋" w:eastAsia="仿宋"/>
          <w:sz w:val="30"/>
          <w:lang w:val="en-US"/>
        </w:rPr>
        <w:t>万元。预决算差异的主要原因是：</w:t>
      </w:r>
      <w:r>
        <w:rPr>
          <w:rFonts w:hint="eastAsia" w:ascii="仿宋" w:hAnsi="仿宋" w:eastAsia="仿宋"/>
          <w:sz w:val="30"/>
          <w:lang w:val="en-US" w:eastAsia="zh-CN"/>
        </w:rPr>
        <w:t>财政拨款力度未变，但是人员经费增加，办公经费增加。</w:t>
      </w:r>
    </w:p>
    <w:p>
      <w:pPr>
        <w:spacing w:beforeLines="0" w:afterLines="0"/>
        <w:ind w:firstLine="630"/>
        <w:jc w:val="left"/>
        <w:rPr>
          <w:rFonts w:hint="eastAsia" w:ascii="仿宋" w:hAnsi="仿宋" w:eastAsia="仿宋"/>
          <w:sz w:val="30"/>
          <w:szCs w:val="30"/>
        </w:rPr>
      </w:pPr>
      <w:r>
        <w:rPr>
          <w:rFonts w:hint="eastAsia" w:ascii="仿宋" w:hAnsi="仿宋" w:eastAsia="仿宋"/>
          <w:sz w:val="30"/>
          <w:lang w:val="en-US"/>
        </w:rPr>
        <w:t>公共安全支出年初预算数为</w:t>
      </w:r>
      <w:r>
        <w:rPr>
          <w:rFonts w:hint="eastAsia" w:ascii="仿宋" w:hAnsi="仿宋" w:eastAsia="仿宋"/>
          <w:sz w:val="30"/>
          <w:lang w:val="en-US" w:eastAsia="zh-CN"/>
        </w:rPr>
        <w:t>2638</w:t>
      </w:r>
      <w:r>
        <w:rPr>
          <w:rFonts w:hint="eastAsia" w:ascii="仿宋" w:hAnsi="仿宋" w:eastAsia="仿宋"/>
          <w:sz w:val="30"/>
          <w:lang w:val="en-US"/>
        </w:rPr>
        <w:t>万元，决算数为</w:t>
      </w:r>
      <w:r>
        <w:rPr>
          <w:rFonts w:hint="eastAsia" w:ascii="仿宋" w:hAnsi="仿宋" w:eastAsia="仿宋"/>
          <w:sz w:val="30"/>
          <w:lang w:val="en-US" w:eastAsia="zh-CN"/>
        </w:rPr>
        <w:t>1760</w:t>
      </w:r>
      <w:r>
        <w:rPr>
          <w:rFonts w:hint="eastAsia" w:ascii="仿宋" w:hAnsi="仿宋" w:eastAsia="仿宋"/>
          <w:sz w:val="30"/>
          <w:lang w:val="en-US"/>
        </w:rPr>
        <w:t>万元，完成年初预算的</w:t>
      </w:r>
      <w:r>
        <w:rPr>
          <w:rFonts w:hint="eastAsia" w:ascii="仿宋" w:hAnsi="仿宋" w:eastAsia="仿宋"/>
          <w:sz w:val="30"/>
          <w:lang w:val="en-US" w:eastAsia="zh-CN"/>
        </w:rPr>
        <w:t>66.72</w:t>
      </w:r>
      <w:r>
        <w:rPr>
          <w:rFonts w:hint="eastAsia" w:ascii="仿宋" w:hAnsi="仿宋" w:eastAsia="仿宋"/>
          <w:sz w:val="30"/>
          <w:lang w:val="en-US"/>
        </w:rPr>
        <w:t>%；</w:t>
      </w:r>
      <w:r>
        <w:rPr>
          <w:rFonts w:hint="eastAsia" w:ascii="仿宋" w:hAnsi="仿宋" w:eastAsia="仿宋"/>
          <w:sz w:val="30"/>
          <w:lang w:val="zh-CN"/>
        </w:rPr>
        <w:t>教育</w:t>
      </w:r>
      <w:r>
        <w:rPr>
          <w:rFonts w:hint="eastAsia" w:ascii="仿宋" w:hAnsi="仿宋" w:eastAsia="仿宋"/>
          <w:sz w:val="30"/>
          <w:lang w:val="en-US"/>
        </w:rPr>
        <w:t>支出年初预算数为8万元，决算数为0万元，完成年初预算的0%；社会保障和就业支出年初预算数为</w:t>
      </w:r>
      <w:r>
        <w:rPr>
          <w:rFonts w:hint="eastAsia" w:ascii="仿宋" w:hAnsi="仿宋" w:eastAsia="仿宋"/>
          <w:sz w:val="30"/>
          <w:lang w:val="en-US" w:eastAsia="zh-CN"/>
        </w:rPr>
        <w:t>150</w:t>
      </w:r>
      <w:r>
        <w:rPr>
          <w:rFonts w:hint="eastAsia" w:ascii="仿宋" w:hAnsi="仿宋" w:eastAsia="仿宋"/>
          <w:sz w:val="30"/>
          <w:lang w:val="en-US"/>
        </w:rPr>
        <w:t>万元，决算数为</w:t>
      </w:r>
      <w:r>
        <w:rPr>
          <w:rFonts w:hint="eastAsia" w:ascii="仿宋" w:hAnsi="仿宋" w:eastAsia="仿宋"/>
          <w:sz w:val="30"/>
          <w:lang w:val="en-US" w:eastAsia="zh-CN"/>
        </w:rPr>
        <w:t>198</w:t>
      </w:r>
      <w:r>
        <w:rPr>
          <w:rFonts w:hint="eastAsia" w:ascii="仿宋" w:hAnsi="仿宋" w:eastAsia="仿宋"/>
          <w:sz w:val="30"/>
          <w:lang w:val="en-US"/>
        </w:rPr>
        <w:t>万元，完成年初预算的</w:t>
      </w:r>
      <w:r>
        <w:rPr>
          <w:rFonts w:hint="eastAsia" w:ascii="仿宋" w:hAnsi="仿宋" w:eastAsia="仿宋"/>
          <w:sz w:val="30"/>
          <w:lang w:val="en-US" w:eastAsia="zh-CN"/>
        </w:rPr>
        <w:t>132</w:t>
      </w:r>
      <w:r>
        <w:rPr>
          <w:rFonts w:hint="eastAsia" w:ascii="仿宋" w:hAnsi="仿宋" w:eastAsia="仿宋"/>
          <w:sz w:val="30"/>
          <w:lang w:val="en-US"/>
        </w:rPr>
        <w:t>%；医疗卫生与计划生育支出年初预算数为</w:t>
      </w:r>
      <w:r>
        <w:rPr>
          <w:rFonts w:hint="eastAsia" w:ascii="仿宋" w:hAnsi="仿宋" w:eastAsia="仿宋"/>
          <w:sz w:val="30"/>
          <w:lang w:val="en-US" w:eastAsia="zh-CN"/>
        </w:rPr>
        <w:t>55.5</w:t>
      </w:r>
      <w:r>
        <w:rPr>
          <w:rFonts w:hint="eastAsia" w:ascii="仿宋" w:hAnsi="仿宋" w:eastAsia="仿宋"/>
          <w:sz w:val="30"/>
          <w:lang w:val="en-US"/>
        </w:rPr>
        <w:t>万元，决算数为</w:t>
      </w:r>
      <w:r>
        <w:rPr>
          <w:rFonts w:hint="eastAsia" w:ascii="仿宋" w:hAnsi="仿宋" w:eastAsia="仿宋"/>
          <w:sz w:val="30"/>
          <w:lang w:val="en-US" w:eastAsia="zh-CN"/>
        </w:rPr>
        <w:t>26</w:t>
      </w:r>
      <w:r>
        <w:rPr>
          <w:rFonts w:hint="eastAsia" w:ascii="仿宋" w:hAnsi="仿宋" w:eastAsia="仿宋"/>
          <w:sz w:val="30"/>
          <w:lang w:val="en-US"/>
        </w:rPr>
        <w:t>万元，完成年初预算的</w:t>
      </w:r>
      <w:r>
        <w:rPr>
          <w:rFonts w:hint="eastAsia" w:ascii="仿宋" w:hAnsi="仿宋" w:eastAsia="仿宋"/>
          <w:sz w:val="30"/>
          <w:lang w:val="en-US" w:eastAsia="zh-CN"/>
        </w:rPr>
        <w:t>47</w:t>
      </w:r>
      <w:r>
        <w:rPr>
          <w:rFonts w:hint="eastAsia" w:ascii="仿宋" w:hAnsi="仿宋" w:eastAsia="仿宋"/>
          <w:sz w:val="30"/>
          <w:lang w:val="en-US"/>
        </w:rPr>
        <w:t>%;农林水支出年初预算数为0万元，决算数为3万元；住房保障支出年初预算数为</w:t>
      </w:r>
      <w:r>
        <w:rPr>
          <w:rFonts w:hint="eastAsia" w:ascii="仿宋" w:hAnsi="仿宋" w:eastAsia="仿宋"/>
          <w:sz w:val="30"/>
          <w:lang w:val="en-US" w:eastAsia="zh-CN"/>
        </w:rPr>
        <w:t>49</w:t>
      </w:r>
      <w:r>
        <w:rPr>
          <w:rFonts w:hint="eastAsia" w:ascii="仿宋" w:hAnsi="仿宋" w:eastAsia="仿宋"/>
          <w:sz w:val="30"/>
          <w:lang w:val="en-US"/>
        </w:rPr>
        <w:t>万元，决算数为0万元，完成年初预算的0</w:t>
      </w:r>
      <w:r>
        <w:rPr>
          <w:rFonts w:hint="eastAsia" w:ascii="仿宋" w:hAnsi="仿宋" w:eastAsia="仿宋"/>
          <w:sz w:val="30"/>
          <w:lang w:val="en-US" w:eastAsia="zh-CN"/>
        </w:rPr>
        <w:t>%，系从工资里直接支付，未经单位账，因而未体现</w:t>
      </w:r>
      <w:r>
        <w:rPr>
          <w:rFonts w:hint="eastAsia" w:ascii="仿宋" w:hAnsi="仿宋" w:eastAsia="仿宋"/>
          <w:sz w:val="30"/>
          <w:lang w:val="en-US"/>
        </w:rPr>
        <w:t>。</w:t>
      </w:r>
    </w:p>
    <w:p>
      <w:pPr>
        <w:ind w:firstLine="585"/>
        <w:jc w:val="left"/>
        <w:rPr>
          <w:rFonts w:hint="eastAsia" w:ascii="黑体" w:hAnsi="黑体" w:eastAsia="黑体"/>
          <w:sz w:val="30"/>
          <w:szCs w:val="30"/>
        </w:rPr>
      </w:pPr>
      <w:r>
        <w:rPr>
          <w:rFonts w:hint="eastAsia" w:ascii="黑体" w:hAnsi="黑体" w:eastAsia="黑体"/>
          <w:sz w:val="30"/>
          <w:szCs w:val="30"/>
        </w:rPr>
        <w:t>四、一般公共预算财政拨款基本支出决算情况说明</w:t>
      </w:r>
    </w:p>
    <w:p>
      <w:pPr>
        <w:ind w:firstLine="585"/>
        <w:jc w:val="left"/>
        <w:rPr>
          <w:rFonts w:hint="eastAsia" w:ascii="仿宋" w:hAnsi="仿宋" w:eastAsia="仿宋"/>
          <w:sz w:val="30"/>
          <w:szCs w:val="30"/>
        </w:rPr>
      </w:pPr>
      <w:r>
        <w:rPr>
          <w:rFonts w:hint="eastAsia" w:ascii="仿宋" w:hAnsi="仿宋" w:eastAsia="仿宋"/>
          <w:sz w:val="30"/>
          <w:szCs w:val="30"/>
        </w:rPr>
        <w:t>本部门2018年度一般公共预算财政拨款基本支出</w:t>
      </w:r>
      <w:r>
        <w:rPr>
          <w:rFonts w:hint="eastAsia" w:ascii="仿宋" w:hAnsi="仿宋" w:eastAsia="仿宋"/>
          <w:sz w:val="30"/>
          <w:lang w:val="en-US" w:eastAsia="zh-CN"/>
        </w:rPr>
        <w:t>1824</w:t>
      </w:r>
      <w:r>
        <w:rPr>
          <w:rFonts w:hint="eastAsia" w:ascii="仿宋" w:hAnsi="仿宋" w:eastAsia="仿宋"/>
          <w:sz w:val="30"/>
          <w:szCs w:val="30"/>
        </w:rPr>
        <w:t>万元，其中：</w:t>
      </w:r>
    </w:p>
    <w:p>
      <w:pPr>
        <w:spacing w:beforeLines="0" w:afterLines="0"/>
        <w:ind w:firstLine="300" w:firstLineChars="100"/>
        <w:jc w:val="left"/>
        <w:rPr>
          <w:rFonts w:hint="eastAsia" w:ascii="Times New Roman" w:hAnsi="Times New Roman" w:eastAsia="仿宋"/>
          <w:sz w:val="30"/>
          <w:lang w:val="en-US" w:eastAsia="zh-CN"/>
        </w:rPr>
      </w:pPr>
      <w:r>
        <w:rPr>
          <w:rFonts w:hint="eastAsia" w:ascii="仿宋" w:hAnsi="仿宋" w:eastAsia="仿宋"/>
          <w:sz w:val="30"/>
          <w:szCs w:val="30"/>
        </w:rPr>
        <w:t>（一）</w:t>
      </w:r>
      <w:r>
        <w:rPr>
          <w:rFonts w:hint="eastAsia" w:ascii="仿宋" w:hAnsi="仿宋" w:eastAsia="仿宋"/>
          <w:sz w:val="30"/>
          <w:lang w:val="en-US"/>
        </w:rPr>
        <w:t>工资福利支出</w:t>
      </w:r>
      <w:r>
        <w:rPr>
          <w:rFonts w:hint="eastAsia" w:ascii="仿宋" w:hAnsi="仿宋" w:eastAsia="仿宋"/>
          <w:sz w:val="30"/>
          <w:lang w:val="en-US" w:eastAsia="zh-CN"/>
        </w:rPr>
        <w:t>854</w:t>
      </w:r>
      <w:r>
        <w:rPr>
          <w:rFonts w:hint="eastAsia" w:ascii="仿宋" w:hAnsi="仿宋" w:eastAsia="仿宋"/>
          <w:sz w:val="30"/>
          <w:lang w:val="en-US"/>
        </w:rPr>
        <w:t>万元，较上年增长</w:t>
      </w:r>
      <w:r>
        <w:rPr>
          <w:rFonts w:hint="eastAsia" w:ascii="仿宋" w:hAnsi="仿宋" w:eastAsia="仿宋"/>
          <w:sz w:val="30"/>
          <w:lang w:val="en-US" w:eastAsia="zh-CN"/>
        </w:rPr>
        <w:t>5.3</w:t>
      </w:r>
      <w:r>
        <w:rPr>
          <w:rFonts w:hint="eastAsia" w:ascii="仿宋" w:hAnsi="仿宋" w:eastAsia="仿宋"/>
          <w:sz w:val="30"/>
          <w:lang w:val="en-US"/>
        </w:rPr>
        <w:t>%，主要原因是：司法改革人员工资增加</w:t>
      </w:r>
      <w:r>
        <w:rPr>
          <w:rFonts w:hint="eastAsia" w:ascii="仿宋" w:hAnsi="仿宋" w:eastAsia="仿宋"/>
          <w:sz w:val="30"/>
          <w:lang w:val="en-US" w:eastAsia="zh-CN"/>
        </w:rPr>
        <w:t>。</w:t>
      </w:r>
    </w:p>
    <w:p>
      <w:pPr>
        <w:spacing w:beforeLines="0" w:afterLines="0"/>
        <w:ind w:firstLine="300" w:firstLineChars="100"/>
        <w:jc w:val="left"/>
        <w:rPr>
          <w:rFonts w:hint="eastAsia" w:ascii="仿宋" w:hAnsi="仿宋" w:eastAsia="仿宋"/>
          <w:sz w:val="30"/>
          <w:lang w:val="en-US"/>
        </w:rPr>
      </w:pPr>
      <w:r>
        <w:rPr>
          <w:rFonts w:hint="eastAsia" w:ascii="仿宋" w:hAnsi="仿宋" w:eastAsia="仿宋"/>
          <w:sz w:val="30"/>
          <w:szCs w:val="30"/>
        </w:rPr>
        <w:t>（二）</w:t>
      </w:r>
      <w:r>
        <w:rPr>
          <w:rFonts w:hint="eastAsia" w:ascii="仿宋" w:hAnsi="仿宋" w:eastAsia="仿宋"/>
          <w:sz w:val="30"/>
          <w:lang w:val="en-US"/>
        </w:rPr>
        <w:t xml:space="preserve"> 商品和服务支出</w:t>
      </w:r>
      <w:r>
        <w:rPr>
          <w:rFonts w:hint="eastAsia" w:ascii="仿宋" w:hAnsi="仿宋" w:eastAsia="仿宋"/>
          <w:sz w:val="30"/>
          <w:lang w:val="en-US" w:eastAsia="zh-CN"/>
        </w:rPr>
        <w:t>400.9</w:t>
      </w:r>
      <w:r>
        <w:rPr>
          <w:rFonts w:hint="eastAsia" w:ascii="仿宋" w:hAnsi="仿宋" w:eastAsia="仿宋"/>
          <w:sz w:val="30"/>
          <w:lang w:val="en-US"/>
        </w:rPr>
        <w:t>万元，较上年增长</w:t>
      </w:r>
      <w:r>
        <w:rPr>
          <w:rFonts w:hint="eastAsia" w:ascii="仿宋" w:hAnsi="仿宋" w:eastAsia="仿宋"/>
          <w:sz w:val="30"/>
          <w:lang w:val="en-US" w:eastAsia="zh-CN"/>
        </w:rPr>
        <w:t>37.34</w:t>
      </w:r>
      <w:r>
        <w:rPr>
          <w:rFonts w:hint="eastAsia" w:ascii="仿宋" w:hAnsi="仿宋" w:eastAsia="仿宋"/>
          <w:sz w:val="30"/>
          <w:lang w:val="en-US"/>
        </w:rPr>
        <w:t>%，主要原因是：采购数量增加；物价水平合理上涨</w:t>
      </w:r>
    </w:p>
    <w:p>
      <w:pPr>
        <w:ind w:firstLine="300" w:firstLineChars="100"/>
        <w:jc w:val="left"/>
        <w:rPr>
          <w:rFonts w:hint="eastAsia" w:ascii="仿宋" w:hAnsi="仿宋" w:eastAsia="仿宋"/>
          <w:sz w:val="30"/>
          <w:szCs w:val="30"/>
          <w:lang w:eastAsia="zh-CN"/>
        </w:rPr>
      </w:pPr>
      <w:r>
        <w:rPr>
          <w:rFonts w:hint="eastAsia" w:ascii="仿宋" w:hAnsi="仿宋" w:eastAsia="仿宋"/>
          <w:sz w:val="30"/>
          <w:szCs w:val="30"/>
        </w:rPr>
        <w:t>（三）</w:t>
      </w:r>
      <w:r>
        <w:rPr>
          <w:rFonts w:hint="eastAsia" w:ascii="仿宋" w:hAnsi="仿宋" w:eastAsia="仿宋"/>
          <w:sz w:val="30"/>
          <w:lang w:val="en-US"/>
        </w:rPr>
        <w:t>对个人和家庭补助支出</w:t>
      </w:r>
      <w:r>
        <w:rPr>
          <w:rFonts w:hint="eastAsia" w:ascii="仿宋" w:hAnsi="仿宋" w:eastAsia="仿宋"/>
          <w:sz w:val="30"/>
          <w:lang w:val="en-US" w:eastAsia="zh-CN"/>
        </w:rPr>
        <w:t>22.9</w:t>
      </w:r>
      <w:r>
        <w:rPr>
          <w:rFonts w:hint="eastAsia" w:ascii="仿宋" w:hAnsi="仿宋" w:eastAsia="仿宋"/>
          <w:sz w:val="30"/>
          <w:lang w:val="en-US"/>
        </w:rPr>
        <w:t>万元，较上年减少</w:t>
      </w:r>
      <w:r>
        <w:rPr>
          <w:rFonts w:hint="eastAsia" w:ascii="仿宋" w:hAnsi="仿宋" w:eastAsia="仿宋"/>
          <w:sz w:val="30"/>
          <w:lang w:val="en-US" w:eastAsia="zh-CN"/>
        </w:rPr>
        <w:t>13.8</w:t>
      </w:r>
      <w:r>
        <w:rPr>
          <w:rFonts w:hint="eastAsia" w:ascii="仿宋" w:hAnsi="仿宋" w:eastAsia="仿宋"/>
          <w:sz w:val="30"/>
          <w:lang w:val="en-US"/>
        </w:rPr>
        <w:t>%</w:t>
      </w:r>
      <w:r>
        <w:rPr>
          <w:rFonts w:hint="eastAsia" w:ascii="仿宋" w:hAnsi="仿宋" w:eastAsia="仿宋"/>
          <w:sz w:val="30"/>
          <w:lang w:val="en-US" w:eastAsia="zh-CN"/>
        </w:rPr>
        <w:t>。</w:t>
      </w:r>
      <w:r>
        <w:rPr>
          <w:rFonts w:hint="eastAsia" w:ascii="仿宋" w:hAnsi="仿宋" w:eastAsia="仿宋"/>
          <w:sz w:val="30"/>
          <w:szCs w:val="30"/>
          <w:lang w:eastAsia="zh-CN"/>
        </w:rPr>
        <w:t>。</w:t>
      </w:r>
    </w:p>
    <w:p>
      <w:pPr>
        <w:ind w:firstLine="300" w:firstLineChars="100"/>
        <w:jc w:val="left"/>
        <w:rPr>
          <w:rFonts w:hint="eastAsia" w:ascii="仿宋" w:hAnsi="仿宋" w:eastAsia="仿宋"/>
          <w:sz w:val="30"/>
          <w:szCs w:val="30"/>
        </w:rPr>
      </w:pPr>
      <w:r>
        <w:rPr>
          <w:rFonts w:hint="eastAsia" w:ascii="仿宋" w:hAnsi="仿宋" w:eastAsia="仿宋"/>
          <w:sz w:val="30"/>
          <w:szCs w:val="30"/>
        </w:rPr>
        <w:t>（四）资本性支出</w:t>
      </w:r>
      <w:r>
        <w:rPr>
          <w:rFonts w:hint="eastAsia" w:ascii="仿宋" w:hAnsi="仿宋" w:eastAsia="仿宋"/>
          <w:sz w:val="30"/>
          <w:szCs w:val="30"/>
          <w:lang w:val="en-US" w:eastAsia="zh-CN"/>
        </w:rPr>
        <w:t>709</w:t>
      </w:r>
      <w:r>
        <w:rPr>
          <w:rFonts w:hint="eastAsia" w:ascii="仿宋" w:hAnsi="仿宋" w:eastAsia="仿宋"/>
          <w:sz w:val="30"/>
          <w:szCs w:val="30"/>
        </w:rPr>
        <w:t>万元，较2017年减少</w:t>
      </w:r>
      <w:r>
        <w:rPr>
          <w:rFonts w:hint="eastAsia" w:ascii="仿宋" w:hAnsi="仿宋" w:eastAsia="仿宋"/>
          <w:sz w:val="30"/>
          <w:szCs w:val="30"/>
          <w:lang w:val="en-US" w:eastAsia="zh-CN"/>
        </w:rPr>
        <w:t>491</w:t>
      </w:r>
      <w:r>
        <w:rPr>
          <w:rFonts w:hint="eastAsia" w:ascii="仿宋" w:hAnsi="仿宋" w:eastAsia="仿宋"/>
          <w:sz w:val="30"/>
          <w:szCs w:val="30"/>
        </w:rPr>
        <w:t>万元，下降</w:t>
      </w:r>
      <w:r>
        <w:rPr>
          <w:rFonts w:hint="eastAsia" w:ascii="仿宋" w:hAnsi="仿宋" w:eastAsia="仿宋"/>
          <w:sz w:val="30"/>
          <w:szCs w:val="30"/>
          <w:lang w:val="en-US" w:eastAsia="zh-CN"/>
        </w:rPr>
        <w:t>40.91</w:t>
      </w:r>
      <w:r>
        <w:rPr>
          <w:rFonts w:hint="eastAsia" w:ascii="仿宋" w:hAnsi="仿宋" w:eastAsia="仿宋"/>
          <w:sz w:val="30"/>
          <w:szCs w:val="30"/>
        </w:rPr>
        <w:t xml:space="preserve">  %，主要原因是：</w:t>
      </w:r>
      <w:r>
        <w:rPr>
          <w:rFonts w:hint="eastAsia" w:ascii="仿宋" w:hAnsi="仿宋" w:eastAsia="仿宋"/>
          <w:sz w:val="30"/>
          <w:szCs w:val="30"/>
          <w:lang w:eastAsia="zh-CN"/>
        </w:rPr>
        <w:t>办公大楼支付较去年减少</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五、一般公共预算财政拨款“三公”经费支出决算情况说明</w:t>
      </w:r>
    </w:p>
    <w:p>
      <w:pPr>
        <w:spacing w:beforeLines="0" w:afterLines="0"/>
        <w:ind w:firstLine="630"/>
        <w:jc w:val="left"/>
        <w:rPr>
          <w:rFonts w:hint="eastAsia" w:ascii="仿宋" w:hAnsi="仿宋" w:eastAsia="仿宋"/>
          <w:sz w:val="30"/>
          <w:lang w:val="en-US"/>
        </w:rPr>
      </w:pPr>
      <w:r>
        <w:rPr>
          <w:rFonts w:hint="eastAsia" w:ascii="仿宋" w:hAnsi="仿宋" w:eastAsia="仿宋"/>
          <w:sz w:val="30"/>
          <w:lang w:val="en-US"/>
        </w:rPr>
        <w:t>本部门201</w:t>
      </w:r>
      <w:r>
        <w:rPr>
          <w:rFonts w:hint="eastAsia" w:ascii="仿宋" w:hAnsi="仿宋" w:eastAsia="仿宋"/>
          <w:sz w:val="30"/>
          <w:lang w:val="en-US" w:eastAsia="zh-CN"/>
        </w:rPr>
        <w:t>8</w:t>
      </w:r>
      <w:r>
        <w:rPr>
          <w:rFonts w:hint="eastAsia" w:ascii="仿宋" w:hAnsi="仿宋" w:eastAsia="仿宋"/>
          <w:sz w:val="30"/>
          <w:lang w:val="en-US"/>
        </w:rPr>
        <w:t>年度一般公共预算财政拨款</w:t>
      </w:r>
      <w:r>
        <w:rPr>
          <w:rFonts w:hint="default" w:ascii="仿宋" w:hAnsi="仿宋" w:eastAsia="仿宋"/>
          <w:sz w:val="30"/>
          <w:lang w:val="en-US"/>
        </w:rPr>
        <w:t>“</w:t>
      </w:r>
      <w:r>
        <w:rPr>
          <w:rFonts w:hint="eastAsia" w:ascii="仿宋" w:hAnsi="仿宋" w:eastAsia="仿宋"/>
          <w:sz w:val="30"/>
          <w:lang w:val="en-US"/>
        </w:rPr>
        <w:t>三公</w:t>
      </w:r>
      <w:r>
        <w:rPr>
          <w:rFonts w:hint="default" w:ascii="仿宋" w:hAnsi="仿宋" w:eastAsia="仿宋"/>
          <w:sz w:val="30"/>
          <w:lang w:val="en-US"/>
        </w:rPr>
        <w:t>”</w:t>
      </w:r>
      <w:r>
        <w:rPr>
          <w:rFonts w:hint="eastAsia" w:ascii="仿宋" w:hAnsi="仿宋" w:eastAsia="仿宋"/>
          <w:sz w:val="30"/>
          <w:lang w:val="en-US"/>
        </w:rPr>
        <w:t>经费支出年初预算数为61.5万元（指当年预算安排数，不含上年结转结余），决算数为</w:t>
      </w:r>
      <w:r>
        <w:rPr>
          <w:rFonts w:hint="eastAsia" w:ascii="仿宋" w:hAnsi="仿宋" w:eastAsia="仿宋"/>
          <w:sz w:val="30"/>
          <w:lang w:val="en-US" w:eastAsia="zh-CN"/>
        </w:rPr>
        <w:t>42.65</w:t>
      </w:r>
      <w:r>
        <w:rPr>
          <w:rFonts w:hint="eastAsia" w:ascii="仿宋" w:hAnsi="仿宋" w:eastAsia="仿宋"/>
          <w:sz w:val="30"/>
          <w:lang w:val="en-US"/>
        </w:rPr>
        <w:t>万元（含当年财政拨款预算和以前年度结转结余资金安排的实际支出），完成预算的</w:t>
      </w:r>
      <w:r>
        <w:rPr>
          <w:rFonts w:hint="eastAsia" w:ascii="仿宋" w:hAnsi="仿宋" w:eastAsia="仿宋"/>
          <w:sz w:val="30"/>
          <w:lang w:val="en-US" w:eastAsia="zh-CN"/>
        </w:rPr>
        <w:t>69.35</w:t>
      </w:r>
      <w:r>
        <w:rPr>
          <w:rFonts w:hint="eastAsia" w:ascii="仿宋" w:hAnsi="仿宋" w:eastAsia="仿宋"/>
          <w:sz w:val="30"/>
          <w:lang w:val="en-US"/>
        </w:rPr>
        <w:t>%，决算数较上年</w:t>
      </w:r>
      <w:r>
        <w:rPr>
          <w:rFonts w:hint="eastAsia" w:ascii="仿宋" w:hAnsi="仿宋" w:eastAsia="仿宋"/>
          <w:sz w:val="30"/>
          <w:lang w:val="en-US" w:eastAsia="zh-CN"/>
        </w:rPr>
        <w:t>增加6.9</w:t>
      </w:r>
      <w:r>
        <w:rPr>
          <w:rFonts w:hint="eastAsia" w:ascii="仿宋" w:hAnsi="仿宋" w:eastAsia="仿宋"/>
          <w:sz w:val="30"/>
          <w:lang w:val="en-US"/>
        </w:rPr>
        <w:t>%,其中：</w:t>
      </w:r>
    </w:p>
    <w:p>
      <w:pPr>
        <w:spacing w:beforeLines="0" w:afterLines="0"/>
        <w:ind w:firstLine="630"/>
        <w:jc w:val="left"/>
        <w:rPr>
          <w:rFonts w:hint="default" w:ascii="仿宋" w:hAnsi="仿宋" w:eastAsia="仿宋"/>
          <w:sz w:val="30"/>
          <w:lang w:val="en-US"/>
        </w:rPr>
      </w:pPr>
    </w:p>
    <w:p>
      <w:pPr>
        <w:spacing w:beforeLines="0" w:afterLines="0"/>
        <w:ind w:firstLine="630"/>
        <w:jc w:val="left"/>
        <w:rPr>
          <w:rFonts w:hint="default" w:ascii="Times New Roman" w:hAnsi="Times New Roman" w:eastAsia="Times New Roman"/>
          <w:sz w:val="30"/>
          <w:lang w:val="en-US"/>
        </w:rPr>
      </w:pPr>
      <w:r>
        <w:rPr>
          <w:rFonts w:hint="eastAsia" w:ascii="仿宋" w:hAnsi="仿宋" w:eastAsia="仿宋"/>
          <w:sz w:val="30"/>
          <w:lang w:val="en-US"/>
        </w:rPr>
        <w:t>（一）因公出国（境）支出年初预算数为0万元，决算数为0万元。</w:t>
      </w:r>
    </w:p>
    <w:p>
      <w:pPr>
        <w:spacing w:beforeLines="0" w:afterLines="0"/>
        <w:ind w:firstLine="630"/>
        <w:jc w:val="left"/>
        <w:rPr>
          <w:rFonts w:hint="default" w:ascii="Times New Roman" w:hAnsi="Times New Roman" w:eastAsia="Times New Roman"/>
          <w:sz w:val="30"/>
          <w:lang w:val="en-US"/>
        </w:rPr>
      </w:pPr>
      <w:r>
        <w:rPr>
          <w:rFonts w:hint="eastAsia" w:ascii="仿宋" w:hAnsi="仿宋" w:eastAsia="仿宋"/>
          <w:sz w:val="30"/>
          <w:lang w:val="en-US"/>
        </w:rPr>
        <w:t>（二）公务接待费支出年初预算数为31.5万元，决算数为</w:t>
      </w:r>
      <w:r>
        <w:rPr>
          <w:rFonts w:hint="eastAsia" w:ascii="仿宋" w:hAnsi="仿宋" w:eastAsia="仿宋"/>
          <w:sz w:val="30"/>
          <w:lang w:val="en-US" w:eastAsia="zh-CN"/>
        </w:rPr>
        <w:t>14.95</w:t>
      </w:r>
      <w:r>
        <w:rPr>
          <w:rFonts w:hint="eastAsia" w:ascii="仿宋" w:hAnsi="仿宋" w:eastAsia="仿宋"/>
          <w:sz w:val="30"/>
          <w:lang w:val="en-US"/>
        </w:rPr>
        <w:t>万元，完成预算的</w:t>
      </w:r>
      <w:r>
        <w:rPr>
          <w:rFonts w:hint="eastAsia" w:ascii="仿宋" w:hAnsi="仿宋" w:eastAsia="仿宋"/>
          <w:sz w:val="30"/>
          <w:lang w:val="en-US" w:eastAsia="zh-CN"/>
        </w:rPr>
        <w:t>47.46</w:t>
      </w:r>
      <w:r>
        <w:rPr>
          <w:rFonts w:hint="eastAsia" w:ascii="仿宋" w:hAnsi="仿宋" w:eastAsia="仿宋"/>
          <w:sz w:val="30"/>
          <w:lang w:val="en-US"/>
        </w:rPr>
        <w:t>%，决算数较上年</w:t>
      </w:r>
      <w:r>
        <w:rPr>
          <w:rFonts w:hint="eastAsia" w:ascii="仿宋" w:hAnsi="仿宋" w:eastAsia="仿宋"/>
          <w:sz w:val="30"/>
          <w:lang w:val="en-US" w:eastAsia="zh-CN"/>
        </w:rPr>
        <w:t>增加21.54</w:t>
      </w:r>
      <w:r>
        <w:rPr>
          <w:rFonts w:hint="eastAsia" w:ascii="仿宋" w:hAnsi="仿宋" w:eastAsia="仿宋"/>
          <w:sz w:val="30"/>
          <w:lang w:val="en-US"/>
        </w:rPr>
        <w:t>%。主要原因是：</w:t>
      </w:r>
      <w:r>
        <w:rPr>
          <w:rFonts w:hint="eastAsia" w:ascii="仿宋" w:hAnsi="仿宋" w:eastAsia="仿宋"/>
          <w:sz w:val="30"/>
          <w:lang w:val="en-US" w:eastAsia="zh-CN"/>
        </w:rPr>
        <w:t>公务招待增多，新大楼建设考察增加</w:t>
      </w:r>
      <w:r>
        <w:rPr>
          <w:rFonts w:hint="eastAsia" w:ascii="仿宋" w:hAnsi="仿宋" w:eastAsia="仿宋"/>
          <w:sz w:val="30"/>
          <w:lang w:val="en-US"/>
        </w:rPr>
        <w:t>。</w:t>
      </w:r>
    </w:p>
    <w:p>
      <w:pPr>
        <w:spacing w:beforeLines="0" w:afterLines="0"/>
        <w:ind w:firstLine="630"/>
        <w:jc w:val="left"/>
        <w:rPr>
          <w:rFonts w:hint="eastAsia" w:ascii="仿宋" w:hAnsi="仿宋" w:eastAsia="仿宋"/>
          <w:sz w:val="30"/>
          <w:lang w:val="en-US"/>
        </w:rPr>
      </w:pPr>
      <w:r>
        <w:rPr>
          <w:rFonts w:hint="eastAsia" w:ascii="仿宋" w:hAnsi="仿宋" w:eastAsia="仿宋"/>
          <w:sz w:val="30"/>
          <w:lang w:val="en-US"/>
        </w:rPr>
        <w:t>（三）公务用车购置及运行维护费支出27.</w:t>
      </w:r>
      <w:r>
        <w:rPr>
          <w:rFonts w:hint="eastAsia" w:ascii="仿宋" w:hAnsi="仿宋" w:eastAsia="仿宋"/>
          <w:sz w:val="30"/>
          <w:lang w:val="en-US" w:eastAsia="zh-CN"/>
        </w:rPr>
        <w:t>69</w:t>
      </w:r>
      <w:r>
        <w:rPr>
          <w:rFonts w:hint="eastAsia" w:ascii="仿宋" w:hAnsi="仿宋" w:eastAsia="仿宋"/>
          <w:sz w:val="30"/>
          <w:lang w:val="en-US"/>
        </w:rPr>
        <w:t>万元，其中公务用车购置年初预算数为0万元，决算数为0万元；</w:t>
      </w:r>
    </w:p>
    <w:p>
      <w:pPr>
        <w:spacing w:beforeLines="0" w:afterLines="0"/>
        <w:ind w:firstLine="630"/>
        <w:jc w:val="left"/>
        <w:rPr>
          <w:rFonts w:hint="eastAsia" w:ascii="仿宋" w:hAnsi="仿宋" w:eastAsia="仿宋"/>
          <w:sz w:val="30"/>
          <w:lang w:val="en-US"/>
        </w:rPr>
      </w:pPr>
      <w:r>
        <w:rPr>
          <w:rFonts w:hint="eastAsia" w:ascii="仿宋" w:hAnsi="仿宋" w:eastAsia="仿宋"/>
          <w:sz w:val="30"/>
          <w:lang w:val="en-US"/>
        </w:rPr>
        <w:t>公务用车运行维护费支出年初预算数为30万元，决算数为27.</w:t>
      </w:r>
      <w:r>
        <w:rPr>
          <w:rFonts w:hint="eastAsia" w:ascii="仿宋" w:hAnsi="仿宋" w:eastAsia="仿宋"/>
          <w:sz w:val="30"/>
          <w:lang w:val="en-US" w:eastAsia="zh-CN"/>
        </w:rPr>
        <w:t>69</w:t>
      </w:r>
      <w:r>
        <w:rPr>
          <w:rFonts w:hint="eastAsia" w:ascii="仿宋" w:hAnsi="仿宋" w:eastAsia="仿宋"/>
          <w:sz w:val="30"/>
          <w:lang w:val="en-US"/>
        </w:rPr>
        <w:t>万元，完成预算的</w:t>
      </w:r>
      <w:r>
        <w:rPr>
          <w:rFonts w:hint="eastAsia" w:ascii="仿宋" w:hAnsi="仿宋" w:eastAsia="仿宋"/>
          <w:sz w:val="30"/>
          <w:lang w:val="en-US" w:eastAsia="zh-CN"/>
        </w:rPr>
        <w:t>92.3</w:t>
      </w:r>
      <w:r>
        <w:rPr>
          <w:rFonts w:hint="eastAsia" w:ascii="仿宋" w:hAnsi="仿宋" w:eastAsia="仿宋"/>
          <w:sz w:val="30"/>
          <w:lang w:val="en-US"/>
        </w:rPr>
        <w:t>%，决算数较上年</w:t>
      </w:r>
      <w:r>
        <w:rPr>
          <w:rFonts w:hint="eastAsia" w:ascii="仿宋" w:hAnsi="仿宋" w:eastAsia="仿宋"/>
          <w:sz w:val="30"/>
          <w:lang w:val="en-US" w:eastAsia="zh-CN"/>
        </w:rPr>
        <w:t>增加0.4</w:t>
      </w:r>
      <w:r>
        <w:rPr>
          <w:rFonts w:hint="eastAsia" w:ascii="仿宋" w:hAnsi="仿宋" w:eastAsia="仿宋"/>
          <w:sz w:val="30"/>
          <w:lang w:val="en-US"/>
        </w:rPr>
        <w:t>%。</w:t>
      </w:r>
    </w:p>
    <w:p>
      <w:pPr>
        <w:ind w:firstLine="630"/>
        <w:jc w:val="left"/>
        <w:rPr>
          <w:rFonts w:hint="eastAsia" w:ascii="黑体" w:hAnsi="黑体" w:eastAsia="黑体"/>
          <w:sz w:val="30"/>
          <w:szCs w:val="30"/>
        </w:rPr>
      </w:pPr>
      <w:r>
        <w:rPr>
          <w:rFonts w:hint="eastAsia" w:ascii="黑体" w:hAnsi="黑体" w:eastAsia="黑体"/>
          <w:sz w:val="30"/>
          <w:szCs w:val="30"/>
        </w:rPr>
        <w:t>六、机关运行经费支出情况说明</w:t>
      </w:r>
    </w:p>
    <w:p>
      <w:pPr>
        <w:spacing w:beforeLines="0" w:afterLines="0"/>
        <w:ind w:firstLine="600" w:firstLineChars="200"/>
        <w:jc w:val="left"/>
        <w:rPr>
          <w:rFonts w:hint="eastAsia" w:ascii="仿宋" w:hAnsi="仿宋" w:eastAsia="仿宋"/>
          <w:kern w:val="0"/>
          <w:sz w:val="30"/>
          <w:lang w:val="en-US"/>
        </w:rPr>
      </w:pPr>
      <w:r>
        <w:rPr>
          <w:rFonts w:hint="eastAsia" w:ascii="仿宋" w:hAnsi="仿宋" w:eastAsia="仿宋"/>
          <w:kern w:val="0"/>
          <w:sz w:val="30"/>
          <w:lang w:val="en-US"/>
        </w:rPr>
        <w:t>本部门201</w:t>
      </w:r>
      <w:r>
        <w:rPr>
          <w:rFonts w:hint="eastAsia" w:ascii="仿宋" w:hAnsi="仿宋" w:eastAsia="仿宋"/>
          <w:kern w:val="0"/>
          <w:sz w:val="30"/>
          <w:lang w:val="en-US" w:eastAsia="zh-CN"/>
        </w:rPr>
        <w:t>8</w:t>
      </w:r>
      <w:r>
        <w:rPr>
          <w:rFonts w:hint="eastAsia" w:ascii="仿宋" w:hAnsi="仿宋" w:eastAsia="仿宋"/>
          <w:kern w:val="0"/>
          <w:sz w:val="30"/>
          <w:lang w:val="en-US"/>
        </w:rPr>
        <w:t xml:space="preserve"> 年度机关运行经费支出</w:t>
      </w:r>
      <w:r>
        <w:rPr>
          <w:rFonts w:hint="eastAsia" w:ascii="仿宋" w:hAnsi="仿宋" w:eastAsia="仿宋"/>
          <w:kern w:val="0"/>
          <w:sz w:val="30"/>
          <w:lang w:val="en-US" w:eastAsia="zh-CN"/>
        </w:rPr>
        <w:t>400.9</w:t>
      </w:r>
      <w:r>
        <w:rPr>
          <w:rFonts w:hint="eastAsia" w:ascii="仿宋" w:hAnsi="仿宋" w:eastAsia="仿宋"/>
          <w:kern w:val="0"/>
          <w:sz w:val="30"/>
          <w:lang w:val="en-US"/>
        </w:rPr>
        <w:t>万元（与部门决算中行政单位和参照公务员法管理事业单位一般公共预算财政拨款基本支出中公用经费之和保持一致），比201</w:t>
      </w:r>
      <w:r>
        <w:rPr>
          <w:rFonts w:hint="eastAsia" w:ascii="仿宋" w:hAnsi="仿宋" w:eastAsia="仿宋"/>
          <w:kern w:val="0"/>
          <w:sz w:val="30"/>
          <w:lang w:val="en-US" w:eastAsia="zh-CN"/>
        </w:rPr>
        <w:t>7</w:t>
      </w:r>
      <w:r>
        <w:rPr>
          <w:rFonts w:hint="eastAsia" w:ascii="仿宋" w:hAnsi="仿宋" w:eastAsia="仿宋"/>
          <w:kern w:val="0"/>
          <w:sz w:val="30"/>
          <w:lang w:val="en-US"/>
        </w:rPr>
        <w:t>年</w:t>
      </w:r>
      <w:r>
        <w:rPr>
          <w:rFonts w:hint="eastAsia" w:ascii="仿宋" w:hAnsi="仿宋" w:eastAsia="仿宋"/>
          <w:sz w:val="30"/>
          <w:lang w:val="en-US"/>
        </w:rPr>
        <w:t>增</w:t>
      </w:r>
      <w:r>
        <w:rPr>
          <w:rFonts w:hint="eastAsia" w:ascii="仿宋" w:hAnsi="仿宋" w:eastAsia="仿宋"/>
          <w:sz w:val="30"/>
          <w:lang w:val="zh-CN"/>
        </w:rPr>
        <w:t>加</w:t>
      </w:r>
      <w:r>
        <w:rPr>
          <w:rFonts w:hint="eastAsia" w:ascii="仿宋" w:hAnsi="仿宋" w:eastAsia="仿宋"/>
          <w:sz w:val="30"/>
          <w:lang w:val="en-US" w:eastAsia="zh-CN"/>
        </w:rPr>
        <w:t>109</w:t>
      </w:r>
      <w:r>
        <w:rPr>
          <w:rFonts w:hint="eastAsia" w:ascii="仿宋" w:hAnsi="仿宋" w:eastAsia="仿宋"/>
          <w:kern w:val="0"/>
          <w:sz w:val="30"/>
          <w:lang w:val="en-US"/>
        </w:rPr>
        <w:t>万元;</w:t>
      </w:r>
      <w:r>
        <w:rPr>
          <w:rFonts w:hint="eastAsia" w:ascii="仿宋" w:hAnsi="仿宋" w:eastAsia="仿宋"/>
          <w:sz w:val="30"/>
          <w:lang w:val="en-US"/>
        </w:rPr>
        <w:t>增长</w:t>
      </w:r>
      <w:r>
        <w:rPr>
          <w:rFonts w:hint="eastAsia" w:ascii="仿宋" w:hAnsi="仿宋" w:eastAsia="仿宋"/>
          <w:sz w:val="30"/>
          <w:lang w:val="en-US" w:eastAsia="zh-CN"/>
        </w:rPr>
        <w:t>37.34</w:t>
      </w:r>
      <w:r>
        <w:rPr>
          <w:rFonts w:hint="eastAsia" w:ascii="仿宋" w:hAnsi="仿宋" w:eastAsia="仿宋"/>
          <w:kern w:val="0"/>
          <w:sz w:val="30"/>
          <w:lang w:val="en-US"/>
        </w:rPr>
        <w:t>%。主要原因是：办公</w:t>
      </w:r>
      <w:r>
        <w:rPr>
          <w:rFonts w:hint="eastAsia" w:ascii="仿宋" w:hAnsi="仿宋" w:eastAsia="仿宋"/>
          <w:sz w:val="30"/>
          <w:lang w:val="en-US"/>
        </w:rPr>
        <w:t>采购数量增加；物价水平合理上涨。</w:t>
      </w:r>
    </w:p>
    <w:p>
      <w:pPr>
        <w:ind w:firstLine="630"/>
        <w:jc w:val="left"/>
        <w:rPr>
          <w:rFonts w:ascii="黑体" w:hAnsi="黑体" w:eastAsia="黑体"/>
          <w:sz w:val="30"/>
          <w:szCs w:val="30"/>
        </w:rPr>
      </w:pPr>
      <w:r>
        <w:rPr>
          <w:rFonts w:hint="eastAsia" w:ascii="黑体" w:hAnsi="黑体" w:eastAsia="黑体"/>
          <w:sz w:val="30"/>
          <w:szCs w:val="30"/>
        </w:rPr>
        <w:t>七、政府采购支出情况说明</w:t>
      </w:r>
    </w:p>
    <w:p>
      <w:pPr>
        <w:spacing w:beforeLines="0" w:afterLines="0" w:line="360" w:lineRule="auto"/>
        <w:ind w:firstLine="600"/>
        <w:jc w:val="left"/>
        <w:rPr>
          <w:rFonts w:hint="default" w:ascii="Times New Roman" w:hAnsi="Times New Roman" w:eastAsia="Times New Roman"/>
          <w:kern w:val="0"/>
          <w:sz w:val="30"/>
          <w:lang w:val="en-US"/>
        </w:rPr>
      </w:pPr>
      <w:r>
        <w:rPr>
          <w:rFonts w:hint="eastAsia" w:ascii="仿宋" w:hAnsi="仿宋" w:eastAsia="仿宋"/>
          <w:kern w:val="0"/>
          <w:sz w:val="30"/>
          <w:lang w:val="en-US"/>
        </w:rPr>
        <w:t>本部门201</w:t>
      </w:r>
      <w:r>
        <w:rPr>
          <w:rFonts w:hint="eastAsia" w:ascii="仿宋" w:hAnsi="仿宋" w:eastAsia="仿宋"/>
          <w:kern w:val="0"/>
          <w:sz w:val="30"/>
          <w:lang w:val="en-US" w:eastAsia="zh-CN"/>
        </w:rPr>
        <w:t>8</w:t>
      </w:r>
      <w:r>
        <w:rPr>
          <w:rFonts w:hint="eastAsia" w:ascii="仿宋" w:hAnsi="仿宋" w:eastAsia="仿宋"/>
          <w:kern w:val="0"/>
          <w:sz w:val="30"/>
          <w:lang w:val="en-US"/>
        </w:rPr>
        <w:t>年度政府采购支出总额</w:t>
      </w:r>
      <w:r>
        <w:rPr>
          <w:rFonts w:hint="eastAsia" w:ascii="仿宋" w:hAnsi="仿宋" w:eastAsia="仿宋"/>
          <w:kern w:val="0"/>
          <w:sz w:val="30"/>
          <w:lang w:val="en-US" w:eastAsia="zh-CN"/>
        </w:rPr>
        <w:t>709.4</w:t>
      </w:r>
      <w:r>
        <w:rPr>
          <w:rFonts w:hint="eastAsia" w:ascii="仿宋" w:hAnsi="仿宋" w:eastAsia="仿宋"/>
          <w:kern w:val="0"/>
          <w:sz w:val="30"/>
          <w:lang w:val="en-US"/>
        </w:rPr>
        <w:t>万元，其中：政府采购货物支出</w:t>
      </w:r>
      <w:r>
        <w:rPr>
          <w:rFonts w:hint="eastAsia" w:ascii="仿宋" w:hAnsi="仿宋" w:eastAsia="仿宋"/>
          <w:kern w:val="0"/>
          <w:sz w:val="30"/>
          <w:lang w:val="en-US" w:eastAsia="zh-CN"/>
        </w:rPr>
        <w:t>215.6</w:t>
      </w:r>
      <w:r>
        <w:rPr>
          <w:rFonts w:hint="eastAsia" w:ascii="仿宋" w:hAnsi="仿宋" w:eastAsia="仿宋"/>
          <w:kern w:val="0"/>
          <w:sz w:val="30"/>
          <w:lang w:val="en-US"/>
        </w:rPr>
        <w:t>万元、政府采购工程支出</w:t>
      </w:r>
      <w:r>
        <w:rPr>
          <w:rFonts w:hint="eastAsia" w:ascii="仿宋" w:hAnsi="仿宋" w:eastAsia="仿宋"/>
          <w:kern w:val="0"/>
          <w:sz w:val="30"/>
          <w:lang w:val="en-US" w:eastAsia="zh-CN"/>
        </w:rPr>
        <w:t>493.8</w:t>
      </w:r>
      <w:r>
        <w:rPr>
          <w:rFonts w:hint="eastAsia" w:ascii="仿宋" w:hAnsi="仿宋" w:eastAsia="仿宋"/>
          <w:kern w:val="0"/>
          <w:sz w:val="30"/>
          <w:lang w:val="en-US"/>
        </w:rPr>
        <w:t>万元。授予中小企业合同金额</w:t>
      </w:r>
      <w:r>
        <w:rPr>
          <w:rFonts w:hint="eastAsia" w:ascii="仿宋" w:hAnsi="仿宋" w:eastAsia="仿宋"/>
          <w:kern w:val="0"/>
          <w:sz w:val="30"/>
          <w:lang w:val="en-US" w:eastAsia="zh-CN"/>
        </w:rPr>
        <w:t>215.6</w:t>
      </w:r>
      <w:r>
        <w:rPr>
          <w:rFonts w:hint="eastAsia" w:ascii="仿宋" w:hAnsi="仿宋" w:eastAsia="仿宋"/>
          <w:kern w:val="0"/>
          <w:sz w:val="30"/>
          <w:lang w:val="en-US"/>
        </w:rPr>
        <w:t>万元，占政府采购支出总额的</w:t>
      </w:r>
      <w:r>
        <w:rPr>
          <w:rFonts w:hint="eastAsia" w:ascii="仿宋" w:hAnsi="仿宋" w:eastAsia="仿宋"/>
          <w:kern w:val="0"/>
          <w:sz w:val="30"/>
          <w:lang w:val="en-US" w:eastAsia="zh-CN"/>
        </w:rPr>
        <w:t>30.39</w:t>
      </w:r>
      <w:r>
        <w:rPr>
          <w:rFonts w:hint="eastAsia" w:ascii="仿宋" w:hAnsi="仿宋" w:eastAsia="仿宋"/>
          <w:kern w:val="0"/>
          <w:sz w:val="30"/>
          <w:lang w:val="en-US"/>
        </w:rPr>
        <w:t>%，其中：授予小微企业合同金额</w:t>
      </w:r>
      <w:r>
        <w:rPr>
          <w:rFonts w:hint="eastAsia" w:ascii="仿宋" w:hAnsi="仿宋" w:eastAsia="仿宋"/>
          <w:kern w:val="0"/>
          <w:sz w:val="30"/>
          <w:lang w:val="en-US" w:eastAsia="zh-CN"/>
        </w:rPr>
        <w:t>215.6</w:t>
      </w:r>
      <w:r>
        <w:rPr>
          <w:rFonts w:hint="eastAsia" w:ascii="仿宋" w:hAnsi="仿宋" w:eastAsia="仿宋"/>
          <w:kern w:val="0"/>
          <w:sz w:val="30"/>
          <w:lang w:val="en-US"/>
        </w:rPr>
        <w:t>万元，占政府采购支出总额</w:t>
      </w:r>
      <w:r>
        <w:rPr>
          <w:rFonts w:hint="eastAsia" w:ascii="仿宋" w:hAnsi="仿宋" w:eastAsia="仿宋"/>
          <w:kern w:val="0"/>
          <w:sz w:val="30"/>
          <w:lang w:val="en-US" w:eastAsia="zh-CN"/>
        </w:rPr>
        <w:t>30.39</w:t>
      </w:r>
      <w:r>
        <w:rPr>
          <w:rFonts w:hint="eastAsia" w:ascii="仿宋" w:hAnsi="仿宋" w:eastAsia="仿宋"/>
          <w:kern w:val="0"/>
          <w:sz w:val="30"/>
          <w:lang w:val="en-US"/>
        </w:rPr>
        <w:t>%。（省级部门公开的政府采购金额的计算口径为：本部门纳入201</w:t>
      </w:r>
      <w:r>
        <w:rPr>
          <w:rFonts w:hint="eastAsia" w:ascii="仿宋" w:hAnsi="仿宋" w:eastAsia="仿宋"/>
          <w:kern w:val="0"/>
          <w:sz w:val="30"/>
          <w:lang w:val="en-US" w:eastAsia="zh-CN"/>
        </w:rPr>
        <w:t>8</w:t>
      </w:r>
      <w:r>
        <w:rPr>
          <w:rFonts w:hint="eastAsia" w:ascii="仿宋" w:hAnsi="仿宋" w:eastAsia="仿宋"/>
          <w:kern w:val="0"/>
          <w:sz w:val="30"/>
          <w:lang w:val="en-US"/>
        </w:rPr>
        <w:t xml:space="preserve"> 年部门预算范围的各项政府采购支出金额之和，并做好与201</w:t>
      </w:r>
      <w:r>
        <w:rPr>
          <w:rFonts w:hint="eastAsia" w:ascii="仿宋" w:hAnsi="仿宋" w:eastAsia="仿宋"/>
          <w:kern w:val="0"/>
          <w:sz w:val="30"/>
          <w:lang w:val="en-US" w:eastAsia="zh-CN"/>
        </w:rPr>
        <w:t>8</w:t>
      </w:r>
      <w:r>
        <w:rPr>
          <w:rFonts w:hint="eastAsia" w:ascii="仿宋" w:hAnsi="仿宋" w:eastAsia="仿宋"/>
          <w:kern w:val="0"/>
          <w:sz w:val="30"/>
          <w:lang w:val="en-US"/>
        </w:rPr>
        <w:t xml:space="preserve"> 年度政府采购信息统计报表中</w:t>
      </w:r>
      <w:r>
        <w:rPr>
          <w:rFonts w:hint="default" w:ascii="仿宋" w:hAnsi="仿宋" w:eastAsia="仿宋"/>
          <w:kern w:val="0"/>
          <w:sz w:val="30"/>
          <w:lang w:val="en-US"/>
        </w:rPr>
        <w:t>“</w:t>
      </w:r>
      <w:r>
        <w:rPr>
          <w:rFonts w:hint="eastAsia" w:ascii="仿宋" w:hAnsi="仿宋" w:eastAsia="仿宋"/>
          <w:kern w:val="0"/>
          <w:sz w:val="30"/>
          <w:lang w:val="en-US"/>
        </w:rPr>
        <w:t>政府采购资金情况表</w:t>
      </w:r>
      <w:r>
        <w:rPr>
          <w:rFonts w:hint="default" w:ascii="仿宋" w:hAnsi="仿宋" w:eastAsia="仿宋"/>
          <w:kern w:val="0"/>
          <w:sz w:val="30"/>
          <w:lang w:val="en-US"/>
        </w:rPr>
        <w:t>”</w:t>
      </w:r>
      <w:r>
        <w:rPr>
          <w:rFonts w:hint="eastAsia" w:ascii="仿宋" w:hAnsi="仿宋" w:eastAsia="仿宋"/>
          <w:kern w:val="0"/>
          <w:sz w:val="30"/>
          <w:lang w:val="en-US"/>
        </w:rPr>
        <w:t>有关数据的衔接。）</w:t>
      </w:r>
    </w:p>
    <w:p>
      <w:pPr>
        <w:ind w:firstLine="630"/>
        <w:jc w:val="left"/>
        <w:rPr>
          <w:rFonts w:hint="eastAsia" w:ascii="黑体" w:hAnsi="黑体" w:eastAsia="黑体"/>
          <w:sz w:val="30"/>
          <w:szCs w:val="30"/>
        </w:rPr>
      </w:pPr>
      <w:r>
        <w:rPr>
          <w:rFonts w:hint="eastAsia" w:ascii="黑体" w:hAnsi="黑体" w:eastAsia="黑体"/>
          <w:sz w:val="30"/>
          <w:szCs w:val="30"/>
        </w:rPr>
        <w:t>八、国有资产占用情况说明。</w:t>
      </w:r>
    </w:p>
    <w:p>
      <w:pPr>
        <w:spacing w:beforeLines="0" w:afterLines="0" w:line="360" w:lineRule="auto"/>
        <w:ind w:firstLine="600"/>
        <w:jc w:val="left"/>
        <w:rPr>
          <w:rFonts w:hint="default" w:ascii="Times New Roman" w:hAnsi="Times New Roman" w:eastAsia="Times New Roman"/>
          <w:kern w:val="0"/>
          <w:sz w:val="30"/>
          <w:lang w:val="en-US"/>
        </w:rPr>
      </w:pPr>
      <w:r>
        <w:rPr>
          <w:rFonts w:hint="eastAsia" w:ascii="仿宋" w:hAnsi="仿宋" w:eastAsia="仿宋"/>
          <w:kern w:val="0"/>
          <w:sz w:val="30"/>
          <w:lang w:val="en-US"/>
        </w:rPr>
        <w:t>截至201</w:t>
      </w:r>
      <w:r>
        <w:rPr>
          <w:rFonts w:hint="eastAsia" w:ascii="仿宋" w:hAnsi="仿宋" w:eastAsia="仿宋"/>
          <w:kern w:val="0"/>
          <w:sz w:val="30"/>
          <w:lang w:val="en-US" w:eastAsia="zh-CN"/>
        </w:rPr>
        <w:t>8</w:t>
      </w:r>
      <w:r>
        <w:rPr>
          <w:rFonts w:hint="eastAsia" w:ascii="仿宋" w:hAnsi="仿宋" w:eastAsia="仿宋"/>
          <w:kern w:val="0"/>
          <w:sz w:val="30"/>
          <w:lang w:val="en-US"/>
        </w:rPr>
        <w:t xml:space="preserve">年12月31日，本部门共有车辆12辆，其中，一般公务用车1辆、一般执法执勤用车11辆。 </w:t>
      </w:r>
    </w:p>
    <w:p>
      <w:pPr>
        <w:ind w:firstLine="630"/>
        <w:jc w:val="left"/>
        <w:rPr>
          <w:rFonts w:hint="eastAsia" w:ascii="黑体" w:hAnsi="黑体" w:eastAsia="黑体"/>
          <w:sz w:val="30"/>
          <w:szCs w:val="30"/>
        </w:rPr>
      </w:pPr>
      <w:r>
        <w:rPr>
          <w:rFonts w:hint="eastAsia" w:ascii="黑体" w:hAnsi="黑体" w:eastAsia="黑体"/>
          <w:sz w:val="30"/>
          <w:szCs w:val="30"/>
        </w:rPr>
        <w:t>九、预算绩效情况说明</w:t>
      </w:r>
    </w:p>
    <w:p>
      <w:pPr>
        <w:spacing w:beforeLines="0" w:afterLines="0" w:line="360" w:lineRule="auto"/>
        <w:jc w:val="left"/>
        <w:rPr>
          <w:rFonts w:hint="default" w:ascii="Times New Roman" w:hAnsi="Times New Roman" w:eastAsia="Times New Roman"/>
          <w:kern w:val="0"/>
          <w:sz w:val="30"/>
          <w:lang w:val="en-US"/>
        </w:rPr>
      </w:pPr>
      <w:r>
        <w:rPr>
          <w:rFonts w:hint="eastAsia" w:ascii="仿宋" w:hAnsi="仿宋" w:eastAsia="仿宋" w:cs="仿宋_GB2312"/>
          <w:kern w:val="0"/>
          <w:sz w:val="30"/>
          <w:szCs w:val="30"/>
        </w:rPr>
        <w:t xml:space="preserve">   </w:t>
      </w:r>
      <w:r>
        <w:rPr>
          <w:rFonts w:hint="eastAsia" w:ascii="仿宋" w:hAnsi="仿宋" w:eastAsia="仿宋"/>
          <w:kern w:val="0"/>
          <w:sz w:val="30"/>
          <w:lang w:val="en-US"/>
        </w:rPr>
        <w:t>（一）绩效管理工作开展情况。根据财政预算管理要求，我部门组织对201</w:t>
      </w:r>
      <w:r>
        <w:rPr>
          <w:rFonts w:hint="eastAsia" w:ascii="仿宋" w:hAnsi="仿宋" w:eastAsia="仿宋"/>
          <w:kern w:val="0"/>
          <w:sz w:val="30"/>
          <w:lang w:val="en-US" w:eastAsia="zh-CN"/>
        </w:rPr>
        <w:t>8</w:t>
      </w:r>
      <w:r>
        <w:rPr>
          <w:rFonts w:hint="eastAsia" w:ascii="仿宋" w:hAnsi="仿宋" w:eastAsia="仿宋"/>
          <w:kern w:val="0"/>
          <w:sz w:val="30"/>
          <w:lang w:val="en-US"/>
        </w:rPr>
        <w:t>年度一般公共预算项目支出开展绩效自评。自评项目</w:t>
      </w:r>
      <w:r>
        <w:rPr>
          <w:rFonts w:hint="eastAsia" w:ascii="仿宋" w:hAnsi="仿宋" w:eastAsia="仿宋"/>
          <w:kern w:val="0"/>
          <w:sz w:val="30"/>
          <w:lang w:val="en-US" w:eastAsia="zh-CN"/>
        </w:rPr>
        <w:t>5</w:t>
      </w:r>
      <w:r>
        <w:rPr>
          <w:rFonts w:hint="eastAsia" w:ascii="仿宋" w:hAnsi="仿宋" w:eastAsia="仿宋"/>
          <w:kern w:val="0"/>
          <w:sz w:val="30"/>
          <w:lang w:val="en-US"/>
        </w:rPr>
        <w:t>个，共涉及资金</w:t>
      </w:r>
      <w:r>
        <w:rPr>
          <w:rFonts w:hint="eastAsia" w:ascii="仿宋" w:hAnsi="仿宋" w:eastAsia="仿宋"/>
          <w:kern w:val="0"/>
          <w:sz w:val="30"/>
          <w:lang w:val="en-US" w:eastAsia="zh-CN"/>
        </w:rPr>
        <w:t>1987</w:t>
      </w:r>
      <w:r>
        <w:rPr>
          <w:rFonts w:hint="eastAsia" w:ascii="仿宋" w:hAnsi="仿宋" w:eastAsia="仿宋"/>
          <w:kern w:val="0"/>
          <w:sz w:val="30"/>
          <w:lang w:val="en-US"/>
        </w:rPr>
        <w:t xml:space="preserve">万元，自评覆盖率达到 </w:t>
      </w:r>
      <w:r>
        <w:rPr>
          <w:rFonts w:hint="eastAsia" w:ascii="仿宋" w:hAnsi="仿宋" w:eastAsia="仿宋"/>
          <w:kern w:val="0"/>
          <w:sz w:val="30"/>
          <w:lang w:val="en-US" w:eastAsia="zh-CN"/>
        </w:rPr>
        <w:t>100</w:t>
      </w:r>
      <w:r>
        <w:rPr>
          <w:rFonts w:hint="eastAsia" w:ascii="仿宋" w:hAnsi="仿宋" w:eastAsia="仿宋"/>
          <w:kern w:val="0"/>
          <w:sz w:val="30"/>
          <w:lang w:val="en-US"/>
        </w:rPr>
        <w:t xml:space="preserve">   %。</w:t>
      </w:r>
    </w:p>
    <w:p>
      <w:pPr>
        <w:spacing w:beforeLines="0" w:afterLines="0" w:line="360" w:lineRule="auto"/>
        <w:jc w:val="left"/>
        <w:rPr>
          <w:rFonts w:hint="default" w:ascii="Times New Roman" w:hAnsi="Times New Roman" w:eastAsia="Times New Roman"/>
          <w:kern w:val="0"/>
          <w:sz w:val="30"/>
          <w:lang w:val="en-US"/>
        </w:rPr>
      </w:pPr>
      <w:r>
        <w:rPr>
          <w:rFonts w:hint="eastAsia" w:ascii="仿宋" w:hAnsi="仿宋" w:eastAsia="仿宋"/>
          <w:kern w:val="0"/>
          <w:sz w:val="30"/>
          <w:lang w:val="en-US"/>
        </w:rPr>
        <w:t xml:space="preserve">    组织对</w:t>
      </w:r>
      <w:r>
        <w:rPr>
          <w:rFonts w:hint="default" w:ascii="仿宋" w:hAnsi="仿宋" w:eastAsia="仿宋"/>
          <w:kern w:val="0"/>
          <w:sz w:val="30"/>
          <w:lang w:val="en-US"/>
        </w:rPr>
        <w:t>“</w:t>
      </w:r>
      <w:r>
        <w:rPr>
          <w:rFonts w:hint="eastAsia" w:ascii="仿宋" w:hAnsi="仿宋" w:eastAsia="仿宋"/>
          <w:kern w:val="0"/>
          <w:sz w:val="30"/>
          <w:lang w:val="en-US" w:eastAsia="zh-CN"/>
        </w:rPr>
        <w:t>工资福利支出</w:t>
      </w:r>
      <w:r>
        <w:rPr>
          <w:rFonts w:hint="default" w:ascii="仿宋" w:hAnsi="仿宋" w:eastAsia="仿宋"/>
          <w:kern w:val="0"/>
          <w:sz w:val="30"/>
          <w:lang w:val="en-US"/>
        </w:rPr>
        <w:t>”</w:t>
      </w:r>
      <w:r>
        <w:rPr>
          <w:rFonts w:hint="eastAsia" w:ascii="仿宋" w:hAnsi="仿宋" w:eastAsia="仿宋"/>
          <w:kern w:val="0"/>
          <w:sz w:val="30"/>
          <w:lang w:val="en-US" w:eastAsia="zh-CN"/>
        </w:rPr>
        <w:t>、“商品和服务支出”、“对个人和家庭补助</w:t>
      </w:r>
      <w:r>
        <w:rPr>
          <w:rFonts w:hint="default" w:ascii="仿宋" w:hAnsi="仿宋" w:eastAsia="仿宋"/>
          <w:kern w:val="0"/>
          <w:sz w:val="30"/>
          <w:lang w:val="en-US" w:eastAsia="zh-CN"/>
        </w:rPr>
        <w:t>”</w:t>
      </w:r>
      <w:r>
        <w:rPr>
          <w:rFonts w:hint="eastAsia" w:ascii="仿宋" w:hAnsi="仿宋" w:eastAsia="仿宋"/>
          <w:kern w:val="0"/>
          <w:sz w:val="30"/>
          <w:lang w:val="en-US" w:eastAsia="zh-CN"/>
        </w:rPr>
        <w:t>、“基本建设支出”、“其他资本性支出”5</w:t>
      </w:r>
      <w:r>
        <w:rPr>
          <w:rFonts w:hint="eastAsia" w:ascii="仿宋" w:hAnsi="仿宋" w:eastAsia="仿宋"/>
          <w:kern w:val="0"/>
          <w:sz w:val="30"/>
          <w:lang w:val="en-US"/>
        </w:rPr>
        <w:t>个项目进行了绩效运行监控管理，涉及一般公共预算支出</w:t>
      </w:r>
      <w:r>
        <w:rPr>
          <w:rFonts w:hint="eastAsia" w:ascii="仿宋" w:hAnsi="仿宋" w:eastAsia="仿宋"/>
          <w:kern w:val="0"/>
          <w:sz w:val="30"/>
          <w:lang w:val="en-US" w:eastAsia="zh-CN"/>
        </w:rPr>
        <w:t>1987</w:t>
      </w:r>
      <w:r>
        <w:rPr>
          <w:rFonts w:hint="eastAsia" w:ascii="仿宋" w:hAnsi="仿宋" w:eastAsia="仿宋"/>
          <w:kern w:val="0"/>
          <w:sz w:val="30"/>
          <w:lang w:val="en-US"/>
        </w:rPr>
        <w:t>万元。从监控情况来看，</w:t>
      </w:r>
      <w:r>
        <w:rPr>
          <w:rFonts w:hint="eastAsia" w:ascii="仿宋" w:hAnsi="仿宋" w:eastAsia="仿宋"/>
          <w:kern w:val="0"/>
          <w:sz w:val="30"/>
          <w:lang w:val="en-US" w:eastAsia="zh-CN"/>
        </w:rPr>
        <w:t>工资福利支出预算数和决算书相差金额系人员减少等原因；商品服务支出和年初预算数相差不大；与上年相差数系采购数量和物价水平合理上涨，办公经费上涨导致；对个人家庭补助因为预算将退休老人支出放到其他科目，现进行了调整；基本建设支出决算数同年初预算数、上年决算数相差较大系财政经费不足，预算安排不足。其他资本性支出差距较大系新审判大楼搬迁工作提前，采购大量设备。总体来说，决算与预算基本支出相差不大，项目相差较大系项目资金不足及偶然因素</w:t>
      </w:r>
      <w:r>
        <w:rPr>
          <w:rFonts w:hint="eastAsia" w:ascii="仿宋" w:hAnsi="仿宋" w:eastAsia="仿宋"/>
          <w:kern w:val="0"/>
          <w:sz w:val="30"/>
          <w:lang w:val="en-US"/>
        </w:rPr>
        <w:t>。</w:t>
      </w:r>
    </w:p>
    <w:p>
      <w:pPr>
        <w:spacing w:beforeLines="0" w:afterLines="0" w:line="360" w:lineRule="auto"/>
        <w:jc w:val="left"/>
        <w:rPr>
          <w:rFonts w:hint="eastAsia" w:ascii="仿宋" w:hAnsi="仿宋" w:eastAsia="仿宋"/>
          <w:kern w:val="0"/>
          <w:sz w:val="30"/>
          <w:lang w:val="en-US"/>
        </w:rPr>
      </w:pPr>
      <w:r>
        <w:rPr>
          <w:rFonts w:hint="eastAsia" w:ascii="仿宋" w:hAnsi="仿宋" w:eastAsia="仿宋"/>
          <w:kern w:val="0"/>
          <w:sz w:val="30"/>
          <w:lang w:val="en-US"/>
        </w:rPr>
        <w:t xml:space="preserve">    组织对</w:t>
      </w:r>
      <w:r>
        <w:rPr>
          <w:rFonts w:hint="eastAsia" w:ascii="仿宋" w:hAnsi="仿宋" w:eastAsia="仿宋"/>
          <w:kern w:val="0"/>
          <w:sz w:val="30"/>
          <w:lang w:val="en-US" w:eastAsia="zh-CN"/>
        </w:rPr>
        <w:t>庐山市人民法院本级1</w:t>
      </w:r>
      <w:r>
        <w:rPr>
          <w:rFonts w:hint="eastAsia" w:ascii="仿宋" w:hAnsi="仿宋" w:eastAsia="仿宋"/>
          <w:kern w:val="0"/>
          <w:sz w:val="30"/>
          <w:lang w:val="en-US"/>
        </w:rPr>
        <w:t>个单位开展整体支出绩效评价，涉及一般公共预算支出</w:t>
      </w:r>
      <w:r>
        <w:rPr>
          <w:rFonts w:hint="eastAsia" w:ascii="仿宋" w:hAnsi="仿宋" w:eastAsia="仿宋"/>
          <w:kern w:val="0"/>
          <w:sz w:val="30"/>
          <w:lang w:val="en-US" w:eastAsia="zh-CN"/>
        </w:rPr>
        <w:t>1987</w:t>
      </w:r>
      <w:r>
        <w:rPr>
          <w:rFonts w:hint="eastAsia" w:ascii="仿宋" w:hAnsi="仿宋" w:eastAsia="仿宋"/>
          <w:kern w:val="0"/>
          <w:sz w:val="30"/>
          <w:lang w:val="en-US"/>
        </w:rPr>
        <w:t>万元。</w:t>
      </w:r>
      <w:r>
        <w:rPr>
          <w:rFonts w:hint="eastAsia" w:ascii="仿宋" w:hAnsi="仿宋" w:eastAsia="仿宋"/>
          <w:kern w:val="0"/>
          <w:sz w:val="30"/>
          <w:lang w:val="en-US" w:eastAsia="zh-CN"/>
        </w:rPr>
        <w:t>情况如上。</w:t>
      </w:r>
      <w:r>
        <w:rPr>
          <w:rFonts w:hint="eastAsia" w:ascii="仿宋" w:hAnsi="仿宋" w:eastAsia="仿宋"/>
          <w:kern w:val="0"/>
          <w:sz w:val="30"/>
          <w:lang w:val="en-US"/>
        </w:rPr>
        <w:t xml:space="preserve">        </w:t>
      </w:r>
    </w:p>
    <w:p>
      <w:pPr>
        <w:spacing w:beforeLines="0" w:afterLines="0" w:line="360" w:lineRule="auto"/>
        <w:jc w:val="left"/>
        <w:rPr>
          <w:rFonts w:hint="eastAsia" w:ascii="仿宋" w:hAnsi="仿宋" w:eastAsia="仿宋"/>
          <w:kern w:val="0"/>
          <w:sz w:val="30"/>
          <w:lang w:val="en-US"/>
        </w:rPr>
      </w:pPr>
      <w:r>
        <w:rPr>
          <w:rFonts w:hint="eastAsia" w:ascii="仿宋" w:hAnsi="仿宋" w:eastAsia="仿宋"/>
          <w:kern w:val="0"/>
          <w:sz w:val="30"/>
          <w:lang w:val="en-US"/>
        </w:rPr>
        <w:t xml:space="preserve">    （二）部门决算中项目绩效自评结果。我部门今年将在省级部门决算中公开</w:t>
      </w:r>
      <w:r>
        <w:rPr>
          <w:rFonts w:hint="eastAsia" w:ascii="仿宋" w:hAnsi="仿宋" w:eastAsia="仿宋"/>
          <w:kern w:val="0"/>
          <w:sz w:val="30"/>
          <w:lang w:val="en-US" w:eastAsia="zh-CN"/>
        </w:rPr>
        <w:t>一般公共预算支出</w:t>
      </w:r>
      <w:r>
        <w:rPr>
          <w:rFonts w:hint="eastAsia" w:ascii="仿宋" w:hAnsi="仿宋" w:eastAsia="仿宋"/>
          <w:kern w:val="0"/>
          <w:sz w:val="30"/>
          <w:lang w:val="en-US"/>
        </w:rPr>
        <w:t>项目绩效评价结果。根据年初设定的绩效目标</w:t>
      </w:r>
      <w:r>
        <w:rPr>
          <w:rFonts w:hint="eastAsia" w:ascii="仿宋" w:hAnsi="仿宋" w:eastAsia="仿宋"/>
          <w:kern w:val="0"/>
          <w:sz w:val="30"/>
          <w:lang w:val="en-US" w:eastAsia="zh-CN"/>
        </w:rPr>
        <w:t>，一般公共预算支出</w:t>
      </w:r>
      <w:r>
        <w:rPr>
          <w:rFonts w:hint="eastAsia" w:ascii="仿宋" w:hAnsi="仿宋" w:eastAsia="仿宋"/>
          <w:kern w:val="0"/>
          <w:sz w:val="30"/>
          <w:lang w:val="en-US"/>
        </w:rPr>
        <w:t>项目自评得分为</w:t>
      </w:r>
      <w:r>
        <w:rPr>
          <w:rFonts w:hint="eastAsia" w:ascii="仿宋" w:hAnsi="仿宋" w:eastAsia="仿宋"/>
          <w:kern w:val="0"/>
          <w:sz w:val="30"/>
          <w:lang w:val="en-US" w:eastAsia="zh-CN"/>
        </w:rPr>
        <w:t>71</w:t>
      </w:r>
      <w:r>
        <w:rPr>
          <w:rFonts w:hint="eastAsia" w:ascii="仿宋" w:hAnsi="仿宋" w:eastAsia="仿宋"/>
          <w:kern w:val="0"/>
          <w:sz w:val="30"/>
          <w:lang w:val="en-US"/>
        </w:rPr>
        <w:t>分。发现的主要问题及原因：</w:t>
      </w:r>
      <w:r>
        <w:rPr>
          <w:rFonts w:hint="eastAsia" w:ascii="仿宋" w:hAnsi="仿宋" w:eastAsia="仿宋"/>
          <w:kern w:val="0"/>
          <w:sz w:val="30"/>
          <w:lang w:val="en-US" w:eastAsia="zh-CN"/>
        </w:rPr>
        <w:t>没有考虑到非常事项对支出的影响，比如审判大楼建设支出偶然性。</w:t>
      </w:r>
    </w:p>
    <w:p>
      <w:pPr>
        <w:spacing w:beforeLines="0" w:afterLines="0" w:line="360" w:lineRule="auto"/>
        <w:jc w:val="left"/>
        <w:rPr>
          <w:rFonts w:hint="eastAsia" w:ascii="仿宋" w:hAnsi="仿宋" w:eastAsia="仿宋"/>
          <w:kern w:val="0"/>
          <w:sz w:val="30"/>
          <w:lang w:val="en-US"/>
        </w:rPr>
      </w:pPr>
      <w:r>
        <w:rPr>
          <w:rFonts w:hint="eastAsia" w:ascii="仿宋" w:hAnsi="仿宋" w:eastAsia="仿宋"/>
          <w:kern w:val="0"/>
          <w:sz w:val="30"/>
          <w:lang w:val="en-US"/>
        </w:rPr>
        <w:t>下一步改进措施：</w:t>
      </w:r>
      <w:r>
        <w:rPr>
          <w:rFonts w:hint="eastAsia" w:ascii="仿宋" w:hAnsi="仿宋" w:eastAsia="仿宋"/>
          <w:kern w:val="0"/>
          <w:sz w:val="30"/>
          <w:lang w:val="en-US" w:eastAsia="zh-CN"/>
        </w:rPr>
        <w:t>根据工程进度更加准确预估年度工程及装修款。</w:t>
      </w:r>
    </w:p>
    <w:p>
      <w:pPr>
        <w:spacing w:beforeLines="0" w:afterLines="0" w:line="360" w:lineRule="auto"/>
        <w:jc w:val="left"/>
        <w:rPr>
          <w:rFonts w:hint="default" w:ascii="Times New Roman" w:hAnsi="Times New Roman" w:eastAsia="Times New Roman"/>
          <w:b/>
          <w:sz w:val="30"/>
          <w:lang w:val="en-US"/>
        </w:rPr>
      </w:pPr>
      <w:r>
        <w:rPr>
          <w:rFonts w:hint="eastAsia" w:ascii="仿宋" w:hAnsi="仿宋" w:eastAsia="仿宋"/>
          <w:kern w:val="0"/>
          <w:sz w:val="30"/>
          <w:lang w:val="en-US"/>
        </w:rPr>
        <w:t>（另附《项目支出绩效自评表》）。</w:t>
      </w:r>
    </w:p>
    <w:p>
      <w:pPr>
        <w:autoSpaceDE w:val="0"/>
        <w:autoSpaceDN w:val="0"/>
        <w:adjustRightInd w:val="0"/>
        <w:spacing w:line="360" w:lineRule="auto"/>
        <w:jc w:val="left"/>
        <w:rPr>
          <w:rFonts w:ascii="仿宋" w:hAnsi="仿宋" w:eastAsia="仿宋" w:cs="仿宋_GB2312"/>
          <w:kern w:val="0"/>
          <w:sz w:val="30"/>
          <w:szCs w:val="30"/>
        </w:rPr>
      </w:pPr>
    </w:p>
    <w:p>
      <w:pPr>
        <w:rPr>
          <w:rFonts w:hint="eastAsia"/>
        </w:rPr>
      </w:pPr>
    </w:p>
    <w:p>
      <w:pPr>
        <w:widowControl/>
        <w:spacing w:line="600" w:lineRule="exact"/>
        <w:ind w:firstLine="640"/>
        <w:jc w:val="center"/>
        <w:rPr>
          <w:rFonts w:hint="eastAsia" w:ascii="宋体" w:hAnsi="宋体"/>
          <w:b/>
          <w:sz w:val="32"/>
          <w:szCs w:val="32"/>
        </w:rPr>
      </w:pPr>
      <w:r>
        <w:rPr>
          <w:rFonts w:hint="eastAsia" w:ascii="宋体" w:hAnsi="宋体"/>
          <w:b/>
          <w:sz w:val="32"/>
          <w:szCs w:val="32"/>
        </w:rPr>
        <w:t>第四部分  名词解释</w:t>
      </w:r>
    </w:p>
    <w:p>
      <w:pPr>
        <w:pStyle w:val="6"/>
        <w:spacing w:line="600" w:lineRule="atLeast"/>
        <w:ind w:firstLine="600"/>
        <w:rPr>
          <w:rFonts w:hint="eastAsia" w:ascii="仿宋" w:hAnsi="仿宋" w:eastAsia="仿宋"/>
          <w:sz w:val="30"/>
          <w:szCs w:val="30"/>
        </w:rPr>
      </w:pPr>
    </w:p>
    <w:p>
      <w:pPr>
        <w:spacing w:beforeLines="0" w:afterLines="0"/>
        <w:ind w:firstLine="630"/>
        <w:jc w:val="left"/>
        <w:rPr>
          <w:rFonts w:hint="eastAsia" w:ascii="仿宋" w:hAnsi="仿宋" w:eastAsia="仿宋"/>
          <w:sz w:val="30"/>
          <w:lang w:val="zh-CN"/>
        </w:rPr>
      </w:pPr>
      <w:r>
        <w:rPr>
          <w:rFonts w:hint="eastAsia" w:ascii="仿宋" w:hAnsi="仿宋" w:eastAsia="仿宋"/>
          <w:kern w:val="0"/>
          <w:sz w:val="30"/>
          <w:szCs w:val="30"/>
        </w:rPr>
        <w:t xml:space="preserve">    </w:t>
      </w:r>
      <w:r>
        <w:rPr>
          <w:rFonts w:hint="eastAsia" w:ascii="仿宋" w:hAnsi="仿宋" w:eastAsia="仿宋"/>
          <w:sz w:val="30"/>
          <w:lang w:val="en-US"/>
        </w:rPr>
        <w:t>三公消费:指政府部门人员因公出国（境）经费、公务车购置及运行费、公务招待费产生的消费</w:t>
      </w:r>
      <w:r>
        <w:rPr>
          <w:rFonts w:hint="eastAsia" w:ascii="仿宋" w:hAnsi="仿宋" w:eastAsia="仿宋"/>
          <w:sz w:val="30"/>
          <w:lang w:val="zh-CN"/>
        </w:rPr>
        <w:t>。</w:t>
      </w:r>
    </w:p>
    <w:p>
      <w:pPr>
        <w:spacing w:beforeLines="0" w:afterLines="0"/>
        <w:ind w:firstLine="630"/>
        <w:jc w:val="left"/>
        <w:rPr>
          <w:rFonts w:hint="eastAsia" w:ascii="仿宋" w:hAnsi="仿宋" w:eastAsia="仿宋"/>
          <w:sz w:val="30"/>
          <w:lang w:val="zh-CN"/>
        </w:rPr>
      </w:pPr>
      <w:r>
        <w:rPr>
          <w:rFonts w:hint="eastAsia" w:ascii="仿宋" w:hAnsi="仿宋" w:eastAsia="仿宋"/>
          <w:sz w:val="30"/>
          <w:lang w:val="zh-CN"/>
        </w:rPr>
        <w:t>机关运行经费：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jc w:val="center"/>
        <w:rPr>
          <w:rFonts w:hint="eastAsia" w:ascii="仿宋" w:hAnsi="仿宋" w:eastAsia="仿宋"/>
          <w:kern w:val="0"/>
          <w:sz w:val="30"/>
          <w:lang w:val="en-US"/>
        </w:rPr>
      </w:pPr>
      <w:r>
        <w:rPr>
          <w:rFonts w:hint="eastAsia" w:ascii="仿宋" w:hAnsi="仿宋" w:eastAsia="仿宋"/>
          <w:kern w:val="0"/>
          <w:sz w:val="30"/>
          <w:lang w:val="en-US"/>
        </w:rPr>
        <w:t>项目支出绩效自评表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6"/>
        <w:gridCol w:w="2160"/>
        <w:gridCol w:w="1966"/>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6" w:type="dxa"/>
            <w:noWrap w:val="0"/>
            <w:vAlign w:val="top"/>
          </w:tcPr>
          <w:p>
            <w:pPr>
              <w:jc w:val="center"/>
              <w:rPr>
                <w:rFonts w:hint="eastAsia" w:ascii="仿宋" w:hAnsi="仿宋" w:eastAsia="仿宋"/>
                <w:kern w:val="0"/>
                <w:sz w:val="30"/>
                <w:vertAlign w:val="baseline"/>
                <w:lang w:val="en-US" w:eastAsia="zh-CN"/>
              </w:rPr>
            </w:pPr>
            <w:r>
              <w:rPr>
                <w:rFonts w:hint="eastAsia" w:ascii="仿宋" w:hAnsi="仿宋" w:eastAsia="仿宋"/>
                <w:kern w:val="0"/>
                <w:sz w:val="30"/>
                <w:lang w:val="en-US" w:eastAsia="zh-CN"/>
              </w:rPr>
              <w:t>项目</w:t>
            </w:r>
          </w:p>
        </w:tc>
        <w:tc>
          <w:tcPr>
            <w:tcW w:w="2160" w:type="dxa"/>
            <w:noWrap w:val="0"/>
            <w:vAlign w:val="top"/>
          </w:tcPr>
          <w:p>
            <w:pPr>
              <w:jc w:val="center"/>
              <w:rPr>
                <w:rFonts w:hint="eastAsia" w:ascii="仿宋" w:hAnsi="仿宋" w:eastAsia="仿宋"/>
                <w:kern w:val="0"/>
                <w:sz w:val="30"/>
                <w:vertAlign w:val="baseline"/>
                <w:lang w:val="en-US" w:eastAsia="zh-CN"/>
              </w:rPr>
            </w:pPr>
            <w:r>
              <w:rPr>
                <w:rFonts w:hint="eastAsia" w:ascii="仿宋" w:hAnsi="仿宋" w:eastAsia="仿宋"/>
                <w:kern w:val="0"/>
                <w:sz w:val="30"/>
                <w:vertAlign w:val="baseline"/>
                <w:lang w:val="en-US" w:eastAsia="zh-CN"/>
              </w:rPr>
              <w:t>预算执行比例</w:t>
            </w:r>
          </w:p>
        </w:tc>
        <w:tc>
          <w:tcPr>
            <w:tcW w:w="1966" w:type="dxa"/>
            <w:noWrap w:val="0"/>
            <w:vAlign w:val="top"/>
          </w:tcPr>
          <w:p>
            <w:pPr>
              <w:jc w:val="center"/>
              <w:rPr>
                <w:rFonts w:hint="eastAsia" w:ascii="仿宋" w:hAnsi="仿宋" w:eastAsia="仿宋"/>
                <w:kern w:val="0"/>
                <w:sz w:val="30"/>
                <w:vertAlign w:val="baseline"/>
                <w:lang w:val="en-US" w:eastAsia="zh-CN"/>
              </w:rPr>
            </w:pPr>
            <w:r>
              <w:rPr>
                <w:rFonts w:hint="eastAsia" w:ascii="仿宋" w:hAnsi="仿宋" w:eastAsia="仿宋"/>
                <w:kern w:val="0"/>
                <w:sz w:val="30"/>
                <w:vertAlign w:val="baseline"/>
                <w:lang w:val="en-US" w:eastAsia="zh-CN"/>
              </w:rPr>
              <w:t>评分</w:t>
            </w:r>
          </w:p>
        </w:tc>
        <w:tc>
          <w:tcPr>
            <w:tcW w:w="2214" w:type="dxa"/>
            <w:noWrap w:val="0"/>
            <w:vAlign w:val="top"/>
          </w:tcPr>
          <w:p>
            <w:pPr>
              <w:jc w:val="center"/>
              <w:rPr>
                <w:rFonts w:hint="eastAsia" w:ascii="仿宋" w:hAnsi="仿宋" w:eastAsia="仿宋"/>
                <w:kern w:val="0"/>
                <w:sz w:val="30"/>
                <w:vertAlign w:val="baseline"/>
                <w:lang w:val="en-US" w:eastAsia="zh-CN"/>
              </w:rPr>
            </w:pPr>
            <w:r>
              <w:rPr>
                <w:rFonts w:hint="eastAsia" w:ascii="仿宋" w:hAnsi="仿宋" w:eastAsia="仿宋"/>
                <w:kern w:val="0"/>
                <w:sz w:val="30"/>
                <w:vertAlign w:val="baseline"/>
                <w:lang w:val="en-US" w:eastAsia="zh-CN"/>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6" w:type="dxa"/>
            <w:noWrap w:val="0"/>
            <w:vAlign w:val="top"/>
          </w:tcPr>
          <w:p>
            <w:pPr>
              <w:jc w:val="center"/>
              <w:rPr>
                <w:rFonts w:hint="eastAsia" w:ascii="仿宋" w:hAnsi="仿宋" w:eastAsia="仿宋"/>
                <w:kern w:val="0"/>
                <w:sz w:val="30"/>
                <w:vertAlign w:val="baseline"/>
                <w:lang w:val="en-US" w:eastAsia="zh-CN"/>
              </w:rPr>
            </w:pPr>
            <w:r>
              <w:rPr>
                <w:rFonts w:hint="eastAsia" w:ascii="仿宋" w:hAnsi="仿宋" w:eastAsia="仿宋"/>
                <w:kern w:val="0"/>
                <w:sz w:val="30"/>
                <w:vertAlign w:val="baseline"/>
                <w:lang w:val="en-US" w:eastAsia="zh-CN"/>
              </w:rPr>
              <w:t>工资福利支出</w:t>
            </w:r>
          </w:p>
        </w:tc>
        <w:tc>
          <w:tcPr>
            <w:tcW w:w="2160" w:type="dxa"/>
            <w:noWrap w:val="0"/>
            <w:vAlign w:val="top"/>
          </w:tcPr>
          <w:p>
            <w:pPr>
              <w:jc w:val="center"/>
              <w:rPr>
                <w:rFonts w:hint="eastAsia" w:ascii="仿宋" w:hAnsi="仿宋" w:eastAsia="仿宋"/>
                <w:kern w:val="0"/>
                <w:sz w:val="30"/>
                <w:vertAlign w:val="baseline"/>
                <w:lang w:val="en-US" w:eastAsia="zh-CN"/>
              </w:rPr>
            </w:pPr>
            <w:r>
              <w:rPr>
                <w:rFonts w:hint="eastAsia" w:ascii="仿宋" w:hAnsi="仿宋" w:eastAsia="仿宋"/>
                <w:kern w:val="0"/>
                <w:sz w:val="30"/>
                <w:vertAlign w:val="baseline"/>
                <w:lang w:val="en-US" w:eastAsia="zh-CN"/>
              </w:rPr>
              <w:t>88%</w:t>
            </w:r>
          </w:p>
        </w:tc>
        <w:tc>
          <w:tcPr>
            <w:tcW w:w="1966" w:type="dxa"/>
            <w:noWrap w:val="0"/>
            <w:vAlign w:val="top"/>
          </w:tcPr>
          <w:p>
            <w:pPr>
              <w:jc w:val="center"/>
              <w:rPr>
                <w:rFonts w:hint="eastAsia" w:ascii="仿宋" w:hAnsi="仿宋" w:eastAsia="仿宋"/>
                <w:kern w:val="0"/>
                <w:sz w:val="30"/>
                <w:vertAlign w:val="baseline"/>
                <w:lang w:val="en-US" w:eastAsia="zh-CN"/>
              </w:rPr>
            </w:pPr>
            <w:r>
              <w:rPr>
                <w:rFonts w:hint="eastAsia" w:ascii="仿宋" w:hAnsi="仿宋" w:eastAsia="仿宋"/>
                <w:kern w:val="0"/>
                <w:sz w:val="30"/>
                <w:vertAlign w:val="baseline"/>
                <w:lang w:val="en-US" w:eastAsia="zh-CN"/>
              </w:rPr>
              <w:t>89</w:t>
            </w:r>
          </w:p>
        </w:tc>
        <w:tc>
          <w:tcPr>
            <w:tcW w:w="2214" w:type="dxa"/>
            <w:noWrap w:val="0"/>
            <w:vAlign w:val="top"/>
          </w:tcPr>
          <w:p>
            <w:pPr>
              <w:jc w:val="center"/>
              <w:rPr>
                <w:rFonts w:hint="eastAsia" w:ascii="仿宋" w:hAnsi="仿宋" w:eastAsia="仿宋"/>
                <w:kern w:val="0"/>
                <w:sz w:val="30"/>
                <w:vertAlign w:val="baseline"/>
                <w:lang w:val="en-US" w:eastAsia="zh-CN"/>
              </w:rPr>
            </w:pPr>
            <w:r>
              <w:rPr>
                <w:rFonts w:hint="eastAsia" w:ascii="仿宋" w:hAnsi="仿宋" w:eastAsia="仿宋"/>
                <w:kern w:val="0"/>
                <w:sz w:val="30"/>
                <w:vertAlign w:val="baseli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6" w:type="dxa"/>
            <w:noWrap w:val="0"/>
            <w:vAlign w:val="top"/>
          </w:tcPr>
          <w:p>
            <w:pPr>
              <w:jc w:val="center"/>
              <w:rPr>
                <w:rFonts w:hint="eastAsia" w:ascii="仿宋" w:hAnsi="仿宋" w:eastAsia="仿宋"/>
                <w:kern w:val="0"/>
                <w:sz w:val="30"/>
                <w:vertAlign w:val="baseline"/>
                <w:lang w:val="en-US" w:eastAsia="zh-CN"/>
              </w:rPr>
            </w:pPr>
            <w:r>
              <w:rPr>
                <w:rFonts w:hint="eastAsia" w:ascii="仿宋" w:hAnsi="仿宋" w:eastAsia="仿宋"/>
                <w:kern w:val="0"/>
                <w:sz w:val="30"/>
                <w:vertAlign w:val="baseline"/>
                <w:lang w:val="en-US" w:eastAsia="zh-CN"/>
              </w:rPr>
              <w:t>商品服务支出</w:t>
            </w:r>
          </w:p>
        </w:tc>
        <w:tc>
          <w:tcPr>
            <w:tcW w:w="2160" w:type="dxa"/>
            <w:noWrap w:val="0"/>
            <w:vAlign w:val="top"/>
          </w:tcPr>
          <w:p>
            <w:pPr>
              <w:jc w:val="center"/>
              <w:rPr>
                <w:rFonts w:hint="eastAsia" w:ascii="仿宋" w:hAnsi="仿宋" w:eastAsia="仿宋"/>
                <w:kern w:val="0"/>
                <w:sz w:val="30"/>
                <w:vertAlign w:val="baseline"/>
                <w:lang w:val="en-US" w:eastAsia="zh-CN"/>
              </w:rPr>
            </w:pPr>
            <w:r>
              <w:rPr>
                <w:rFonts w:hint="eastAsia" w:ascii="仿宋" w:hAnsi="仿宋" w:eastAsia="仿宋"/>
                <w:kern w:val="0"/>
                <w:sz w:val="30"/>
                <w:vertAlign w:val="baseline"/>
                <w:lang w:val="en-US" w:eastAsia="zh-CN"/>
              </w:rPr>
              <w:t>102%</w:t>
            </w:r>
          </w:p>
        </w:tc>
        <w:tc>
          <w:tcPr>
            <w:tcW w:w="1966" w:type="dxa"/>
            <w:noWrap w:val="0"/>
            <w:vAlign w:val="top"/>
          </w:tcPr>
          <w:p>
            <w:pPr>
              <w:jc w:val="center"/>
              <w:rPr>
                <w:rFonts w:hint="eastAsia" w:ascii="仿宋" w:hAnsi="仿宋" w:eastAsia="仿宋"/>
                <w:kern w:val="0"/>
                <w:sz w:val="30"/>
                <w:vertAlign w:val="baseline"/>
                <w:lang w:val="en-US" w:eastAsia="zh-CN"/>
              </w:rPr>
            </w:pPr>
            <w:r>
              <w:rPr>
                <w:rFonts w:hint="eastAsia" w:ascii="仿宋" w:hAnsi="仿宋" w:eastAsia="仿宋"/>
                <w:kern w:val="0"/>
                <w:sz w:val="30"/>
                <w:vertAlign w:val="baseline"/>
                <w:lang w:val="en-US" w:eastAsia="zh-CN"/>
              </w:rPr>
              <w:t>96</w:t>
            </w:r>
          </w:p>
        </w:tc>
        <w:tc>
          <w:tcPr>
            <w:tcW w:w="2214" w:type="dxa"/>
            <w:noWrap w:val="0"/>
            <w:vAlign w:val="top"/>
          </w:tcPr>
          <w:p>
            <w:pPr>
              <w:jc w:val="center"/>
              <w:rPr>
                <w:rFonts w:hint="eastAsia" w:ascii="仿宋" w:hAnsi="仿宋" w:eastAsia="仿宋"/>
                <w:kern w:val="0"/>
                <w:sz w:val="30"/>
                <w:vertAlign w:val="baseline"/>
                <w:lang w:val="en-US"/>
              </w:rPr>
            </w:pPr>
            <w:r>
              <w:rPr>
                <w:rFonts w:hint="eastAsia" w:ascii="仿宋" w:hAnsi="仿宋" w:eastAsia="仿宋"/>
                <w:kern w:val="0"/>
                <w:sz w:val="30"/>
                <w:vertAlign w:val="baseli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6" w:type="dxa"/>
            <w:noWrap w:val="0"/>
            <w:vAlign w:val="top"/>
          </w:tcPr>
          <w:p>
            <w:pPr>
              <w:jc w:val="center"/>
              <w:rPr>
                <w:rFonts w:hint="eastAsia" w:ascii="仿宋" w:hAnsi="仿宋" w:eastAsia="仿宋"/>
                <w:kern w:val="0"/>
                <w:sz w:val="30"/>
                <w:vertAlign w:val="baseline"/>
                <w:lang w:val="en-US" w:eastAsia="zh-CN"/>
              </w:rPr>
            </w:pPr>
            <w:r>
              <w:rPr>
                <w:rFonts w:hint="eastAsia" w:ascii="仿宋" w:hAnsi="仿宋" w:eastAsia="仿宋"/>
                <w:kern w:val="0"/>
                <w:sz w:val="30"/>
                <w:vertAlign w:val="baseline"/>
                <w:lang w:val="en-US" w:eastAsia="zh-CN"/>
              </w:rPr>
              <w:t>对个人家庭补助</w:t>
            </w:r>
          </w:p>
        </w:tc>
        <w:tc>
          <w:tcPr>
            <w:tcW w:w="2160" w:type="dxa"/>
            <w:noWrap w:val="0"/>
            <w:vAlign w:val="top"/>
          </w:tcPr>
          <w:p>
            <w:pPr>
              <w:jc w:val="center"/>
              <w:rPr>
                <w:rFonts w:hint="eastAsia" w:ascii="仿宋" w:hAnsi="仿宋" w:eastAsia="仿宋"/>
                <w:kern w:val="0"/>
                <w:sz w:val="30"/>
                <w:vertAlign w:val="baseline"/>
                <w:lang w:val="en-US" w:eastAsia="zh-CN"/>
              </w:rPr>
            </w:pPr>
            <w:r>
              <w:rPr>
                <w:rFonts w:hint="eastAsia" w:ascii="仿宋" w:hAnsi="仿宋" w:eastAsia="仿宋"/>
                <w:kern w:val="0"/>
                <w:sz w:val="30"/>
                <w:vertAlign w:val="baseline"/>
                <w:lang w:val="en-US" w:eastAsia="zh-CN"/>
              </w:rPr>
              <w:t>900%</w:t>
            </w:r>
          </w:p>
        </w:tc>
        <w:tc>
          <w:tcPr>
            <w:tcW w:w="1966" w:type="dxa"/>
            <w:noWrap w:val="0"/>
            <w:vAlign w:val="top"/>
          </w:tcPr>
          <w:p>
            <w:pPr>
              <w:jc w:val="center"/>
              <w:rPr>
                <w:rFonts w:hint="eastAsia" w:ascii="仿宋" w:hAnsi="仿宋" w:eastAsia="仿宋"/>
                <w:kern w:val="0"/>
                <w:sz w:val="30"/>
                <w:vertAlign w:val="baseline"/>
                <w:lang w:val="en-US" w:eastAsia="zh-CN"/>
              </w:rPr>
            </w:pPr>
            <w:r>
              <w:rPr>
                <w:rFonts w:hint="eastAsia" w:ascii="仿宋" w:hAnsi="仿宋" w:eastAsia="仿宋"/>
                <w:kern w:val="0"/>
                <w:sz w:val="30"/>
                <w:vertAlign w:val="baseline"/>
                <w:lang w:val="en-US" w:eastAsia="zh-CN"/>
              </w:rPr>
              <w:t>50</w:t>
            </w:r>
          </w:p>
        </w:tc>
        <w:tc>
          <w:tcPr>
            <w:tcW w:w="2214" w:type="dxa"/>
            <w:noWrap w:val="0"/>
            <w:vAlign w:val="top"/>
          </w:tcPr>
          <w:p>
            <w:pPr>
              <w:jc w:val="center"/>
              <w:rPr>
                <w:rFonts w:hint="eastAsia" w:ascii="仿宋" w:hAnsi="仿宋" w:eastAsia="仿宋"/>
                <w:kern w:val="0"/>
                <w:sz w:val="30"/>
                <w:vertAlign w:val="baseline"/>
                <w:lang w:val="en-US"/>
              </w:rPr>
            </w:pPr>
            <w:r>
              <w:rPr>
                <w:rFonts w:hint="eastAsia" w:ascii="仿宋" w:hAnsi="仿宋" w:eastAsia="仿宋"/>
                <w:kern w:val="0"/>
                <w:sz w:val="30"/>
                <w:vertAlign w:val="baseli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6" w:type="dxa"/>
            <w:noWrap w:val="0"/>
            <w:vAlign w:val="top"/>
          </w:tcPr>
          <w:p>
            <w:pPr>
              <w:jc w:val="center"/>
              <w:rPr>
                <w:rFonts w:hint="eastAsia" w:ascii="仿宋" w:hAnsi="仿宋" w:eastAsia="仿宋"/>
                <w:kern w:val="0"/>
                <w:sz w:val="30"/>
                <w:vertAlign w:val="baseline"/>
                <w:lang w:val="en-US" w:eastAsia="zh-CN"/>
              </w:rPr>
            </w:pPr>
            <w:r>
              <w:rPr>
                <w:rFonts w:hint="eastAsia" w:ascii="仿宋" w:hAnsi="仿宋" w:eastAsia="仿宋"/>
                <w:kern w:val="0"/>
                <w:sz w:val="30"/>
                <w:vertAlign w:val="baseline"/>
                <w:lang w:val="en-US" w:eastAsia="zh-CN"/>
              </w:rPr>
              <w:t>基本建设支出</w:t>
            </w:r>
          </w:p>
        </w:tc>
        <w:tc>
          <w:tcPr>
            <w:tcW w:w="2160" w:type="dxa"/>
            <w:noWrap w:val="0"/>
            <w:vAlign w:val="top"/>
          </w:tcPr>
          <w:p>
            <w:pPr>
              <w:jc w:val="center"/>
              <w:rPr>
                <w:rFonts w:hint="eastAsia" w:ascii="仿宋" w:hAnsi="仿宋" w:eastAsia="仿宋"/>
                <w:kern w:val="0"/>
                <w:sz w:val="30"/>
                <w:vertAlign w:val="baseline"/>
                <w:lang w:val="en-US" w:eastAsia="zh-CN"/>
              </w:rPr>
            </w:pPr>
            <w:r>
              <w:rPr>
                <w:rFonts w:hint="eastAsia" w:ascii="仿宋" w:hAnsi="仿宋" w:eastAsia="仿宋"/>
                <w:kern w:val="0"/>
                <w:sz w:val="30"/>
                <w:vertAlign w:val="baseline"/>
                <w:lang w:val="en-US" w:eastAsia="zh-CN"/>
              </w:rPr>
              <w:t>32.86%</w:t>
            </w:r>
          </w:p>
        </w:tc>
        <w:tc>
          <w:tcPr>
            <w:tcW w:w="1966" w:type="dxa"/>
            <w:noWrap w:val="0"/>
            <w:vAlign w:val="top"/>
          </w:tcPr>
          <w:p>
            <w:pPr>
              <w:jc w:val="center"/>
              <w:rPr>
                <w:rFonts w:hint="eastAsia" w:ascii="仿宋" w:hAnsi="仿宋" w:eastAsia="仿宋"/>
                <w:kern w:val="0"/>
                <w:sz w:val="30"/>
                <w:vertAlign w:val="baseline"/>
                <w:lang w:val="en-US" w:eastAsia="zh-CN"/>
              </w:rPr>
            </w:pPr>
            <w:r>
              <w:rPr>
                <w:rFonts w:hint="eastAsia" w:ascii="仿宋" w:hAnsi="仿宋" w:eastAsia="仿宋"/>
                <w:kern w:val="0"/>
                <w:sz w:val="30"/>
                <w:vertAlign w:val="baseline"/>
                <w:lang w:val="en-US" w:eastAsia="zh-CN"/>
              </w:rPr>
              <w:t>60</w:t>
            </w:r>
          </w:p>
        </w:tc>
        <w:tc>
          <w:tcPr>
            <w:tcW w:w="2214" w:type="dxa"/>
            <w:noWrap w:val="0"/>
            <w:vAlign w:val="top"/>
          </w:tcPr>
          <w:p>
            <w:pPr>
              <w:jc w:val="center"/>
              <w:rPr>
                <w:rFonts w:hint="eastAsia" w:ascii="仿宋" w:hAnsi="仿宋" w:eastAsia="仿宋"/>
                <w:kern w:val="0"/>
                <w:sz w:val="30"/>
                <w:vertAlign w:val="baseline"/>
                <w:lang w:val="en-US"/>
              </w:rPr>
            </w:pPr>
            <w:r>
              <w:rPr>
                <w:rFonts w:hint="eastAsia" w:ascii="仿宋" w:hAnsi="仿宋" w:eastAsia="仿宋"/>
                <w:kern w:val="0"/>
                <w:sz w:val="30"/>
                <w:vertAlign w:val="baseli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6" w:type="dxa"/>
            <w:noWrap w:val="0"/>
            <w:vAlign w:val="top"/>
          </w:tcPr>
          <w:p>
            <w:pPr>
              <w:jc w:val="center"/>
              <w:rPr>
                <w:rFonts w:hint="eastAsia" w:ascii="仿宋" w:hAnsi="仿宋" w:eastAsia="仿宋"/>
                <w:kern w:val="0"/>
                <w:sz w:val="30"/>
                <w:vertAlign w:val="baseline"/>
                <w:lang w:val="en-US" w:eastAsia="zh-CN"/>
              </w:rPr>
            </w:pPr>
            <w:r>
              <w:rPr>
                <w:rFonts w:hint="eastAsia" w:ascii="仿宋" w:hAnsi="仿宋" w:eastAsia="仿宋"/>
                <w:kern w:val="0"/>
                <w:sz w:val="30"/>
                <w:vertAlign w:val="baseline"/>
                <w:lang w:val="en-US" w:eastAsia="zh-CN"/>
              </w:rPr>
              <w:t>其他资本性支出</w:t>
            </w:r>
          </w:p>
        </w:tc>
        <w:tc>
          <w:tcPr>
            <w:tcW w:w="2160" w:type="dxa"/>
            <w:noWrap w:val="0"/>
            <w:vAlign w:val="top"/>
          </w:tcPr>
          <w:p>
            <w:pPr>
              <w:jc w:val="center"/>
              <w:rPr>
                <w:rFonts w:hint="eastAsia" w:ascii="仿宋" w:hAnsi="仿宋" w:eastAsia="仿宋"/>
                <w:kern w:val="0"/>
                <w:sz w:val="30"/>
                <w:vertAlign w:val="baseline"/>
                <w:lang w:val="en-US" w:eastAsia="zh-CN"/>
              </w:rPr>
            </w:pPr>
            <w:r>
              <w:rPr>
                <w:rFonts w:hint="eastAsia" w:ascii="仿宋" w:hAnsi="仿宋" w:eastAsia="仿宋"/>
                <w:kern w:val="0"/>
                <w:sz w:val="30"/>
                <w:vertAlign w:val="baseline"/>
                <w:lang w:val="en-US" w:eastAsia="zh-CN"/>
              </w:rPr>
              <w:t>593%</w:t>
            </w:r>
          </w:p>
        </w:tc>
        <w:tc>
          <w:tcPr>
            <w:tcW w:w="1966" w:type="dxa"/>
            <w:noWrap w:val="0"/>
            <w:vAlign w:val="top"/>
          </w:tcPr>
          <w:p>
            <w:pPr>
              <w:jc w:val="center"/>
              <w:rPr>
                <w:rFonts w:hint="eastAsia" w:ascii="仿宋" w:hAnsi="仿宋" w:eastAsia="仿宋"/>
                <w:kern w:val="0"/>
                <w:sz w:val="30"/>
                <w:vertAlign w:val="baseline"/>
                <w:lang w:val="en-US" w:eastAsia="zh-CN"/>
              </w:rPr>
            </w:pPr>
            <w:r>
              <w:rPr>
                <w:rFonts w:hint="eastAsia" w:ascii="仿宋" w:hAnsi="仿宋" w:eastAsia="仿宋"/>
                <w:kern w:val="0"/>
                <w:sz w:val="30"/>
                <w:vertAlign w:val="baseline"/>
                <w:lang w:val="en-US" w:eastAsia="zh-CN"/>
              </w:rPr>
              <w:t>60</w:t>
            </w:r>
          </w:p>
        </w:tc>
        <w:tc>
          <w:tcPr>
            <w:tcW w:w="2214" w:type="dxa"/>
            <w:noWrap w:val="0"/>
            <w:vAlign w:val="top"/>
          </w:tcPr>
          <w:p>
            <w:pPr>
              <w:jc w:val="center"/>
              <w:rPr>
                <w:rFonts w:hint="eastAsia" w:ascii="仿宋" w:hAnsi="仿宋" w:eastAsia="仿宋"/>
                <w:kern w:val="0"/>
                <w:sz w:val="30"/>
                <w:vertAlign w:val="baseline"/>
                <w:lang w:val="en-US"/>
              </w:rPr>
            </w:pPr>
            <w:r>
              <w:rPr>
                <w:rFonts w:hint="eastAsia" w:ascii="仿宋" w:hAnsi="仿宋" w:eastAsia="仿宋"/>
                <w:kern w:val="0"/>
                <w:sz w:val="30"/>
                <w:vertAlign w:val="baseli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6" w:type="dxa"/>
            <w:noWrap w:val="0"/>
            <w:vAlign w:val="top"/>
          </w:tcPr>
          <w:p>
            <w:pPr>
              <w:jc w:val="center"/>
              <w:rPr>
                <w:rFonts w:hint="eastAsia" w:ascii="仿宋" w:hAnsi="仿宋" w:eastAsia="仿宋"/>
                <w:kern w:val="0"/>
                <w:sz w:val="30"/>
                <w:vertAlign w:val="baseline"/>
                <w:lang w:val="en-US" w:eastAsia="zh-CN"/>
              </w:rPr>
            </w:pPr>
            <w:r>
              <w:rPr>
                <w:rFonts w:hint="eastAsia" w:ascii="仿宋" w:hAnsi="仿宋" w:eastAsia="仿宋"/>
                <w:kern w:val="0"/>
                <w:sz w:val="30"/>
                <w:vertAlign w:val="baseline"/>
                <w:lang w:val="en-US" w:eastAsia="zh-CN"/>
              </w:rPr>
              <w:t>总计</w:t>
            </w:r>
          </w:p>
        </w:tc>
        <w:tc>
          <w:tcPr>
            <w:tcW w:w="2160" w:type="dxa"/>
            <w:noWrap w:val="0"/>
            <w:vAlign w:val="top"/>
          </w:tcPr>
          <w:p>
            <w:pPr>
              <w:jc w:val="center"/>
              <w:rPr>
                <w:rFonts w:hint="eastAsia" w:ascii="仿宋" w:hAnsi="仿宋" w:eastAsia="仿宋"/>
                <w:kern w:val="0"/>
                <w:sz w:val="30"/>
                <w:vertAlign w:val="baseline"/>
                <w:lang w:val="en-US"/>
              </w:rPr>
            </w:pPr>
          </w:p>
        </w:tc>
        <w:tc>
          <w:tcPr>
            <w:tcW w:w="1966" w:type="dxa"/>
            <w:noWrap w:val="0"/>
            <w:vAlign w:val="top"/>
          </w:tcPr>
          <w:p>
            <w:pPr>
              <w:jc w:val="center"/>
              <w:rPr>
                <w:rFonts w:hint="eastAsia" w:ascii="仿宋" w:hAnsi="仿宋" w:eastAsia="仿宋"/>
                <w:kern w:val="0"/>
                <w:sz w:val="30"/>
                <w:vertAlign w:val="baseline"/>
                <w:lang w:val="en-US"/>
              </w:rPr>
            </w:pPr>
          </w:p>
        </w:tc>
        <w:tc>
          <w:tcPr>
            <w:tcW w:w="2214" w:type="dxa"/>
            <w:noWrap w:val="0"/>
            <w:vAlign w:val="top"/>
          </w:tcPr>
          <w:p>
            <w:pPr>
              <w:jc w:val="center"/>
              <w:rPr>
                <w:rFonts w:hint="eastAsia" w:ascii="仿宋" w:hAnsi="仿宋" w:eastAsia="仿宋"/>
                <w:kern w:val="0"/>
                <w:sz w:val="30"/>
                <w:vertAlign w:val="baseline"/>
                <w:lang w:val="en-US" w:eastAsia="zh-CN"/>
              </w:rPr>
            </w:pPr>
            <w:r>
              <w:rPr>
                <w:rFonts w:hint="eastAsia" w:ascii="仿宋" w:hAnsi="仿宋" w:eastAsia="仿宋"/>
                <w:kern w:val="0"/>
                <w:sz w:val="30"/>
                <w:vertAlign w:val="baseline"/>
                <w:lang w:val="en-US" w:eastAsia="zh-CN"/>
              </w:rPr>
              <w:t>71</w:t>
            </w:r>
          </w:p>
        </w:tc>
      </w:tr>
    </w:tbl>
    <w:p>
      <w:pPr>
        <w:spacing w:beforeLines="0" w:afterLines="0"/>
        <w:ind w:firstLine="630"/>
        <w:jc w:val="left"/>
        <w:rPr>
          <w:rFonts w:hint="eastAsia" w:ascii="仿宋" w:hAnsi="仿宋" w:eastAsia="仿宋"/>
          <w:sz w:val="30"/>
          <w:lang w:val="en-US"/>
        </w:rPr>
      </w:pPr>
      <w:bookmarkStart w:id="0" w:name="_GoBack"/>
      <w:bookmarkEnd w:id="0"/>
    </w:p>
    <w:p>
      <w:pPr>
        <w:widowControl/>
        <w:spacing w:line="580" w:lineRule="exact"/>
        <w:jc w:val="left"/>
        <w:rPr>
          <w:rFonts w:hint="eastAsia" w:ascii="仿宋" w:hAnsi="仿宋" w:eastAsia="仿宋"/>
          <w:kern w:val="0"/>
          <w:sz w:val="30"/>
          <w:szCs w:val="30"/>
        </w:rPr>
      </w:pPr>
    </w:p>
    <w:p>
      <w:pPr>
        <w:ind w:firstLine="630"/>
        <w:jc w:val="left"/>
        <w:rPr>
          <w:rFonts w:ascii="仿宋" w:hAnsi="仿宋" w:eastAsia="仿宋"/>
          <w:sz w:val="30"/>
          <w:szCs w:val="30"/>
        </w:rPr>
      </w:pP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2C1F17"/>
    <w:rsid w:val="15D91877"/>
    <w:rsid w:val="1FEE3AE4"/>
    <w:rsid w:val="2A334965"/>
    <w:rsid w:val="32533C58"/>
    <w:rsid w:val="4051477C"/>
    <w:rsid w:val="653907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100" w:beforeAutospacing="1" w:after="100" w:afterAutospacing="1"/>
      <w:ind w:left="0" w:right="0"/>
      <w:jc w:val="left"/>
    </w:pPr>
    <w:rPr>
      <w:kern w:val="0"/>
      <w:sz w:val="24"/>
      <w:lang w:val="en-US" w:eastAsia="zh-CN" w:bidi="ar"/>
    </w:r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p0"/>
    <w:basedOn w:val="1"/>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11.png"/><Relationship Id="rId13" Type="http://schemas.openxmlformats.org/officeDocument/2006/relationships/image" Target="media/image10.emf"/><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2019-11-07T01:26:25Z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