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hint="eastAsia" w:ascii="宋体" w:hAnsi="宋体"/>
          <w:b/>
          <w:sz w:val="32"/>
          <w:szCs w:val="30"/>
        </w:rPr>
      </w:pPr>
      <w:r>
        <w:rPr>
          <w:rFonts w:hint="eastAsia" w:ascii="宋体" w:hAnsi="宋体"/>
          <w:b/>
          <w:sz w:val="44"/>
          <w:szCs w:val="44"/>
          <w:lang w:val="en-US" w:eastAsia="zh-CN"/>
        </w:rPr>
        <w:t>庐山市文联</w:t>
      </w:r>
      <w:r>
        <w:rPr>
          <w:rFonts w:hint="eastAsia" w:ascii="宋体" w:hAnsi="宋体"/>
          <w:b/>
          <w:sz w:val="44"/>
          <w:szCs w:val="44"/>
        </w:rPr>
        <w:t>201</w:t>
      </w:r>
      <w:r>
        <w:rPr>
          <w:rFonts w:hint="eastAsia" w:ascii="宋体" w:hAnsi="宋体"/>
          <w:b/>
          <w:sz w:val="44"/>
          <w:szCs w:val="44"/>
          <w:lang w:val="en-US" w:eastAsia="zh-CN"/>
        </w:rPr>
        <w:t>8</w:t>
      </w:r>
      <w:r>
        <w:rPr>
          <w:rFonts w:hint="eastAsia" w:ascii="宋体" w:hAnsi="宋体"/>
          <w:b/>
          <w:sz w:val="44"/>
          <w:szCs w:val="44"/>
        </w:rPr>
        <w:t>年部门决算编制说明</w:t>
      </w:r>
    </w:p>
    <w:p>
      <w:pPr>
        <w:widowControl/>
        <w:spacing w:line="580" w:lineRule="exact"/>
        <w:jc w:val="center"/>
        <w:rPr>
          <w:rFonts w:hint="eastAsia" w:ascii="宋体" w:hAnsi="宋体"/>
          <w:b/>
          <w:sz w:val="32"/>
          <w:szCs w:val="30"/>
        </w:rPr>
      </w:pPr>
    </w:p>
    <w:p>
      <w:pPr>
        <w:widowControl/>
        <w:spacing w:line="580" w:lineRule="exact"/>
        <w:jc w:val="center"/>
        <w:rPr>
          <w:rFonts w:hint="eastAsia"/>
          <w:sz w:val="32"/>
          <w:szCs w:val="32"/>
        </w:rPr>
      </w:pPr>
      <w:r>
        <w:rPr>
          <w:rFonts w:hint="eastAsia" w:ascii="宋体" w:hAnsi="宋体"/>
          <w:b/>
          <w:sz w:val="32"/>
          <w:szCs w:val="30"/>
        </w:rPr>
        <w:t xml:space="preserve">第一部分  </w:t>
      </w:r>
      <w:r>
        <w:rPr>
          <w:rFonts w:hint="eastAsia" w:ascii="宋体" w:hAnsi="宋体"/>
          <w:b/>
          <w:sz w:val="32"/>
          <w:szCs w:val="32"/>
        </w:rPr>
        <w:t>庐山市文联部门</w:t>
      </w:r>
      <w:r>
        <w:rPr>
          <w:rFonts w:hint="eastAsia" w:ascii="宋体" w:hAnsi="宋体"/>
          <w:b/>
          <w:sz w:val="32"/>
          <w:szCs w:val="30"/>
        </w:rPr>
        <w:t>概况</w:t>
      </w:r>
      <w:bookmarkStart w:id="0" w:name="_GoBack"/>
      <w:bookmarkEnd w:id="0"/>
    </w:p>
    <w:p>
      <w:pPr>
        <w:ind w:firstLine="630"/>
        <w:jc w:val="left"/>
        <w:rPr>
          <w:rFonts w:hint="eastAsia" w:ascii="黑体" w:hAnsi="黑体" w:eastAsia="黑体"/>
          <w:sz w:val="30"/>
          <w:szCs w:val="30"/>
        </w:rPr>
      </w:pPr>
      <w:r>
        <w:rPr>
          <w:rFonts w:hint="eastAsia" w:ascii="黑体" w:hAnsi="黑体" w:eastAsia="黑体"/>
          <w:sz w:val="30"/>
          <w:szCs w:val="30"/>
        </w:rPr>
        <w:t>一、部门主要职能</w:t>
      </w:r>
    </w:p>
    <w:p>
      <w:pPr>
        <w:pStyle w:val="2"/>
        <w:spacing w:before="0" w:beforeAutospacing="0" w:after="0" w:afterAutospacing="0" w:line="276" w:lineRule="auto"/>
        <w:ind w:firstLine="560" w:firstLineChars="200"/>
        <w:rPr>
          <w:rFonts w:hint="eastAsia"/>
          <w:kern w:val="2"/>
          <w:sz w:val="28"/>
          <w:szCs w:val="28"/>
        </w:rPr>
      </w:pPr>
      <w:r>
        <w:rPr>
          <w:rFonts w:hint="eastAsia"/>
          <w:kern w:val="2"/>
          <w:sz w:val="28"/>
          <w:szCs w:val="28"/>
        </w:rPr>
        <w:t>1.在中国共产党的领导下，高举邓小平理论伟大旗帜，坚持先进文化的发展方向，贯彻“百花齐放、百家争鸣”的方针，团结全市文艺工作者，繁荣和发展社会主义文艺事业，为满足广大人民群众日益增长的文化生活的需要，为社会精神文明建设和经济建设服务。</w:t>
      </w:r>
    </w:p>
    <w:p>
      <w:pPr>
        <w:pStyle w:val="2"/>
        <w:spacing w:before="0" w:beforeAutospacing="0" w:after="0" w:afterAutospacing="0" w:line="276" w:lineRule="auto"/>
        <w:ind w:firstLine="560" w:firstLineChars="200"/>
        <w:rPr>
          <w:rFonts w:hint="eastAsia"/>
          <w:kern w:val="2"/>
          <w:sz w:val="28"/>
          <w:szCs w:val="28"/>
        </w:rPr>
      </w:pPr>
      <w:r>
        <w:rPr>
          <w:rFonts w:hint="eastAsia"/>
          <w:kern w:val="2"/>
          <w:sz w:val="28"/>
          <w:szCs w:val="28"/>
        </w:rPr>
        <w:t>2.履行对各文学艺术协会的协调、联络、服务职能。</w:t>
      </w:r>
    </w:p>
    <w:p>
      <w:pPr>
        <w:pStyle w:val="2"/>
        <w:spacing w:before="0" w:beforeAutospacing="0" w:after="0" w:afterAutospacing="0" w:line="276" w:lineRule="auto"/>
        <w:ind w:firstLine="560" w:firstLineChars="200"/>
        <w:rPr>
          <w:rFonts w:hint="eastAsia"/>
          <w:kern w:val="2"/>
          <w:sz w:val="28"/>
          <w:szCs w:val="28"/>
        </w:rPr>
      </w:pPr>
      <w:r>
        <w:rPr>
          <w:rFonts w:hint="eastAsia"/>
          <w:kern w:val="2"/>
          <w:sz w:val="28"/>
          <w:szCs w:val="28"/>
        </w:rPr>
        <w:t>3.组织文艺工作者接触社会实际，深入生活，努力学习理论，加强艺术实践，交流创作经验与进行文艺观摩，不断提高文学艺术的思想水平和艺术水平。</w:t>
      </w:r>
    </w:p>
    <w:p>
      <w:pPr>
        <w:pStyle w:val="2"/>
        <w:spacing w:before="0" w:beforeAutospacing="0" w:after="0" w:afterAutospacing="0" w:line="276" w:lineRule="auto"/>
        <w:ind w:firstLine="560" w:firstLineChars="200"/>
        <w:rPr>
          <w:rFonts w:hint="eastAsia"/>
          <w:kern w:val="2"/>
          <w:sz w:val="28"/>
          <w:szCs w:val="28"/>
        </w:rPr>
      </w:pPr>
      <w:r>
        <w:rPr>
          <w:rFonts w:hint="eastAsia"/>
          <w:kern w:val="2"/>
          <w:sz w:val="28"/>
          <w:szCs w:val="28"/>
        </w:rPr>
        <w:t>4.大力弘扬时代主旋律，提倡多样化，继承和发扬民族优秀文化传统。</w:t>
      </w:r>
    </w:p>
    <w:p>
      <w:pPr>
        <w:pStyle w:val="2"/>
        <w:spacing w:before="0" w:beforeAutospacing="0" w:after="0" w:afterAutospacing="0" w:line="276" w:lineRule="auto"/>
        <w:ind w:firstLine="560" w:firstLineChars="200"/>
        <w:rPr>
          <w:rFonts w:hint="eastAsia"/>
          <w:kern w:val="2"/>
          <w:sz w:val="28"/>
          <w:szCs w:val="28"/>
        </w:rPr>
      </w:pPr>
      <w:r>
        <w:rPr>
          <w:rFonts w:hint="eastAsia"/>
          <w:kern w:val="2"/>
          <w:sz w:val="28"/>
          <w:szCs w:val="28"/>
        </w:rPr>
        <w:t>5.积极发现培养文艺新人，不断壮大文艺队伍。出作品、出人才。</w:t>
      </w:r>
    </w:p>
    <w:p>
      <w:pPr>
        <w:ind w:firstLine="560" w:firstLineChars="200"/>
        <w:rPr>
          <w:rFonts w:hint="eastAsia" w:ascii="宋体" w:hAnsi="宋体" w:cs="宋体"/>
          <w:sz w:val="28"/>
          <w:szCs w:val="28"/>
        </w:rPr>
      </w:pPr>
      <w:r>
        <w:rPr>
          <w:rFonts w:hint="eastAsia" w:ascii="宋体" w:hAnsi="宋体" w:cs="宋体"/>
          <w:sz w:val="28"/>
          <w:szCs w:val="28"/>
        </w:rPr>
        <w:t>6.增强文艺工作者的团结，加强老、中、青文艺工作者和专业、业余文艺者的亲密合作关系。加强和省、市文艺工作及文艺团体的友往来和交流。</w:t>
      </w:r>
    </w:p>
    <w:p>
      <w:pPr>
        <w:ind w:firstLine="630"/>
        <w:jc w:val="left"/>
        <w:rPr>
          <w:rFonts w:hint="eastAsia" w:ascii="黑体" w:hAnsi="黑体" w:eastAsia="黑体"/>
          <w:sz w:val="30"/>
          <w:szCs w:val="30"/>
        </w:rPr>
      </w:pPr>
      <w:r>
        <w:rPr>
          <w:rFonts w:hint="eastAsia" w:ascii="黑体" w:hAnsi="黑体" w:eastAsia="黑体"/>
          <w:sz w:val="30"/>
          <w:szCs w:val="30"/>
        </w:rPr>
        <w:t>二、部门基本情况</w:t>
      </w:r>
    </w:p>
    <w:p>
      <w:pPr>
        <w:ind w:firstLine="630"/>
        <w:jc w:val="left"/>
        <w:rPr>
          <w:rFonts w:hint="eastAsia" w:ascii="仿宋" w:hAnsi="仿宋" w:eastAsia="仿宋"/>
          <w:sz w:val="30"/>
          <w:szCs w:val="30"/>
        </w:rPr>
      </w:pPr>
      <w:r>
        <w:rPr>
          <w:rFonts w:hint="eastAsia" w:ascii="仿宋" w:hAnsi="仿宋" w:eastAsia="仿宋"/>
          <w:sz w:val="30"/>
          <w:szCs w:val="30"/>
        </w:rPr>
        <w:t>纳入本套部门决算汇编范围的单位共1个，包括：庐山市文联本级。</w:t>
      </w:r>
    </w:p>
    <w:p>
      <w:pPr>
        <w:ind w:firstLine="630"/>
        <w:jc w:val="left"/>
        <w:rPr>
          <w:rFonts w:hint="eastAsia" w:ascii="仿宋" w:hAnsi="仿宋" w:eastAsia="仿宋"/>
          <w:sz w:val="30"/>
          <w:szCs w:val="30"/>
        </w:rPr>
      </w:pPr>
      <w:r>
        <w:rPr>
          <w:rFonts w:hint="eastAsia" w:ascii="仿宋" w:hAnsi="仿宋" w:eastAsia="仿宋"/>
          <w:sz w:val="30"/>
          <w:szCs w:val="30"/>
        </w:rPr>
        <w:t>本部门2018年年末编制人数4人，其中行政编制4人，事业编制0人；年末实有人数6人，其中在职人员2人，离休人员0人，退休人员4人；年末学生人数0人。</w:t>
      </w:r>
    </w:p>
    <w:p>
      <w:pPr>
        <w:ind w:firstLine="630"/>
        <w:jc w:val="left"/>
        <w:rPr>
          <w:rFonts w:hint="eastAsia" w:ascii="仿宋" w:hAnsi="仿宋" w:eastAsia="仿宋"/>
          <w:sz w:val="30"/>
          <w:szCs w:val="30"/>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r>
        <w:rPr>
          <w:rFonts w:hint="eastAsia" w:ascii="宋体" w:hAnsi="宋体"/>
          <w:b/>
          <w:sz w:val="32"/>
          <w:szCs w:val="32"/>
        </w:rPr>
        <w:t>第二部分  2018年度部门决算表</w:t>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r>
        <w:rPr>
          <w:szCs w:val="30"/>
        </w:rPr>
        <w:drawing>
          <wp:inline distT="0" distB="0" distL="114300" distR="114300">
            <wp:extent cx="5287010" cy="4427855"/>
            <wp:effectExtent l="0" t="0" r="1270" b="6985"/>
            <wp:docPr id="5" name="图片 1" descr="1573488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573488111(1)"/>
                    <pic:cNvPicPr>
                      <a:picLocks noChangeAspect="1"/>
                    </pic:cNvPicPr>
                  </pic:nvPicPr>
                  <pic:blipFill>
                    <a:blip r:embed="rId4"/>
                    <a:stretch>
                      <a:fillRect/>
                    </a:stretch>
                  </pic:blipFill>
                  <pic:spPr>
                    <a:xfrm>
                      <a:off x="0" y="0"/>
                      <a:ext cx="5287010" cy="4427855"/>
                    </a:xfrm>
                    <a:prstGeom prst="rect">
                      <a:avLst/>
                    </a:prstGeom>
                    <a:noFill/>
                    <a:ln>
                      <a:noFill/>
                    </a:ln>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rPr>
      </w:pP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w:t>
      </w:r>
      <w:r>
        <w:rPr>
          <w:szCs w:val="30"/>
        </w:rPr>
        <w:drawing>
          <wp:inline distT="0" distB="0" distL="114300" distR="114300">
            <wp:extent cx="5252085" cy="2192020"/>
            <wp:effectExtent l="0" t="0" r="5715" b="2540"/>
            <wp:docPr id="7" name="图片 2" descr="1573488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1573488251(1)"/>
                    <pic:cNvPicPr>
                      <a:picLocks noChangeAspect="1"/>
                    </pic:cNvPicPr>
                  </pic:nvPicPr>
                  <pic:blipFill>
                    <a:blip r:embed="rId5"/>
                    <a:stretch>
                      <a:fillRect/>
                    </a:stretch>
                  </pic:blipFill>
                  <pic:spPr>
                    <a:xfrm>
                      <a:off x="0" y="0"/>
                      <a:ext cx="5252085" cy="2192020"/>
                    </a:xfrm>
                    <a:prstGeom prst="rect">
                      <a:avLst/>
                    </a:prstGeom>
                    <a:noFill/>
                    <a:ln>
                      <a:noFill/>
                    </a:ln>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rPr>
      </w:pPr>
      <w:r>
        <w:rPr>
          <w:szCs w:val="30"/>
        </w:rPr>
        <w:drawing>
          <wp:inline distT="0" distB="0" distL="114300" distR="114300">
            <wp:extent cx="5281295" cy="2250440"/>
            <wp:effectExtent l="0" t="0" r="6985" b="5080"/>
            <wp:docPr id="4" name="图片 3" descr="15734886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1573488642(1)"/>
                    <pic:cNvPicPr>
                      <a:picLocks noChangeAspect="1"/>
                    </pic:cNvPicPr>
                  </pic:nvPicPr>
                  <pic:blipFill>
                    <a:blip r:embed="rId6"/>
                    <a:stretch>
                      <a:fillRect/>
                    </a:stretch>
                  </pic:blipFill>
                  <pic:spPr>
                    <a:xfrm>
                      <a:off x="0" y="0"/>
                      <a:ext cx="5281295" cy="2250440"/>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ascii="仿宋" w:hAnsi="仿宋" w:eastAsia="仿宋" w:cs="仿宋_GB2312"/>
          <w:kern w:val="0"/>
          <w:sz w:val="30"/>
          <w:szCs w:val="30"/>
        </w:rPr>
      </w:pPr>
      <w:r>
        <w:rPr>
          <w:szCs w:val="30"/>
        </w:rPr>
        <w:drawing>
          <wp:inline distT="0" distB="0" distL="114300" distR="114300">
            <wp:extent cx="5255895" cy="4156075"/>
            <wp:effectExtent l="0" t="0" r="1905" b="4445"/>
            <wp:docPr id="3" name="图片 4" descr="157348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1573488763(1)"/>
                    <pic:cNvPicPr>
                      <a:picLocks noChangeAspect="1"/>
                    </pic:cNvPicPr>
                  </pic:nvPicPr>
                  <pic:blipFill>
                    <a:blip r:embed="rId7"/>
                    <a:stretch>
                      <a:fillRect/>
                    </a:stretch>
                  </pic:blipFill>
                  <pic:spPr>
                    <a:xfrm>
                      <a:off x="0" y="0"/>
                      <a:ext cx="5255895" cy="4156075"/>
                    </a:xfrm>
                    <a:prstGeom prst="rect">
                      <a:avLst/>
                    </a:prstGeom>
                    <a:noFill/>
                    <a:ln>
                      <a:noFill/>
                    </a:ln>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rPr>
      </w:pPr>
      <w:r>
        <w:rPr>
          <w:szCs w:val="30"/>
        </w:rPr>
        <w:drawing>
          <wp:inline distT="0" distB="0" distL="114300" distR="114300">
            <wp:extent cx="5276850" cy="3491230"/>
            <wp:effectExtent l="0" t="0" r="11430" b="13970"/>
            <wp:docPr id="1" name="图片 5" descr="15734888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1573488872(1)"/>
                    <pic:cNvPicPr>
                      <a:picLocks noChangeAspect="1"/>
                    </pic:cNvPicPr>
                  </pic:nvPicPr>
                  <pic:blipFill>
                    <a:blip r:embed="rId8"/>
                    <a:stretch>
                      <a:fillRect/>
                    </a:stretch>
                  </pic:blipFill>
                  <pic:spPr>
                    <a:xfrm>
                      <a:off x="0" y="0"/>
                      <a:ext cx="5276850" cy="3491230"/>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r>
        <w:rPr>
          <w:szCs w:val="30"/>
        </w:rPr>
        <w:drawing>
          <wp:inline distT="0" distB="0" distL="114300" distR="114300">
            <wp:extent cx="5272405" cy="8853805"/>
            <wp:effectExtent l="0" t="0" r="635" b="635"/>
            <wp:docPr id="6" name="图片 6" descr="15734896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573489649(1)"/>
                    <pic:cNvPicPr>
                      <a:picLocks noChangeAspect="1"/>
                    </pic:cNvPicPr>
                  </pic:nvPicPr>
                  <pic:blipFill>
                    <a:blip r:embed="rId9"/>
                    <a:stretch>
                      <a:fillRect/>
                    </a:stretch>
                  </pic:blipFill>
                  <pic:spPr>
                    <a:xfrm>
                      <a:off x="0" y="0"/>
                      <a:ext cx="5272405" cy="8853805"/>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r>
        <w:rPr>
          <w:szCs w:val="30"/>
        </w:rPr>
        <w:drawing>
          <wp:inline distT="0" distB="0" distL="114300" distR="114300">
            <wp:extent cx="5288915" cy="5106035"/>
            <wp:effectExtent l="0" t="0" r="14605" b="14605"/>
            <wp:docPr id="8" name="图片 7" descr="15734898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1573489833(1)"/>
                    <pic:cNvPicPr>
                      <a:picLocks noChangeAspect="1"/>
                    </pic:cNvPicPr>
                  </pic:nvPicPr>
                  <pic:blipFill>
                    <a:blip r:embed="rId10"/>
                    <a:stretch>
                      <a:fillRect/>
                    </a:stretch>
                  </pic:blipFill>
                  <pic:spPr>
                    <a:xfrm>
                      <a:off x="0" y="0"/>
                      <a:ext cx="5288915" cy="5106035"/>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r>
        <w:rPr>
          <w:rFonts w:hint="eastAsia"/>
          <w:szCs w:val="30"/>
        </w:rPr>
        <w:drawing>
          <wp:inline distT="0" distB="0" distL="114300" distR="114300">
            <wp:extent cx="5270500" cy="2127250"/>
            <wp:effectExtent l="0" t="0" r="2540" b="635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11"/>
                    <a:stretch>
                      <a:fillRect/>
                    </a:stretch>
                  </pic:blipFill>
                  <pic:spPr>
                    <a:xfrm>
                      <a:off x="0" y="0"/>
                      <a:ext cx="5270500" cy="2127250"/>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widowControl/>
        <w:spacing w:line="600" w:lineRule="exact"/>
        <w:ind w:firstLine="640"/>
        <w:jc w:val="center"/>
        <w:rPr>
          <w:rFonts w:hint="eastAsia" w:ascii="宋体" w:hAnsi="宋体"/>
          <w:b/>
          <w:sz w:val="32"/>
          <w:szCs w:val="32"/>
        </w:rPr>
      </w:pPr>
      <w:r>
        <w:rPr>
          <w:rFonts w:hint="eastAsia" w:ascii="宋体" w:hAnsi="宋体"/>
          <w:b/>
          <w:sz w:val="32"/>
          <w:szCs w:val="32"/>
        </w:rPr>
        <w:t>三部分  2018年度部门决算情况说明</w:t>
      </w:r>
    </w:p>
    <w:p>
      <w:pPr>
        <w:ind w:firstLine="630"/>
        <w:jc w:val="left"/>
        <w:rPr>
          <w:rFonts w:hint="eastAsia" w:ascii="仿宋" w:hAnsi="仿宋" w:eastAsia="仿宋"/>
          <w:sz w:val="30"/>
          <w:szCs w:val="30"/>
        </w:rPr>
      </w:pP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本部门2018年度收入总计33.74万元，其中年初结转和结余9.81万元，较2017年增加8.97 万元，增长  1067.86%；本年收入合计23.93万元，较2017年减少  21.63万元，下降  47.48%，主要原因是：年终追加8万元年前下达，2017年获得年头年尾两追加，而2018年追加又在2019年下达。</w:t>
      </w:r>
    </w:p>
    <w:p>
      <w:pPr>
        <w:ind w:firstLine="630"/>
        <w:jc w:val="left"/>
        <w:rPr>
          <w:rFonts w:hint="eastAsia" w:ascii="仿宋" w:hAnsi="仿宋" w:eastAsia="仿宋"/>
          <w:sz w:val="30"/>
          <w:szCs w:val="30"/>
        </w:rPr>
      </w:pPr>
      <w:r>
        <w:rPr>
          <w:rFonts w:hint="eastAsia" w:ascii="仿宋" w:hAnsi="仿宋" w:eastAsia="仿宋"/>
          <w:sz w:val="30"/>
          <w:szCs w:val="30"/>
        </w:rPr>
        <w:t xml:space="preserve">本年收入的具体构成为：财政拨款收入23.86万元，占99.7%；事业收入0万元，占0%；经营收入0万元，占0%；其他收入0.66万元，占0.28%。  </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本部门2018年度支出总计33.74万元，其中本年支出合计28.58万元，较2017年减少  3.95万元，下降  12.14%，主要原因是：节约开支；年末结转和结余5.16万元，较2017年减少  8.71万元，下降  62.8%，主要原因是：年终追加8万元年前下达。</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  28.58 万元，占 100 %；项目支出  0 万元，占 0  %；经营支出  0 万元，占 0 %；其他支出（对附属单位补助支出、上缴上级支出）  0 万元，占 0 %。</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本部门2018年度财政拨款本年支出年初预算数为   59.82万元，决算数为  28.58万元，完成年初预算的  47.78%。其中：</w:t>
      </w:r>
    </w:p>
    <w:p>
      <w:pPr>
        <w:ind w:firstLine="630"/>
        <w:jc w:val="left"/>
        <w:rPr>
          <w:rFonts w:hint="eastAsia" w:ascii="仿宋" w:hAnsi="仿宋" w:eastAsia="仿宋"/>
          <w:sz w:val="30"/>
          <w:szCs w:val="30"/>
        </w:rPr>
      </w:pPr>
      <w:r>
        <w:rPr>
          <w:rFonts w:hint="eastAsia" w:ascii="仿宋" w:hAnsi="仿宋" w:eastAsia="仿宋"/>
          <w:sz w:val="30"/>
          <w:szCs w:val="30"/>
        </w:rPr>
        <w:t>（一）一般公共服务支出年初预算数为   54.97万元，决算数为  22.71万元，完成年初预算的  41.31%，主要原因是：庐山市文学艺术界第一次代表大会纳入年初预算，但会议没有如期召开。</w:t>
      </w:r>
    </w:p>
    <w:p>
      <w:pPr>
        <w:ind w:firstLine="630"/>
        <w:jc w:val="left"/>
        <w:rPr>
          <w:rFonts w:hint="eastAsia" w:ascii="仿宋" w:hAnsi="仿宋" w:eastAsia="仿宋"/>
          <w:sz w:val="30"/>
          <w:szCs w:val="30"/>
        </w:rPr>
      </w:pPr>
      <w:r>
        <w:rPr>
          <w:rFonts w:hint="eastAsia" w:ascii="仿宋" w:hAnsi="仿宋" w:eastAsia="仿宋"/>
          <w:sz w:val="30"/>
          <w:szCs w:val="30"/>
        </w:rPr>
        <w:t>（二）社会保障和就业支出年初预算数为3.3万元，决算数为  3.63万元，完成年初预算的110%，主要原因是：工资调标。</w:t>
      </w:r>
    </w:p>
    <w:p>
      <w:pPr>
        <w:ind w:firstLine="630"/>
        <w:jc w:val="left"/>
        <w:rPr>
          <w:rFonts w:hint="eastAsia" w:ascii="仿宋" w:hAnsi="仿宋" w:eastAsia="仿宋"/>
          <w:sz w:val="30"/>
          <w:szCs w:val="30"/>
        </w:rPr>
      </w:pPr>
      <w:r>
        <w:rPr>
          <w:rFonts w:hint="eastAsia" w:ascii="仿宋" w:hAnsi="仿宋" w:eastAsia="仿宋"/>
          <w:sz w:val="30"/>
          <w:szCs w:val="30"/>
        </w:rPr>
        <w:t>（三）住房保障支出年初预算数为1.55万元，决算数为  0万元，完成年初预算的0%，主要原因是：决算时误把2.24万元放医疗卫生与计划生育支出科目，实际完成年初预算的144.52%，因住房公积金调标。</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  万元，其中：</w:t>
      </w:r>
    </w:p>
    <w:p>
      <w:pPr>
        <w:ind w:firstLine="585"/>
        <w:jc w:val="left"/>
        <w:rPr>
          <w:rFonts w:hint="eastAsia" w:ascii="仿宋" w:hAnsi="仿宋" w:eastAsia="仿宋"/>
          <w:sz w:val="30"/>
          <w:szCs w:val="30"/>
        </w:rPr>
      </w:pPr>
      <w:r>
        <w:rPr>
          <w:rFonts w:hint="eastAsia" w:ascii="仿宋" w:hAnsi="仿宋" w:eastAsia="仿宋"/>
          <w:sz w:val="30"/>
          <w:szCs w:val="30"/>
        </w:rPr>
        <w:t>（一）工资福利支出   23.08万元，较2017年减少  1.67万元，下降  6.75%，主要原因是：2016年度部分奖金和津补贴在2017年度发放。</w:t>
      </w:r>
    </w:p>
    <w:p>
      <w:pPr>
        <w:ind w:firstLine="585"/>
        <w:jc w:val="left"/>
        <w:rPr>
          <w:rFonts w:hint="eastAsia" w:ascii="仿宋" w:hAnsi="仿宋" w:eastAsia="仿宋"/>
          <w:sz w:val="30"/>
          <w:szCs w:val="30"/>
        </w:rPr>
      </w:pPr>
      <w:r>
        <w:rPr>
          <w:rFonts w:hint="eastAsia" w:ascii="仿宋" w:hAnsi="仿宋" w:eastAsia="仿宋"/>
          <w:sz w:val="30"/>
          <w:szCs w:val="30"/>
        </w:rPr>
        <w:t>（二）商品和服务支出   4.2万元，较2017年减少  2.06万元，下降  32.91%，主要原因是：节约开支。</w:t>
      </w:r>
    </w:p>
    <w:p>
      <w:pPr>
        <w:ind w:firstLine="585"/>
        <w:jc w:val="left"/>
        <w:rPr>
          <w:rFonts w:hint="eastAsia" w:ascii="仿宋" w:hAnsi="仿宋" w:eastAsia="仿宋"/>
          <w:sz w:val="30"/>
          <w:szCs w:val="30"/>
        </w:rPr>
      </w:pPr>
      <w:r>
        <w:rPr>
          <w:rFonts w:hint="eastAsia" w:ascii="仿宋" w:hAnsi="仿宋" w:eastAsia="仿宋"/>
          <w:sz w:val="30"/>
          <w:szCs w:val="30"/>
        </w:rPr>
        <w:t>（三）对个人和家庭补助支出   0万元，较2017年减少  0.12万元，下降  100%，主要原因是：</w:t>
      </w:r>
      <w:r>
        <w:rPr>
          <w:rFonts w:ascii="仿宋" w:hAnsi="仿宋" w:eastAsia="仿宋"/>
          <w:sz w:val="30"/>
          <w:szCs w:val="30"/>
        </w:rPr>
        <w:t>2018</w:t>
      </w:r>
      <w:r>
        <w:rPr>
          <w:rFonts w:hint="eastAsia" w:ascii="仿宋" w:hAnsi="仿宋" w:eastAsia="仿宋"/>
          <w:sz w:val="30"/>
          <w:szCs w:val="30"/>
        </w:rPr>
        <w:t>年对个人和家庭补助支出放奖金科目里。</w:t>
      </w:r>
    </w:p>
    <w:p>
      <w:pPr>
        <w:ind w:firstLine="585"/>
        <w:jc w:val="left"/>
        <w:rPr>
          <w:rFonts w:hint="eastAsia" w:ascii="仿宋" w:hAnsi="仿宋" w:eastAsia="仿宋"/>
          <w:sz w:val="30"/>
          <w:szCs w:val="30"/>
        </w:rPr>
      </w:pPr>
      <w:r>
        <w:rPr>
          <w:rFonts w:hint="eastAsia" w:ascii="仿宋" w:hAnsi="仿宋" w:eastAsia="仿宋"/>
          <w:sz w:val="30"/>
          <w:szCs w:val="30"/>
        </w:rPr>
        <w:t>（四）资本性支出   1.23万元，较2017年增加  1.23万元，增长  100%，主要原因是：新装修办公室购置办公设备。</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本部门2018年度一般公共预算财政拨款“三公”经费支出年初预算数为   1万元，决算数为  0万元，完成预算的  0%，决算数较2017年增加（减少）  0万元，增长（下降）  0%，其中：没有发生“三公”费用支出。</w:t>
      </w:r>
    </w:p>
    <w:p>
      <w:pPr>
        <w:ind w:firstLine="630"/>
        <w:jc w:val="left"/>
        <w:rPr>
          <w:rFonts w:hint="eastAsia" w:ascii="仿宋" w:hAnsi="仿宋" w:eastAsia="仿宋"/>
          <w:sz w:val="30"/>
          <w:szCs w:val="30"/>
        </w:rPr>
      </w:pPr>
      <w:r>
        <w:rPr>
          <w:rFonts w:hint="eastAsia" w:ascii="仿宋" w:hAnsi="仿宋" w:eastAsia="仿宋"/>
          <w:sz w:val="30"/>
          <w:szCs w:val="30"/>
        </w:rPr>
        <w:t>（一）因公出国（境）支出年初预算数为   0万元，决算数为  0万元，完成预算的 %，决算数较2017年增加（减少）  0万元，增长（下降）  0%。决算数较年初预算数增加（减少）的主要原因是：</w:t>
      </w:r>
      <w:r>
        <w:rPr>
          <w:rFonts w:ascii="仿宋" w:hAnsi="仿宋" w:eastAsia="仿宋"/>
          <w:sz w:val="30"/>
          <w:szCs w:val="30"/>
        </w:rPr>
        <w:t>……</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（二）公务接待费支出年初预算数为   1万元，决算数为  0万元，完成预算的 0%，决算数较2017年增加（减少）  0万元，增长（下降）  0%。决算数较年初预算数增加（减少）的主要原因是：</w:t>
      </w:r>
      <w:r>
        <w:rPr>
          <w:rFonts w:ascii="仿宋" w:hAnsi="仿宋" w:eastAsia="仿宋"/>
          <w:sz w:val="30"/>
          <w:szCs w:val="30"/>
        </w:rPr>
        <w:t>……</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（三）公务用车购置及运行维护费支出   0万元，其中公务用车购置年初预算数为   0万元，决算数为  0万元，完成预算的 %，决算数较2017年增加（减少）  0万元，增长（下降）  0%。决算数较年初预算数增加（减少）的主要原因是：</w:t>
      </w:r>
      <w:r>
        <w:rPr>
          <w:rFonts w:ascii="仿宋" w:hAnsi="仿宋" w:eastAsia="仿宋"/>
          <w:sz w:val="30"/>
          <w:szCs w:val="30"/>
        </w:rPr>
        <w:t>……</w:t>
      </w:r>
      <w:r>
        <w:rPr>
          <w:rFonts w:hint="eastAsia" w:ascii="仿宋" w:hAnsi="仿宋" w:eastAsia="仿宋"/>
          <w:sz w:val="30"/>
          <w:szCs w:val="30"/>
        </w:rPr>
        <w:t>；公务用车运行维护费支出年初预算数为   0万元，决算数为  0万元，完成预算的 0%，决算数较2017年增加（减少）  0万元，增长（下降）  0%。决算数较年初预算数增加（减少）的主要原因是：</w:t>
      </w:r>
      <w:r>
        <w:rPr>
          <w:rFonts w:ascii="仿宋" w:hAnsi="仿宋" w:eastAsia="仿宋"/>
          <w:sz w:val="30"/>
          <w:szCs w:val="30"/>
        </w:rPr>
        <w:t>……</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 xml:space="preserve">本部门2018年度机关运行经费支出   28.58万元（与部门决算中行政单位和参照公务员法管理事业单位一般公共预算财政拨款基本支出中公用经费之和保持一致），较年初预算数减少  3.95万元，降低  12.14%，主要原因是：节约开支。 </w:t>
      </w:r>
    </w:p>
    <w:p>
      <w:pPr>
        <w:ind w:firstLine="630"/>
        <w:jc w:val="left"/>
        <w:rPr>
          <w:rFonts w:ascii="黑体" w:hAnsi="黑体" w:eastAsia="黑体"/>
          <w:sz w:val="30"/>
          <w:szCs w:val="30"/>
        </w:rPr>
      </w:pPr>
      <w:r>
        <w:rPr>
          <w:rFonts w:hint="eastAsia" w:ascii="黑体" w:hAnsi="黑体" w:eastAsia="黑体"/>
          <w:sz w:val="30"/>
          <w:szCs w:val="30"/>
        </w:rPr>
        <w:t>七、政府采购支出情况说明</w:t>
      </w:r>
    </w:p>
    <w:p>
      <w:pPr>
        <w:pStyle w:val="5"/>
        <w:spacing w:line="600" w:lineRule="atLeast"/>
        <w:ind w:firstLine="600"/>
        <w:rPr>
          <w:rFonts w:hint="eastAsia" w:ascii="仿宋" w:hAnsi="仿宋" w:eastAsia="仿宋"/>
          <w:sz w:val="30"/>
          <w:szCs w:val="30"/>
        </w:rPr>
      </w:pPr>
      <w:r>
        <w:rPr>
          <w:rFonts w:hint="eastAsia" w:ascii="仿宋" w:hAnsi="仿宋" w:eastAsia="仿宋"/>
          <w:sz w:val="30"/>
          <w:szCs w:val="30"/>
        </w:rPr>
        <w:t>本部门2018年度政府采购支出总额  1.23万元，其中：政府采购货物支出  1.23万元、政府采购工程支出  0万元、政府采购服务支出  0万元。授予中小企业合同金额  0万元，占政府采购支出总额的  0%，其中：授予小微企业合同金额  1.23万元，占政府采购支出总额的  100%。（省级部门公开的政府采购金额的计算口径为：本部门纳入2018年部门预算范围的各项政府采购支出金额之和，并做好与2018年度政府采购信息统计报表中“政府采购资金情况表”有关数据的衔接。）</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 w:hAnsi="仿宋" w:eastAsia="仿宋"/>
          <w:kern w:val="0"/>
          <w:sz w:val="30"/>
          <w:szCs w:val="30"/>
        </w:rPr>
      </w:pPr>
      <w:r>
        <w:rPr>
          <w:rFonts w:hint="eastAsia" w:ascii="仿宋" w:hAnsi="仿宋" w:eastAsia="仿宋"/>
          <w:kern w:val="0"/>
          <w:sz w:val="30"/>
          <w:szCs w:val="30"/>
        </w:rPr>
        <w:t>截止2018年12月31日，本部门共有车辆  0辆，其中，副部（省）级及以上领导用车  0辆、主要领导干部用车  0辆、机要通信用车  0辆、应急保障用车  0辆、执法执勤用车  0辆、特种专业技术用车  0辆、其他用车  0辆，其他用车主要是</w:t>
      </w:r>
      <w:r>
        <w:rPr>
          <w:rFonts w:ascii="仿宋" w:hAnsi="仿宋" w:eastAsia="仿宋"/>
          <w:kern w:val="0"/>
          <w:sz w:val="30"/>
          <w:szCs w:val="30"/>
        </w:rPr>
        <w:t>……</w:t>
      </w:r>
      <w:r>
        <w:rPr>
          <w:rFonts w:hint="eastAsia" w:ascii="仿宋" w:hAnsi="仿宋" w:eastAsia="仿宋"/>
          <w:kern w:val="0"/>
          <w:sz w:val="30"/>
          <w:szCs w:val="30"/>
        </w:rPr>
        <w:t>；单位价值50万元以上通用设备  0台（套）；单位价值100万元以上专用设备  0台（套）。</w:t>
      </w:r>
    </w:p>
    <w:p>
      <w:pPr>
        <w:ind w:firstLine="630"/>
        <w:jc w:val="left"/>
        <w:rPr>
          <w:rFonts w:hint="eastAsia" w:ascii="黑体" w:hAnsi="黑体" w:eastAsia="黑体"/>
          <w:sz w:val="30"/>
          <w:szCs w:val="30"/>
        </w:rPr>
      </w:pPr>
      <w:r>
        <w:rPr>
          <w:rFonts w:hint="eastAsia" w:ascii="黑体" w:hAnsi="黑体" w:eastAsia="黑体"/>
          <w:sz w:val="30"/>
          <w:szCs w:val="30"/>
        </w:rPr>
        <w:t>九、预算绩效情况说明</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（一）绩效管理工作开展情况。</w:t>
      </w:r>
    </w:p>
    <w:p>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根据预算绩效管理要求，我部门组织对</w:t>
      </w:r>
      <w:r>
        <w:rPr>
          <w:rFonts w:ascii="仿宋" w:hAnsi="仿宋" w:eastAsia="仿宋" w:cs="仿宋_GB2312"/>
          <w:kern w:val="0"/>
          <w:sz w:val="30"/>
          <w:szCs w:val="30"/>
        </w:rPr>
        <w:t>201</w:t>
      </w:r>
      <w:r>
        <w:rPr>
          <w:rFonts w:hint="eastAsia" w:ascii="仿宋" w:hAnsi="仿宋" w:eastAsia="仿宋" w:cs="仿宋_GB2312"/>
          <w:kern w:val="0"/>
          <w:sz w:val="30"/>
          <w:szCs w:val="30"/>
        </w:rPr>
        <w:t>8年度一般公共预算项目支出全面开展绩效自评，其中，一级项目  0个，二级项目0个，共涉及资金  0万元，占一般公共预算项目支出总额的  0%。组织对2018年度</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等  0个政府性基金预算项目支出开展绩效自评，共涉及资金  0万元，占政府性基金预算项目支出总额的  0%。</w:t>
      </w:r>
    </w:p>
    <w:p>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共组织对“</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”等  0个项目进行了重点绩效评价，涉及一般公共预算支出  0万元，政府性基金预算支出  0万元。其中，对“</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”等项目分别委托“</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”等第三方机构开展</w:t>
      </w:r>
      <w:r>
        <w:rPr>
          <w:rFonts w:hint="eastAsia" w:ascii="仿宋" w:hAnsi="仿宋" w:eastAsia="仿宋" w:cs="宋体"/>
          <w:kern w:val="0"/>
          <w:sz w:val="30"/>
          <w:szCs w:val="30"/>
        </w:rPr>
        <w:t>绩效评价</w:t>
      </w:r>
      <w:r>
        <w:rPr>
          <w:rFonts w:hint="eastAsia" w:ascii="仿宋" w:hAnsi="仿宋" w:eastAsia="仿宋" w:cs="仿宋_GB2312"/>
          <w:kern w:val="0"/>
          <w:sz w:val="30"/>
          <w:szCs w:val="30"/>
        </w:rPr>
        <w:t>。从评价情况来看，……（请对预算绩效评价情况进行简单说明）。</w:t>
      </w:r>
    </w:p>
    <w:p>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组织对“</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”等  0个部门（单位）开展整体支出绩效评价试点，涉及一般公共预算支出  0万元，政府性基金预算支出  0万元。其中，对“</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”等部门（单位）整体支出分别委托“</w:t>
      </w:r>
      <w:r>
        <w:rPr>
          <w:rFonts w:ascii="仿宋" w:hAnsi="仿宋" w:eastAsia="仿宋" w:cs="仿宋_GB2312"/>
          <w:kern w:val="0"/>
          <w:sz w:val="30"/>
          <w:szCs w:val="30"/>
        </w:rPr>
        <w:t>XXX</w:t>
      </w:r>
      <w:r>
        <w:rPr>
          <w:rFonts w:hint="eastAsia" w:ascii="仿宋" w:hAnsi="仿宋" w:eastAsia="仿宋" w:cs="仿宋_GB2312"/>
          <w:kern w:val="0"/>
          <w:sz w:val="30"/>
          <w:szCs w:val="30"/>
        </w:rPr>
        <w:t>”、“</w:t>
      </w:r>
      <w:r>
        <w:rPr>
          <w:rFonts w:ascii="仿宋" w:hAnsi="仿宋" w:eastAsia="仿宋" w:cs="仿宋_GB2312"/>
          <w:kern w:val="0"/>
          <w:sz w:val="30"/>
          <w:szCs w:val="30"/>
        </w:rPr>
        <w:t>XXX</w:t>
      </w:r>
      <w:r>
        <w:rPr>
          <w:rFonts w:hint="eastAsia" w:ascii="仿宋" w:hAnsi="仿宋" w:eastAsia="仿宋" w:cs="仿宋_GB2312"/>
          <w:kern w:val="0"/>
          <w:sz w:val="30"/>
          <w:szCs w:val="30"/>
        </w:rPr>
        <w:t>”等第三方机构开展</w:t>
      </w:r>
      <w:r>
        <w:rPr>
          <w:rFonts w:hint="eastAsia" w:ascii="仿宋" w:hAnsi="仿宋" w:eastAsia="仿宋" w:cs="宋体"/>
          <w:kern w:val="0"/>
          <w:sz w:val="30"/>
          <w:szCs w:val="30"/>
        </w:rPr>
        <w:t>绩效评价</w:t>
      </w:r>
      <w:r>
        <w:rPr>
          <w:rFonts w:hint="eastAsia" w:ascii="仿宋" w:hAnsi="仿宋" w:eastAsia="仿宋" w:cs="仿宋_GB2312"/>
          <w:kern w:val="0"/>
          <w:sz w:val="30"/>
          <w:szCs w:val="30"/>
        </w:rPr>
        <w:t>。从评价情况来看，……（请对整体支出绩效评价情况进行简单说明）。</w:t>
      </w:r>
    </w:p>
    <w:p>
      <w:pPr>
        <w:autoSpaceDE w:val="0"/>
        <w:autoSpaceDN w:val="0"/>
        <w:adjustRightInd w:val="0"/>
        <w:spacing w:line="360" w:lineRule="auto"/>
        <w:ind w:firstLine="585"/>
        <w:jc w:val="left"/>
        <w:rPr>
          <w:rFonts w:hint="eastAsia" w:ascii="仿宋" w:hAnsi="仿宋" w:eastAsia="仿宋" w:cs="仿宋_GB2312"/>
          <w:kern w:val="0"/>
          <w:sz w:val="30"/>
          <w:szCs w:val="30"/>
        </w:rPr>
      </w:pPr>
      <w:r>
        <w:rPr>
          <w:rFonts w:hint="eastAsia" w:ascii="仿宋" w:hAnsi="仿宋" w:eastAsia="仿宋" w:cs="仿宋_GB2312"/>
          <w:kern w:val="0"/>
          <w:sz w:val="30"/>
          <w:szCs w:val="30"/>
        </w:rPr>
        <w:t>（二）部门决算中项目绩效自评结果（选择1至2个项目）。</w:t>
      </w:r>
    </w:p>
    <w:p>
      <w:pPr>
        <w:autoSpaceDE w:val="0"/>
        <w:autoSpaceDN w:val="0"/>
        <w:adjustRightInd w:val="0"/>
        <w:spacing w:line="360" w:lineRule="auto"/>
        <w:ind w:firstLine="585"/>
        <w:jc w:val="left"/>
        <w:rPr>
          <w:rFonts w:hint="eastAsia" w:ascii="仿宋" w:hAnsi="仿宋" w:eastAsia="仿宋" w:cs="仿宋_GB2312"/>
          <w:kern w:val="0"/>
          <w:sz w:val="30"/>
          <w:szCs w:val="30"/>
        </w:rPr>
      </w:pPr>
      <w:r>
        <w:rPr>
          <w:rFonts w:hint="eastAsia" w:ascii="仿宋" w:hAnsi="仿宋" w:eastAsia="仿宋" w:cs="仿宋_GB2312"/>
          <w:kern w:val="0"/>
          <w:sz w:val="30"/>
          <w:szCs w:val="30"/>
        </w:rPr>
        <w:t>我部门今年在省级部门决算中反映</w:t>
      </w:r>
      <w:r>
        <w:rPr>
          <w:rFonts w:ascii="仿宋" w:hAnsi="仿宋" w:eastAsia="仿宋" w:cs="仿宋_GB2312"/>
          <w:kern w:val="0"/>
          <w:sz w:val="30"/>
          <w:szCs w:val="30"/>
        </w:rPr>
        <w:t>XXX</w:t>
      </w:r>
      <w:r>
        <w:rPr>
          <w:rFonts w:hint="eastAsia" w:ascii="仿宋" w:hAnsi="仿宋" w:eastAsia="仿宋" w:cs="仿宋_GB2312"/>
          <w:kern w:val="0"/>
          <w:sz w:val="30"/>
          <w:szCs w:val="30"/>
        </w:rPr>
        <w:t>及</w:t>
      </w:r>
      <w:r>
        <w:rPr>
          <w:rFonts w:ascii="仿宋" w:hAnsi="仿宋" w:eastAsia="仿宋" w:cs="仿宋_GB2312"/>
          <w:kern w:val="0"/>
          <w:sz w:val="30"/>
          <w:szCs w:val="30"/>
        </w:rPr>
        <w:t>XXX</w:t>
      </w:r>
      <w:r>
        <w:rPr>
          <w:rFonts w:hint="eastAsia" w:ascii="仿宋" w:hAnsi="仿宋" w:eastAsia="仿宋" w:cs="仿宋_GB2312"/>
          <w:kern w:val="0"/>
          <w:sz w:val="30"/>
          <w:szCs w:val="30"/>
        </w:rPr>
        <w:t>项目绩效自评结果。</w:t>
      </w:r>
    </w:p>
    <w:p>
      <w:pPr>
        <w:autoSpaceDE w:val="0"/>
        <w:autoSpaceDN w:val="0"/>
        <w:adjustRightInd w:val="0"/>
        <w:spacing w:line="360" w:lineRule="auto"/>
        <w:ind w:firstLine="585"/>
        <w:jc w:val="left"/>
        <w:rPr>
          <w:rFonts w:hint="eastAsia" w:ascii="仿宋" w:hAnsi="仿宋" w:eastAsia="仿宋" w:cs="仿宋_GB2312"/>
          <w:kern w:val="0"/>
          <w:sz w:val="30"/>
          <w:szCs w:val="30"/>
        </w:rPr>
      </w:pPr>
      <w:r>
        <w:rPr>
          <w:rFonts w:ascii="仿宋" w:hAnsi="仿宋" w:eastAsia="仿宋" w:cs="仿宋_GB2312"/>
          <w:kern w:val="0"/>
          <w:sz w:val="30"/>
          <w:szCs w:val="30"/>
        </w:rPr>
        <w:t>XXX</w:t>
      </w:r>
      <w:r>
        <w:rPr>
          <w:rFonts w:hint="eastAsia" w:ascii="仿宋" w:hAnsi="仿宋" w:eastAsia="仿宋" w:cs="仿宋_GB2312"/>
          <w:kern w:val="0"/>
          <w:sz w:val="30"/>
          <w:szCs w:val="30"/>
        </w:rPr>
        <w:t>项目绩效自评综述：根据年初设定的绩效目标，</w:t>
      </w:r>
      <w:r>
        <w:rPr>
          <w:rFonts w:ascii="仿宋" w:hAnsi="仿宋" w:eastAsia="仿宋" w:cs="仿宋_GB2312"/>
          <w:kern w:val="0"/>
          <w:sz w:val="30"/>
          <w:szCs w:val="30"/>
        </w:rPr>
        <w:t xml:space="preserve">XXX </w:t>
      </w:r>
      <w:r>
        <w:rPr>
          <w:rFonts w:hint="eastAsia" w:ascii="仿宋" w:hAnsi="仿宋" w:eastAsia="仿宋" w:cs="仿宋_GB2312"/>
          <w:kern w:val="0"/>
          <w:sz w:val="30"/>
          <w:szCs w:val="30"/>
        </w:rPr>
        <w:t xml:space="preserve">项目绩效自评得分为 </w:t>
      </w:r>
      <w:r>
        <w:rPr>
          <w:rFonts w:ascii="仿宋" w:hAnsi="仿宋" w:eastAsia="仿宋" w:cs="仿宋_GB2312"/>
          <w:kern w:val="0"/>
          <w:sz w:val="30"/>
          <w:szCs w:val="30"/>
        </w:rPr>
        <w:t xml:space="preserve"> 0</w:t>
      </w:r>
      <w:r>
        <w:rPr>
          <w:rFonts w:hint="eastAsia" w:ascii="仿宋" w:hAnsi="仿宋" w:eastAsia="仿宋" w:cs="仿宋_GB2312"/>
          <w:kern w:val="0"/>
          <w:sz w:val="30"/>
          <w:szCs w:val="30"/>
        </w:rPr>
        <w:t xml:space="preserve">分。项目全年预算数为  0万元，执行数为   </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0万元，完成预算的  0%。主要产出和效果：一是……；二是……。发现的问题及原因：一是……；二是……。下一步改进措施：一是……；二是……。</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w:t>
      </w:r>
      <w:r>
        <w:rPr>
          <w:rFonts w:ascii="仿宋" w:hAnsi="仿宋" w:eastAsia="仿宋" w:cs="仿宋_GB2312"/>
          <w:kern w:val="0"/>
          <w:sz w:val="30"/>
          <w:szCs w:val="30"/>
        </w:rPr>
        <w:t>XXX</w:t>
      </w:r>
      <w:r>
        <w:rPr>
          <w:rFonts w:hint="eastAsia" w:ascii="仿宋" w:hAnsi="仿宋" w:eastAsia="仿宋" w:cs="仿宋_GB2312"/>
          <w:kern w:val="0"/>
          <w:sz w:val="30"/>
          <w:szCs w:val="30"/>
        </w:rPr>
        <w:t>项目绩效自评综述：……。</w:t>
      </w:r>
    </w:p>
    <w:p>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在公开项目绩效自评综述的同时，需公开《项目支出绩效自评表》。</w:t>
      </w:r>
    </w:p>
    <w:p>
      <w:pPr>
        <w:rPr>
          <w:rFonts w:hint="eastAsia"/>
        </w:rPr>
      </w:pPr>
    </w:p>
    <w:p>
      <w:pPr>
        <w:widowControl/>
        <w:spacing w:line="600" w:lineRule="exact"/>
        <w:ind w:firstLine="640"/>
        <w:jc w:val="center"/>
        <w:rPr>
          <w:rFonts w:hint="eastAsia" w:ascii="宋体" w:hAnsi="宋体"/>
          <w:b/>
          <w:sz w:val="32"/>
          <w:szCs w:val="32"/>
        </w:rPr>
      </w:pPr>
      <w:r>
        <w:rPr>
          <w:rFonts w:hint="eastAsia" w:ascii="宋体" w:hAnsi="宋体"/>
          <w:b/>
          <w:sz w:val="32"/>
          <w:szCs w:val="32"/>
        </w:rPr>
        <w:t>第四部分  名词解释</w:t>
      </w:r>
    </w:p>
    <w:p>
      <w:pPr>
        <w:pStyle w:val="5"/>
        <w:spacing w:line="600" w:lineRule="atLeast"/>
        <w:ind w:firstLine="600"/>
        <w:rPr>
          <w:rFonts w:hint="eastAsia" w:ascii="仿宋" w:hAnsi="仿宋" w:eastAsia="仿宋"/>
          <w:sz w:val="30"/>
          <w:szCs w:val="30"/>
        </w:rPr>
      </w:pPr>
    </w:p>
    <w:p>
      <w:pPr>
        <w:widowControl/>
        <w:spacing w:line="580" w:lineRule="exact"/>
        <w:jc w:val="left"/>
        <w:rPr>
          <w:rFonts w:hint="eastAsia" w:ascii="仿宋" w:hAnsi="仿宋" w:eastAsia="仿宋"/>
          <w:kern w:val="0"/>
          <w:sz w:val="30"/>
          <w:szCs w:val="30"/>
        </w:rPr>
      </w:pPr>
      <w:r>
        <w:rPr>
          <w:rFonts w:hint="eastAsia" w:ascii="仿宋" w:hAnsi="仿宋" w:eastAsia="仿宋"/>
          <w:kern w:val="0"/>
          <w:sz w:val="30"/>
          <w:szCs w:val="30"/>
        </w:rPr>
        <w:t xml:space="preserve">    名词解释应以财务会计制度、政府收支分类科目以及部门预算管理等规定为基本说明，可在此基础上结合部门实际情况适当细化。“三公”经费支出和机关运行经费支出口径必需予以说明。</w:t>
      </w:r>
    </w:p>
    <w:p>
      <w:pPr>
        <w:ind w:firstLine="630"/>
        <w:jc w:val="left"/>
        <w:rPr>
          <w:rFonts w:ascii="仿宋" w:hAnsi="仿宋" w:eastAsia="仿宋"/>
          <w:sz w:val="30"/>
          <w:szCs w:val="30"/>
        </w:rPr>
      </w:pPr>
      <w:r>
        <w:rPr>
          <w:rFonts w:hint="eastAsia" w:ascii="仿宋" w:hAnsi="仿宋" w:eastAsia="仿宋"/>
          <w:sz w:val="30"/>
          <w:szCs w:val="30"/>
        </w:rPr>
        <w:t>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A209DC"/>
    <w:rsid w:val="35701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ind w:firstLine="630"/>
      <w:jc w:val="left"/>
    </w:pPr>
    <w:rPr>
      <w:rFonts w:ascii="宋体" w:hAnsi="宋体" w:cs="宋体"/>
      <w:kern w:val="0"/>
      <w:sz w:val="24"/>
      <w:szCs w:val="24"/>
    </w:rPr>
  </w:style>
  <w:style w:type="paragraph" w:customStyle="1" w:styleId="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emf"/><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2019-11-19T08:25:00Z</dcterms:created>
  <dc:creator>user2</dc:creator>
  <cp:lastModifiedBy>暖心中</cp:lastModifiedBy>
  <dcterms:modified xsi:type="dcterms:W3CDTF">2021-05-21T00:30:28Z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C9BEAF4D8EB949869DF58328B744ACD7</vt:lpwstr>
  </property>
</Properties>
</file>