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87B" w:rsidRDefault="0066687B" w:rsidP="00CF3D8F">
      <w:pPr>
        <w:rPr>
          <w:rFonts w:ascii="黑体" w:eastAsia="黑体" w:hAnsi="黑体"/>
          <w:sz w:val="44"/>
          <w:szCs w:val="36"/>
        </w:rPr>
      </w:pPr>
    </w:p>
    <w:p w:rsidR="0066687B" w:rsidRDefault="00003DF0">
      <w:pPr>
        <w:jc w:val="center"/>
        <w:rPr>
          <w:rFonts w:ascii="黑体" w:eastAsia="黑体" w:hint="eastAsia"/>
          <w:sz w:val="44"/>
          <w:szCs w:val="36"/>
        </w:rPr>
      </w:pPr>
      <w:r>
        <w:rPr>
          <w:rFonts w:ascii="黑体" w:eastAsia="黑体" w:hAnsi="黑体" w:hint="eastAsia"/>
          <w:sz w:val="44"/>
          <w:szCs w:val="36"/>
        </w:rPr>
        <w:t>庐山市建设规划局</w:t>
      </w:r>
      <w:r>
        <w:rPr>
          <w:rFonts w:ascii="黑体" w:eastAsia="黑体" w:hint="eastAsia"/>
          <w:sz w:val="44"/>
          <w:szCs w:val="36"/>
        </w:rPr>
        <w:t>2018年度部门决算</w:t>
      </w:r>
    </w:p>
    <w:p w:rsidR="0066687B" w:rsidRDefault="0066687B">
      <w:pPr>
        <w:jc w:val="center"/>
        <w:rPr>
          <w:rFonts w:ascii="黑体" w:eastAsia="黑体" w:hint="eastAsia"/>
          <w:sz w:val="40"/>
          <w:szCs w:val="36"/>
        </w:rPr>
      </w:pPr>
    </w:p>
    <w:p w:rsidR="0066687B" w:rsidRDefault="00003DF0">
      <w:pPr>
        <w:jc w:val="center"/>
        <w:rPr>
          <w:rFonts w:ascii="黑体" w:eastAsia="黑体" w:hint="eastAsia"/>
          <w:sz w:val="40"/>
          <w:szCs w:val="36"/>
        </w:rPr>
      </w:pPr>
      <w:r>
        <w:rPr>
          <w:rFonts w:ascii="黑体" w:eastAsia="黑体" w:hint="eastAsia"/>
          <w:sz w:val="40"/>
          <w:szCs w:val="36"/>
        </w:rPr>
        <w:t>目    录</w:t>
      </w:r>
    </w:p>
    <w:p w:rsidR="0066687B" w:rsidRDefault="0066687B">
      <w:pPr>
        <w:jc w:val="center"/>
        <w:rPr>
          <w:rFonts w:ascii="黑体" w:eastAsia="黑体" w:hint="eastAsia"/>
          <w:sz w:val="40"/>
          <w:szCs w:val="36"/>
        </w:rPr>
      </w:pPr>
    </w:p>
    <w:p w:rsidR="0066687B" w:rsidRDefault="00003DF0">
      <w:pPr>
        <w:ind w:firstLineChars="200" w:firstLine="643"/>
        <w:rPr>
          <w:rFonts w:ascii="黑体" w:eastAsia="黑体" w:hint="eastAsia"/>
          <w:sz w:val="40"/>
          <w:szCs w:val="36"/>
        </w:rPr>
      </w:pPr>
      <w:r>
        <w:rPr>
          <w:rFonts w:ascii="黑体" w:eastAsia="黑体" w:hAnsi="黑体" w:hint="eastAsia"/>
          <w:b/>
          <w:sz w:val="32"/>
          <w:szCs w:val="32"/>
        </w:rPr>
        <w:t xml:space="preserve">第一部分 </w:t>
      </w:r>
      <w:r>
        <w:rPr>
          <w:rFonts w:ascii="黑体" w:eastAsia="黑体" w:hAnsi="黑体" w:hint="eastAsia"/>
          <w:sz w:val="32"/>
          <w:szCs w:val="32"/>
        </w:rPr>
        <w:t>庐山市建设规</w:t>
      </w:r>
      <w:bookmarkStart w:id="0" w:name="_GoBack"/>
      <w:bookmarkEnd w:id="0"/>
      <w:r>
        <w:rPr>
          <w:rFonts w:ascii="黑体" w:eastAsia="黑体" w:hAnsi="黑体" w:hint="eastAsia"/>
          <w:sz w:val="32"/>
          <w:szCs w:val="32"/>
        </w:rPr>
        <w:t>划局部门概况</w:t>
      </w:r>
    </w:p>
    <w:p w:rsidR="0066687B" w:rsidRDefault="00003DF0">
      <w:pPr>
        <w:widowControl/>
        <w:spacing w:line="600" w:lineRule="exact"/>
        <w:ind w:firstLine="640"/>
        <w:jc w:val="left"/>
        <w:rPr>
          <w:rFonts w:ascii="仿宋" w:eastAsia="仿宋" w:hAnsi="仿宋"/>
          <w:sz w:val="32"/>
          <w:szCs w:val="30"/>
        </w:rPr>
      </w:pPr>
      <w:r>
        <w:rPr>
          <w:rFonts w:ascii="仿宋" w:eastAsia="仿宋" w:hAnsi="仿宋" w:hint="eastAsia"/>
          <w:sz w:val="32"/>
          <w:szCs w:val="30"/>
        </w:rPr>
        <w:t>一、部门主要职责</w:t>
      </w:r>
    </w:p>
    <w:p w:rsidR="0066687B" w:rsidRDefault="00003DF0">
      <w:pPr>
        <w:widowControl/>
        <w:numPr>
          <w:ilvl w:val="0"/>
          <w:numId w:val="1"/>
        </w:numPr>
        <w:spacing w:line="600" w:lineRule="exact"/>
        <w:ind w:left="0"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部门基本情况</w:t>
      </w:r>
    </w:p>
    <w:p w:rsidR="0066687B" w:rsidRDefault="00003DF0">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  2018年度部门决算表</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一、收入支出决算总表</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二、收入决算表</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三、支出决算表</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四、财政拨款收入支出决算总表</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五、一般公共预算财政拨款支出决算表</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六、一般公共预算财政拨款基本支出决算表</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七、一般公共预算财政拨款“三公”经费支出决算</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表</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八、政府性基金预算财政拨款收入支出决算表</w:t>
      </w:r>
    </w:p>
    <w:p w:rsidR="0066687B" w:rsidRDefault="00003DF0">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九、国有资产占用情况表</w:t>
      </w:r>
    </w:p>
    <w:p w:rsidR="0066687B" w:rsidRDefault="00003DF0">
      <w:pPr>
        <w:widowControl/>
        <w:spacing w:line="600" w:lineRule="exact"/>
        <w:jc w:val="left"/>
        <w:rPr>
          <w:rFonts w:ascii="黑体" w:eastAsia="黑体" w:hAnsi="黑体"/>
          <w:sz w:val="32"/>
          <w:szCs w:val="32"/>
        </w:rPr>
      </w:pPr>
      <w:r>
        <w:rPr>
          <w:rFonts w:ascii="仿宋" w:eastAsia="仿宋" w:hAnsi="仿宋" w:cs="宋体" w:hint="eastAsia"/>
          <w:kern w:val="0"/>
          <w:sz w:val="32"/>
          <w:szCs w:val="32"/>
        </w:rPr>
        <w:t xml:space="preserve">    </w:t>
      </w:r>
      <w:r>
        <w:rPr>
          <w:rFonts w:ascii="黑体" w:eastAsia="黑体" w:hAnsi="黑体" w:hint="eastAsia"/>
          <w:sz w:val="32"/>
          <w:szCs w:val="32"/>
        </w:rPr>
        <w:t>第三部分  2018年度部门决算情况说明</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一、收入决算情况说明</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二、支出决算情况说明</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三、财政拨款支出决算情况说明</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lastRenderedPageBreak/>
        <w:t>四、一般公共预算财政拨款基本支出决算情况说明</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五、一般公共预算财政拨款“三公”经费支出决算</w:t>
      </w:r>
    </w:p>
    <w:p w:rsidR="0066687B" w:rsidRDefault="00003DF0">
      <w:pPr>
        <w:widowControl/>
        <w:spacing w:line="600" w:lineRule="exact"/>
        <w:jc w:val="left"/>
        <w:rPr>
          <w:rFonts w:ascii="仿宋" w:eastAsia="仿宋" w:hAnsi="仿宋"/>
          <w:sz w:val="32"/>
          <w:szCs w:val="30"/>
        </w:rPr>
      </w:pPr>
      <w:r>
        <w:rPr>
          <w:rFonts w:ascii="仿宋" w:eastAsia="仿宋" w:hAnsi="仿宋" w:hint="eastAsia"/>
          <w:sz w:val="32"/>
          <w:szCs w:val="30"/>
        </w:rPr>
        <w:t xml:space="preserve">    情况说明</w:t>
      </w:r>
    </w:p>
    <w:p w:rsidR="0066687B" w:rsidRDefault="00003DF0">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六、机关运行经费支出情况说明</w:t>
      </w:r>
    </w:p>
    <w:p w:rsidR="0066687B" w:rsidRDefault="00003DF0">
      <w:pPr>
        <w:widowControl/>
        <w:spacing w:line="600" w:lineRule="exact"/>
        <w:ind w:firstLine="640"/>
        <w:jc w:val="left"/>
        <w:rPr>
          <w:rFonts w:ascii="仿宋" w:eastAsia="仿宋" w:hAnsi="仿宋"/>
          <w:sz w:val="32"/>
          <w:szCs w:val="30"/>
        </w:rPr>
      </w:pPr>
      <w:r>
        <w:rPr>
          <w:rFonts w:ascii="仿宋" w:eastAsia="仿宋" w:hAnsi="仿宋" w:hint="eastAsia"/>
          <w:sz w:val="32"/>
          <w:szCs w:val="30"/>
        </w:rPr>
        <w:t>七、政府采购支出情况说明</w:t>
      </w:r>
    </w:p>
    <w:p w:rsidR="0066687B" w:rsidRDefault="00003DF0">
      <w:pPr>
        <w:widowControl/>
        <w:spacing w:line="600" w:lineRule="exact"/>
        <w:ind w:firstLine="640"/>
        <w:jc w:val="left"/>
        <w:rPr>
          <w:rFonts w:ascii="仿宋" w:eastAsia="仿宋" w:hAnsi="仿宋"/>
          <w:sz w:val="32"/>
          <w:szCs w:val="30"/>
        </w:rPr>
      </w:pPr>
      <w:r>
        <w:rPr>
          <w:rFonts w:ascii="仿宋" w:eastAsia="仿宋" w:hAnsi="仿宋" w:hint="eastAsia"/>
          <w:sz w:val="32"/>
          <w:szCs w:val="30"/>
        </w:rPr>
        <w:t>八、国有资产占用情况说明</w:t>
      </w: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8130B" w:rsidRDefault="0068130B">
      <w:pPr>
        <w:widowControl/>
        <w:spacing w:line="600" w:lineRule="exact"/>
        <w:ind w:firstLine="640"/>
        <w:jc w:val="left"/>
        <w:rPr>
          <w:rFonts w:ascii="黑体" w:eastAsia="黑体" w:hAnsi="黑体" w:hint="eastAsia"/>
          <w:sz w:val="32"/>
          <w:szCs w:val="32"/>
        </w:rPr>
      </w:pPr>
    </w:p>
    <w:p w:rsidR="008D53A5" w:rsidRDefault="008D53A5">
      <w:pPr>
        <w:widowControl/>
        <w:spacing w:line="600" w:lineRule="exact"/>
        <w:ind w:firstLine="640"/>
        <w:jc w:val="left"/>
        <w:rPr>
          <w:rFonts w:ascii="黑体" w:eastAsia="黑体" w:hAnsi="黑体"/>
          <w:sz w:val="32"/>
          <w:szCs w:val="32"/>
        </w:rPr>
      </w:pPr>
    </w:p>
    <w:p w:rsidR="0066687B" w:rsidRDefault="0066687B">
      <w:pPr>
        <w:widowControl/>
        <w:spacing w:line="600" w:lineRule="exact"/>
        <w:ind w:firstLine="640"/>
        <w:jc w:val="left"/>
        <w:rPr>
          <w:rFonts w:ascii="黑体" w:eastAsia="黑体" w:hAnsi="黑体"/>
          <w:sz w:val="32"/>
          <w:szCs w:val="32"/>
        </w:rPr>
      </w:pPr>
    </w:p>
    <w:p w:rsidR="0066687B" w:rsidRDefault="00003DF0">
      <w:pPr>
        <w:widowControl/>
        <w:spacing w:line="600" w:lineRule="exact"/>
        <w:jc w:val="center"/>
        <w:rPr>
          <w:rFonts w:ascii="宋体" w:hAnsi="宋体"/>
          <w:b/>
          <w:sz w:val="32"/>
          <w:szCs w:val="30"/>
        </w:rPr>
      </w:pPr>
      <w:r>
        <w:rPr>
          <w:rFonts w:ascii="宋体" w:hAnsi="宋体" w:hint="eastAsia"/>
          <w:b/>
          <w:sz w:val="32"/>
          <w:szCs w:val="30"/>
        </w:rPr>
        <w:lastRenderedPageBreak/>
        <w:t>第一部分  庐山市建设规划局</w:t>
      </w:r>
      <w:r>
        <w:rPr>
          <w:rFonts w:ascii="宋体" w:hAnsi="宋体" w:hint="eastAsia"/>
          <w:b/>
          <w:sz w:val="32"/>
          <w:szCs w:val="32"/>
        </w:rPr>
        <w:t>部门</w:t>
      </w:r>
      <w:r>
        <w:rPr>
          <w:rFonts w:ascii="宋体" w:hAnsi="宋体" w:hint="eastAsia"/>
          <w:b/>
          <w:sz w:val="32"/>
          <w:szCs w:val="30"/>
        </w:rPr>
        <w:t>概况</w:t>
      </w:r>
    </w:p>
    <w:p w:rsidR="0066687B" w:rsidRDefault="00003DF0">
      <w:pPr>
        <w:ind w:firstLine="630"/>
        <w:jc w:val="left"/>
        <w:rPr>
          <w:rFonts w:ascii="黑体" w:eastAsia="黑体" w:hAnsi="黑体"/>
          <w:sz w:val="30"/>
          <w:szCs w:val="30"/>
        </w:rPr>
      </w:pPr>
      <w:r>
        <w:rPr>
          <w:rFonts w:ascii="黑体" w:eastAsia="黑体" w:hAnsi="黑体" w:hint="eastAsia"/>
          <w:sz w:val="30"/>
          <w:szCs w:val="30"/>
        </w:rPr>
        <w:t>一、部门主要职能</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一）贯彻执行国家关于建设规划事业的方针、政策和法律、法规；研究拟订本市建设规划工作发展的中长期规划和年度计划；负责全市城乡规划规范性文件，并组织实施；负责工程建设、城市建设、村镇建设、城市规划、乡镇规划、建筑业、市政公用事业等行业管理。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（二）拟订建设行业科技发展规划、人才发展规划；组织科技项目攻关和科技成果的转化、推广；指导建筑职能化工作；管理全市建设规划技术市场；管理全市建设规划系统职工教育工作。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三）负责组织编制全市城镇体系规划、城市总体规划、专项规划、分区规划和详细规划并组织实施；对各规划成果进行审核、报批；参与重点项目的选址工作和全市国土规划、区域规划工作；指导管理城市勘察和测量工作。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四）负责管理城市规划的实施，对市城及各风景区各项建设用地、建设工程、市政管线工程新建、改建、扩建等核发《建设项目选址意见书》、《建设用地规划许可证》和《建设工程规划许可证》。负责规划区内建设监督管理。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（五）依法管理、监督指导和协调全市区域内乡镇集镇、村庄的规划、建设工作，推进村镇建设的发展。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（六）综合管理全市建筑活动；规范建筑市场；负责管理建</w:t>
      </w:r>
      <w:r>
        <w:rPr>
          <w:rFonts w:ascii="仿宋" w:eastAsia="仿宋" w:hAnsi="仿宋" w:cs="仿宋" w:hint="eastAsia"/>
          <w:sz w:val="30"/>
          <w:szCs w:val="30"/>
        </w:rPr>
        <w:lastRenderedPageBreak/>
        <w:t xml:space="preserve">筑工程建设市场准入、工程设计、工程招标投标、工程质量与安全、工程竣工验收备案、城乡建设档案管理，负责勘察设计、施工、建设监理等单位和相关社会中介组织的管理；组织协调建筑行业企业参与国际工程承包和劳务合作。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七）负责全市建设工程勘察、设计、咨询行业管理；规范建设工程勘察、设计、咨询市场；监督管理全市城乡建筑及工业与民用建筑的抗震设计规范实施、抗震设计和施工及其建筑节能规划设计实施、建筑节能设计和施工；负责一般性工业建筑、民用建筑的工程造价、工程定额和费用标准的管理。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（八）管理市城供水、排水、道路、燃气、市政设施工作；综合管理城市计划用水、节约用水，指导城市综合开发、负责城市市政资源经营管理。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（九）负责全市城乡规划、市政公用设施、建筑市场监督管理，指导市城综合治理。 </w:t>
      </w:r>
    </w:p>
    <w:p w:rsidR="0066687B" w:rsidRDefault="00003DF0" w:rsidP="0066687B">
      <w:pPr>
        <w:ind w:firstLineChars="200" w:firstLine="600"/>
        <w:rPr>
          <w:rFonts w:ascii="仿宋" w:eastAsia="仿宋" w:hAnsi="仿宋" w:cs="仿宋"/>
          <w:sz w:val="30"/>
          <w:szCs w:val="30"/>
        </w:rPr>
      </w:pPr>
      <w:r>
        <w:rPr>
          <w:rFonts w:ascii="仿宋" w:eastAsia="仿宋" w:hAnsi="仿宋" w:cs="仿宋" w:hint="eastAsia"/>
          <w:sz w:val="30"/>
          <w:szCs w:val="30"/>
        </w:rPr>
        <w:t xml:space="preserve">（十）负责局机关和下属单位的党群、人事管理、劳动工资、机构编制等工作。 </w:t>
      </w:r>
    </w:p>
    <w:p w:rsidR="0066687B" w:rsidRDefault="00003DF0" w:rsidP="0066687B">
      <w:pPr>
        <w:ind w:firstLineChars="200" w:firstLine="600"/>
        <w:rPr>
          <w:rFonts w:ascii="仿宋" w:eastAsia="仿宋" w:hAnsi="仿宋" w:cs="仿宋"/>
          <w:sz w:val="32"/>
          <w:szCs w:val="32"/>
        </w:rPr>
      </w:pPr>
      <w:r>
        <w:rPr>
          <w:rFonts w:ascii="仿宋" w:eastAsia="仿宋" w:hAnsi="仿宋" w:cs="仿宋" w:hint="eastAsia"/>
          <w:sz w:val="30"/>
          <w:szCs w:val="30"/>
        </w:rPr>
        <w:t>（十一）承办市人民政府交办的其他事项。</w:t>
      </w:r>
      <w:r>
        <w:rPr>
          <w:rFonts w:ascii="仿宋" w:eastAsia="仿宋" w:hAnsi="仿宋" w:cs="仿宋" w:hint="eastAsia"/>
          <w:color w:val="000000"/>
          <w:sz w:val="32"/>
          <w:szCs w:val="32"/>
        </w:rPr>
        <w:t xml:space="preserve"> </w:t>
      </w:r>
    </w:p>
    <w:p w:rsidR="0066687B" w:rsidRDefault="00003DF0">
      <w:pPr>
        <w:ind w:firstLine="630"/>
        <w:jc w:val="left"/>
        <w:rPr>
          <w:rFonts w:ascii="黑体" w:eastAsia="黑体" w:hAnsi="黑体"/>
          <w:sz w:val="30"/>
          <w:szCs w:val="30"/>
        </w:rPr>
      </w:pPr>
      <w:r>
        <w:rPr>
          <w:rFonts w:ascii="黑体" w:eastAsia="黑体" w:hAnsi="黑体" w:hint="eastAsia"/>
          <w:sz w:val="30"/>
          <w:szCs w:val="30"/>
        </w:rPr>
        <w:t>二、部门基本情况</w:t>
      </w:r>
    </w:p>
    <w:p w:rsidR="0066687B" w:rsidRDefault="00003DF0">
      <w:pPr>
        <w:ind w:firstLine="630"/>
        <w:jc w:val="left"/>
        <w:rPr>
          <w:rFonts w:ascii="仿宋" w:eastAsia="仿宋" w:hAnsi="仿宋"/>
          <w:sz w:val="30"/>
          <w:szCs w:val="30"/>
        </w:rPr>
      </w:pPr>
      <w:r>
        <w:rPr>
          <w:rFonts w:ascii="仿宋" w:eastAsia="仿宋" w:hAnsi="仿宋" w:hint="eastAsia"/>
          <w:sz w:val="30"/>
          <w:szCs w:val="30"/>
        </w:rPr>
        <w:t>纳入本套部门决算汇编范围的单位共1个，即庐山市建设规划局。</w:t>
      </w:r>
    </w:p>
    <w:p w:rsidR="0066687B" w:rsidRDefault="00003DF0">
      <w:pPr>
        <w:ind w:firstLineChars="200" w:firstLine="600"/>
        <w:rPr>
          <w:rFonts w:ascii="仿宋" w:eastAsia="仿宋" w:hAnsi="仿宋"/>
          <w:sz w:val="30"/>
          <w:szCs w:val="30"/>
        </w:rPr>
      </w:pPr>
      <w:r>
        <w:rPr>
          <w:rFonts w:ascii="仿宋" w:eastAsia="仿宋" w:hAnsi="仿宋" w:hint="eastAsia"/>
          <w:sz w:val="30"/>
          <w:szCs w:val="30"/>
        </w:rPr>
        <w:t>本部门2018年年末编制人数3</w:t>
      </w:r>
      <w:r w:rsidR="00761F06">
        <w:rPr>
          <w:rFonts w:ascii="仿宋" w:eastAsia="仿宋" w:hAnsi="仿宋" w:hint="eastAsia"/>
          <w:sz w:val="30"/>
          <w:szCs w:val="30"/>
        </w:rPr>
        <w:t>4</w:t>
      </w:r>
      <w:r>
        <w:rPr>
          <w:rFonts w:ascii="仿宋" w:eastAsia="仿宋" w:hAnsi="仿宋" w:hint="eastAsia"/>
          <w:sz w:val="30"/>
          <w:szCs w:val="30"/>
        </w:rPr>
        <w:t>人，其中行政编制1</w:t>
      </w:r>
      <w:r w:rsidR="009D3698">
        <w:rPr>
          <w:rFonts w:ascii="仿宋" w:eastAsia="仿宋" w:hAnsi="仿宋" w:hint="eastAsia"/>
          <w:sz w:val="30"/>
          <w:szCs w:val="30"/>
        </w:rPr>
        <w:t>6</w:t>
      </w:r>
      <w:r>
        <w:rPr>
          <w:rFonts w:ascii="仿宋" w:eastAsia="仿宋" w:hAnsi="仿宋" w:hint="eastAsia"/>
          <w:sz w:val="30"/>
          <w:szCs w:val="30"/>
        </w:rPr>
        <w:t>人，事业编制1</w:t>
      </w:r>
      <w:r w:rsidR="009D3698">
        <w:rPr>
          <w:rFonts w:ascii="仿宋" w:eastAsia="仿宋" w:hAnsi="仿宋" w:hint="eastAsia"/>
          <w:sz w:val="30"/>
          <w:szCs w:val="30"/>
        </w:rPr>
        <w:t>5</w:t>
      </w:r>
      <w:r>
        <w:rPr>
          <w:rFonts w:ascii="仿宋" w:eastAsia="仿宋" w:hAnsi="仿宋" w:hint="eastAsia"/>
          <w:sz w:val="30"/>
          <w:szCs w:val="30"/>
        </w:rPr>
        <w:t>人</w:t>
      </w:r>
      <w:r w:rsidR="00761F06">
        <w:rPr>
          <w:rFonts w:ascii="仿宋" w:eastAsia="仿宋" w:hAnsi="仿宋" w:hint="eastAsia"/>
          <w:sz w:val="30"/>
          <w:szCs w:val="30"/>
        </w:rPr>
        <w:t>，自收自支编制3人</w:t>
      </w:r>
      <w:r>
        <w:rPr>
          <w:rFonts w:ascii="仿宋" w:eastAsia="仿宋" w:hAnsi="仿宋" w:hint="eastAsia"/>
          <w:sz w:val="30"/>
          <w:szCs w:val="30"/>
        </w:rPr>
        <w:t>；年末实有人数</w:t>
      </w:r>
      <w:r w:rsidR="00FF60BA">
        <w:rPr>
          <w:rFonts w:ascii="仿宋" w:eastAsia="仿宋" w:hAnsi="仿宋" w:hint="eastAsia"/>
          <w:sz w:val="30"/>
          <w:szCs w:val="30"/>
        </w:rPr>
        <w:t>5</w:t>
      </w:r>
      <w:r w:rsidR="001D26DF">
        <w:rPr>
          <w:rFonts w:ascii="仿宋" w:eastAsia="仿宋" w:hAnsi="仿宋" w:hint="eastAsia"/>
          <w:sz w:val="30"/>
          <w:szCs w:val="30"/>
        </w:rPr>
        <w:t>9</w:t>
      </w:r>
      <w:r>
        <w:rPr>
          <w:rFonts w:ascii="仿宋" w:eastAsia="仿宋" w:hAnsi="仿宋" w:hint="eastAsia"/>
          <w:sz w:val="30"/>
          <w:szCs w:val="30"/>
        </w:rPr>
        <w:t>人，其</w:t>
      </w:r>
      <w:r>
        <w:rPr>
          <w:rFonts w:ascii="仿宋" w:eastAsia="仿宋" w:hAnsi="仿宋" w:hint="eastAsia"/>
          <w:sz w:val="30"/>
          <w:szCs w:val="30"/>
        </w:rPr>
        <w:lastRenderedPageBreak/>
        <w:t>中在职人员3</w:t>
      </w:r>
      <w:r w:rsidR="00761F06">
        <w:rPr>
          <w:rFonts w:ascii="仿宋" w:eastAsia="仿宋" w:hAnsi="仿宋" w:hint="eastAsia"/>
          <w:sz w:val="30"/>
          <w:szCs w:val="30"/>
        </w:rPr>
        <w:t>4</w:t>
      </w:r>
      <w:r>
        <w:rPr>
          <w:rFonts w:ascii="仿宋" w:eastAsia="仿宋" w:hAnsi="仿宋" w:hint="eastAsia"/>
          <w:sz w:val="30"/>
          <w:szCs w:val="30"/>
        </w:rPr>
        <w:t>人，离休人员0人，</w:t>
      </w:r>
      <w:r w:rsidR="00D80610">
        <w:rPr>
          <w:rFonts w:ascii="仿宋" w:eastAsia="仿宋" w:hAnsi="仿宋" w:hint="eastAsia"/>
          <w:sz w:val="30"/>
          <w:szCs w:val="30"/>
        </w:rPr>
        <w:t>行政</w:t>
      </w:r>
      <w:r>
        <w:rPr>
          <w:rFonts w:ascii="仿宋" w:eastAsia="仿宋" w:hAnsi="仿宋" w:hint="eastAsia"/>
          <w:sz w:val="30"/>
          <w:szCs w:val="30"/>
        </w:rPr>
        <w:t>退休人员</w:t>
      </w:r>
      <w:r w:rsidR="00FF60BA">
        <w:rPr>
          <w:rFonts w:ascii="仿宋" w:eastAsia="仿宋" w:hAnsi="仿宋" w:hint="eastAsia"/>
          <w:sz w:val="30"/>
          <w:szCs w:val="30"/>
        </w:rPr>
        <w:t>24</w:t>
      </w:r>
      <w:r>
        <w:rPr>
          <w:rFonts w:ascii="仿宋" w:eastAsia="仿宋" w:hAnsi="仿宋" w:hint="eastAsia"/>
          <w:sz w:val="30"/>
          <w:szCs w:val="30"/>
        </w:rPr>
        <w:t>人</w:t>
      </w:r>
      <w:r w:rsidR="002B0495">
        <w:rPr>
          <w:rFonts w:ascii="仿宋" w:eastAsia="仿宋" w:hAnsi="仿宋" w:hint="eastAsia"/>
          <w:sz w:val="30"/>
          <w:szCs w:val="30"/>
        </w:rPr>
        <w:t>，</w:t>
      </w:r>
      <w:r w:rsidR="001D26DF">
        <w:rPr>
          <w:rFonts w:ascii="仿宋" w:eastAsia="仿宋" w:hAnsi="仿宋" w:hint="eastAsia"/>
          <w:sz w:val="30"/>
          <w:szCs w:val="30"/>
        </w:rPr>
        <w:t>自收自支事业退休人员1人</w:t>
      </w:r>
      <w:r>
        <w:rPr>
          <w:rFonts w:ascii="仿宋" w:eastAsia="仿宋" w:hAnsi="仿宋" w:hint="eastAsia"/>
          <w:sz w:val="30"/>
          <w:szCs w:val="30"/>
        </w:rPr>
        <w:t>；年末学生人数0人。</w:t>
      </w:r>
    </w:p>
    <w:p w:rsidR="0066687B" w:rsidRDefault="0066687B">
      <w:pPr>
        <w:rPr>
          <w:rFonts w:ascii="仿宋" w:eastAsia="仿宋" w:hAnsi="仿宋"/>
          <w:sz w:val="30"/>
          <w:szCs w:val="30"/>
        </w:rPr>
      </w:pPr>
    </w:p>
    <w:p w:rsidR="0066687B" w:rsidRDefault="00003DF0">
      <w:pPr>
        <w:widowControl/>
        <w:spacing w:line="600" w:lineRule="exact"/>
        <w:jc w:val="center"/>
        <w:rPr>
          <w:rFonts w:ascii="宋体" w:hAnsi="宋体"/>
          <w:b/>
          <w:sz w:val="32"/>
          <w:szCs w:val="32"/>
        </w:rPr>
      </w:pPr>
      <w:r>
        <w:rPr>
          <w:rFonts w:ascii="宋体" w:hAnsi="宋体" w:hint="eastAsia"/>
          <w:b/>
          <w:sz w:val="32"/>
          <w:szCs w:val="32"/>
        </w:rPr>
        <w:t>第二部分  2018年度部门决算表</w:t>
      </w:r>
    </w:p>
    <w:p w:rsidR="0066687B" w:rsidRDefault="0066687B">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2976"/>
        <w:gridCol w:w="435"/>
        <w:gridCol w:w="992"/>
        <w:gridCol w:w="2068"/>
        <w:gridCol w:w="450"/>
        <w:gridCol w:w="1415"/>
      </w:tblGrid>
      <w:tr w:rsidR="0066687B">
        <w:trPr>
          <w:trHeight w:val="540"/>
        </w:trPr>
        <w:tc>
          <w:tcPr>
            <w:tcW w:w="8336" w:type="dxa"/>
            <w:gridSpan w:val="6"/>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36"/>
                <w:szCs w:val="36"/>
              </w:rPr>
              <w:t>收入支出决算总表</w:t>
            </w:r>
          </w:p>
        </w:tc>
      </w:tr>
      <w:tr w:rsidR="0066687B">
        <w:trPr>
          <w:trHeight w:val="240"/>
        </w:trPr>
        <w:tc>
          <w:tcPr>
            <w:tcW w:w="2976"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43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992"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2068"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45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41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公开01表</w:t>
            </w:r>
          </w:p>
        </w:tc>
      </w:tr>
      <w:tr w:rsidR="0066687B">
        <w:trPr>
          <w:trHeight w:val="240"/>
        </w:trPr>
        <w:tc>
          <w:tcPr>
            <w:tcW w:w="2976"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43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992"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2068"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45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41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66687B">
        <w:trPr>
          <w:trHeight w:val="308"/>
        </w:trPr>
        <w:tc>
          <w:tcPr>
            <w:tcW w:w="440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收入</w:t>
            </w:r>
          </w:p>
        </w:tc>
        <w:tc>
          <w:tcPr>
            <w:tcW w:w="3933" w:type="dxa"/>
            <w:gridSpan w:val="3"/>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项目(按功能分类)</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一、财政拨款收入</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1,264.59</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一、一般公共服务支出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其中：政府性基金预算财政拨款</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二、外交支出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二、上级补助收入</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三、国防支出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三、事业收入</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四、公共安全支出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四、经营收入</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五、教育支出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五、附属单位上缴收入</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六、科学技术支出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33</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六、其他收入</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1,527.88</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七、文化体育与传媒支出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八、社会保障和就业支出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九、医疗卫生与计划生育支出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十、节能环保支出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十一、城乡社区支出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1,796.34</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十二、农林水支出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十三、交通运输支出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945.00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十四、资源勘探信息等支出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41</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十五、商业服务业等支出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十六、金融支出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十七、援助其他地区支出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44</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十八、国土海洋气象等支出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十九、住房保障支出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二十、粮油物资储备支出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二十一、其他支出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二十二、债务还本支出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w:t>
            </w:r>
          </w:p>
        </w:tc>
        <w:tc>
          <w:tcPr>
            <w:tcW w:w="14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w:t>
            </w:r>
          </w:p>
        </w:tc>
        <w:tc>
          <w:tcPr>
            <w:tcW w:w="9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nil"/>
              <w:left w:val="nil"/>
              <w:bottom w:val="nil"/>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二十三、债务付息支出</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w:t>
            </w:r>
          </w:p>
        </w:tc>
        <w:tc>
          <w:tcPr>
            <w:tcW w:w="1415" w:type="dxa"/>
            <w:tcBorders>
              <w:top w:val="nil"/>
              <w:left w:val="nil"/>
              <w:bottom w:val="nil"/>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本年收入合计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992" w:type="dxa"/>
            <w:tcBorders>
              <w:top w:val="nil"/>
              <w:left w:val="nil"/>
              <w:bottom w:val="single" w:sz="4" w:space="0" w:color="000000"/>
              <w:right w:val="nil"/>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2,792.48</w:t>
            </w:r>
          </w:p>
        </w:tc>
        <w:tc>
          <w:tcPr>
            <w:tcW w:w="20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本年支出合计</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w:t>
            </w:r>
          </w:p>
        </w:tc>
        <w:tc>
          <w:tcPr>
            <w:tcW w:w="14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2,809.24</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用事业基金弥补收支差额</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992" w:type="dxa"/>
            <w:tcBorders>
              <w:top w:val="nil"/>
              <w:left w:val="nil"/>
              <w:bottom w:val="single" w:sz="4" w:space="0" w:color="000000"/>
              <w:right w:val="nil"/>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0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结余分配</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w:t>
            </w:r>
          </w:p>
        </w:tc>
        <w:tc>
          <w:tcPr>
            <w:tcW w:w="14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97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年初结转和结余</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992" w:type="dxa"/>
            <w:tcBorders>
              <w:top w:val="nil"/>
              <w:left w:val="nil"/>
              <w:bottom w:val="single" w:sz="4" w:space="0" w:color="000000"/>
              <w:right w:val="nil"/>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1,082.01</w:t>
            </w:r>
          </w:p>
        </w:tc>
        <w:tc>
          <w:tcPr>
            <w:tcW w:w="206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年末结转和结余</w:t>
            </w:r>
          </w:p>
        </w:tc>
        <w:tc>
          <w:tcPr>
            <w:tcW w:w="4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w:t>
            </w:r>
          </w:p>
        </w:tc>
        <w:tc>
          <w:tcPr>
            <w:tcW w:w="14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1,065.25</w:t>
            </w:r>
          </w:p>
        </w:tc>
      </w:tr>
      <w:tr w:rsidR="0066687B">
        <w:trPr>
          <w:trHeight w:val="308"/>
        </w:trPr>
        <w:tc>
          <w:tcPr>
            <w:tcW w:w="2976" w:type="dxa"/>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43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w:t>
            </w:r>
          </w:p>
        </w:tc>
        <w:tc>
          <w:tcPr>
            <w:tcW w:w="992" w:type="dxa"/>
            <w:tcBorders>
              <w:top w:val="nil"/>
              <w:left w:val="nil"/>
              <w:bottom w:val="single" w:sz="8" w:space="0" w:color="000000"/>
              <w:right w:val="nil"/>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3,874.49</w:t>
            </w:r>
          </w:p>
        </w:tc>
        <w:tc>
          <w:tcPr>
            <w:tcW w:w="2068" w:type="dxa"/>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45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54</w:t>
            </w:r>
          </w:p>
        </w:tc>
        <w:tc>
          <w:tcPr>
            <w:tcW w:w="14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3,874.49</w:t>
            </w:r>
          </w:p>
        </w:tc>
      </w:tr>
      <w:tr w:rsidR="0066687B">
        <w:trPr>
          <w:trHeight w:val="308"/>
        </w:trPr>
        <w:tc>
          <w:tcPr>
            <w:tcW w:w="8336" w:type="dxa"/>
            <w:gridSpan w:val="6"/>
            <w:tcBorders>
              <w:top w:val="nil"/>
              <w:left w:val="nil"/>
              <w:bottom w:val="nil"/>
              <w:right w:val="nil"/>
            </w:tcBorders>
            <w:shd w:val="clear" w:color="auto" w:fill="auto"/>
            <w:noWrap/>
            <w:tcMar>
              <w:top w:w="15" w:type="dxa"/>
              <w:left w:w="15" w:type="dxa"/>
              <w:right w:w="15" w:type="dxa"/>
            </w:tcMar>
            <w:vAlign w:val="center"/>
          </w:tcPr>
          <w:p w:rsidR="0066687B" w:rsidRDefault="00003DF0">
            <w:pPr>
              <w:jc w:val="left"/>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注：本表反映部门本年度的总收支和年末结转结余情况。</w:t>
            </w:r>
          </w:p>
        </w:tc>
      </w:tr>
    </w:tbl>
    <w:p w:rsidR="0066687B" w:rsidRDefault="0066687B">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410"/>
        <w:gridCol w:w="421"/>
        <w:gridCol w:w="315"/>
        <w:gridCol w:w="2205"/>
        <w:gridCol w:w="1020"/>
        <w:gridCol w:w="870"/>
        <w:gridCol w:w="630"/>
        <w:gridCol w:w="540"/>
        <w:gridCol w:w="435"/>
        <w:gridCol w:w="525"/>
        <w:gridCol w:w="965"/>
      </w:tblGrid>
      <w:tr w:rsidR="0066687B">
        <w:trPr>
          <w:trHeight w:val="450"/>
        </w:trPr>
        <w:tc>
          <w:tcPr>
            <w:tcW w:w="8336" w:type="dxa"/>
            <w:gridSpan w:val="11"/>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收入决算表</w:t>
            </w:r>
          </w:p>
        </w:tc>
      </w:tr>
      <w:tr w:rsidR="0066687B">
        <w:trPr>
          <w:trHeight w:val="255"/>
        </w:trPr>
        <w:tc>
          <w:tcPr>
            <w:tcW w:w="41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421"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31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220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02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87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63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54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43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52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96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公开02表</w:t>
            </w:r>
          </w:p>
        </w:tc>
      </w:tr>
      <w:tr w:rsidR="0066687B">
        <w:trPr>
          <w:trHeight w:val="240"/>
        </w:trPr>
        <w:tc>
          <w:tcPr>
            <w:tcW w:w="3351" w:type="dxa"/>
            <w:gridSpan w:val="4"/>
            <w:tcBorders>
              <w:top w:val="nil"/>
              <w:left w:val="nil"/>
              <w:bottom w:val="nil"/>
              <w:right w:val="nil"/>
            </w:tcBorders>
            <w:shd w:val="clear" w:color="auto" w:fill="auto"/>
            <w:noWrap/>
            <w:tcMar>
              <w:top w:w="15" w:type="dxa"/>
              <w:left w:w="15" w:type="dxa"/>
              <w:right w:w="15" w:type="dxa"/>
            </w:tcMar>
            <w:vAlign w:val="bottom"/>
          </w:tcPr>
          <w:p w:rsidR="0066687B" w:rsidRDefault="00003DF0">
            <w:pPr>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1020" w:type="dxa"/>
            <w:tcBorders>
              <w:top w:val="nil"/>
              <w:left w:val="nil"/>
              <w:bottom w:val="nil"/>
              <w:right w:val="nil"/>
            </w:tcBorders>
            <w:shd w:val="clear" w:color="auto" w:fill="auto"/>
            <w:noWrap/>
            <w:tcMar>
              <w:top w:w="15" w:type="dxa"/>
              <w:left w:w="15" w:type="dxa"/>
              <w:right w:w="15" w:type="dxa"/>
            </w:tcMar>
            <w:vAlign w:val="bottom"/>
          </w:tcPr>
          <w:p w:rsidR="0066687B" w:rsidRDefault="00003DF0">
            <w:pPr>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87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63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widowControl/>
              <w:jc w:val="center"/>
              <w:textAlignment w:val="bottom"/>
              <w:rPr>
                <w:rFonts w:ascii="宋体" w:eastAsia="宋体" w:hAnsi="宋体" w:cs="宋体"/>
                <w:color w:val="000000"/>
                <w:sz w:val="20"/>
                <w:szCs w:val="20"/>
              </w:rPr>
            </w:pPr>
          </w:p>
        </w:tc>
        <w:tc>
          <w:tcPr>
            <w:tcW w:w="54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43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52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96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66687B">
        <w:trPr>
          <w:trHeight w:val="308"/>
        </w:trPr>
        <w:tc>
          <w:tcPr>
            <w:tcW w:w="335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02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本年收入合计</w:t>
            </w:r>
          </w:p>
        </w:tc>
        <w:tc>
          <w:tcPr>
            <w:tcW w:w="87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财政拨款收入</w:t>
            </w:r>
          </w:p>
        </w:tc>
        <w:tc>
          <w:tcPr>
            <w:tcW w:w="63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上级补助收入</w:t>
            </w:r>
          </w:p>
        </w:tc>
        <w:tc>
          <w:tcPr>
            <w:tcW w:w="54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事业收入</w:t>
            </w:r>
          </w:p>
        </w:tc>
        <w:tc>
          <w:tcPr>
            <w:tcW w:w="43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经营收入</w:t>
            </w:r>
          </w:p>
        </w:tc>
        <w:tc>
          <w:tcPr>
            <w:tcW w:w="52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附属单位上缴收入</w:t>
            </w:r>
          </w:p>
        </w:tc>
        <w:tc>
          <w:tcPr>
            <w:tcW w:w="965" w:type="dxa"/>
            <w:vMerge w:val="restart"/>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其他收入</w:t>
            </w:r>
          </w:p>
        </w:tc>
      </w:tr>
      <w:tr w:rsidR="0066687B">
        <w:trPr>
          <w:trHeight w:val="312"/>
        </w:trPr>
        <w:tc>
          <w:tcPr>
            <w:tcW w:w="1146"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支出功能分类科目编码</w:t>
            </w:r>
          </w:p>
        </w:tc>
        <w:tc>
          <w:tcPr>
            <w:tcW w:w="220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02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87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63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4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43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2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965"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1146"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20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2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87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63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4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43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2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965"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1146"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20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2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87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63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4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43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2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965"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08"/>
        </w:trPr>
        <w:tc>
          <w:tcPr>
            <w:tcW w:w="410"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421"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31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02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87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63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54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43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52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965" w:type="dxa"/>
            <w:tcBorders>
              <w:top w:val="nil"/>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r>
      <w:tr w:rsidR="0066687B">
        <w:trPr>
          <w:trHeight w:val="308"/>
        </w:trPr>
        <w:tc>
          <w:tcPr>
            <w:tcW w:w="410"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421"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31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2,792.48</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1,264.59</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1,527.88</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社会保障和就业支出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行政事业单位离退休</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45.46</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45.46</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2080505</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机关事业单位基本养老保险缴费支出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40.61</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40.61</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2080506</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机关事业单位职业年金缴费支出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2080599</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其他行政事业单位离退休支出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0.79</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0.79</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20808</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抚恤</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2080899</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其他优抚支出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医疗卫生与计划生育支出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行政事业单位医疗</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2101101</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行政单位医疗</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10.24</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10.24</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2101102</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事业单位医疗</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9.43</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9.43</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2,724.57</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1,196.69</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1,527.88</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城乡社区管理事务</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2,030.33</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502.45</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1,527.88</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2120101</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行政运行</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1,621.34</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393.45</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1,227.88</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2120199</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其他城乡社区管理事务支出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408.99</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108.99</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21202</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城乡社区规划与管理</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2120201</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城乡社区规划与管理</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21208</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国有土地使用权出让收入及对应专项债务收入安排的支出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2120801</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征地和拆迁补偿支出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21299</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其他城乡社区支出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2129999</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其他城乡社区支出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住房保障支出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22102</w:t>
            </w:r>
          </w:p>
        </w:tc>
        <w:tc>
          <w:tcPr>
            <w:tcW w:w="22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住房改革支出</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87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46" w:type="dxa"/>
            <w:gridSpan w:val="3"/>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2210201</w:t>
            </w:r>
          </w:p>
        </w:tc>
        <w:tc>
          <w:tcPr>
            <w:tcW w:w="220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住房公积金</w:t>
            </w:r>
          </w:p>
        </w:tc>
        <w:tc>
          <w:tcPr>
            <w:tcW w:w="102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87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63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43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2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240"/>
        </w:trPr>
        <w:tc>
          <w:tcPr>
            <w:tcW w:w="8336" w:type="dxa"/>
            <w:gridSpan w:val="11"/>
            <w:tcBorders>
              <w:top w:val="nil"/>
              <w:left w:val="nil"/>
              <w:bottom w:val="nil"/>
              <w:right w:val="nil"/>
            </w:tcBorders>
            <w:shd w:val="clear" w:color="auto" w:fill="auto"/>
            <w:noWrap/>
            <w:tcMar>
              <w:top w:w="15" w:type="dxa"/>
              <w:left w:w="15" w:type="dxa"/>
              <w:right w:w="15" w:type="dxa"/>
            </w:tcMar>
            <w:vAlign w:val="bottom"/>
          </w:tcPr>
          <w:p w:rsidR="0066687B" w:rsidRDefault="00003DF0">
            <w:pP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注：本表反映部门本年度取得的各项收入情况。</w:t>
            </w:r>
          </w:p>
        </w:tc>
      </w:tr>
    </w:tbl>
    <w:p w:rsidR="0066687B" w:rsidRDefault="0066687B">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306"/>
        <w:gridCol w:w="270"/>
        <w:gridCol w:w="208"/>
        <w:gridCol w:w="2492"/>
        <w:gridCol w:w="1065"/>
        <w:gridCol w:w="960"/>
        <w:gridCol w:w="1020"/>
        <w:gridCol w:w="548"/>
        <w:gridCol w:w="652"/>
        <w:gridCol w:w="815"/>
      </w:tblGrid>
      <w:tr w:rsidR="0066687B">
        <w:trPr>
          <w:trHeight w:val="45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支出决算表</w:t>
            </w:r>
          </w:p>
        </w:tc>
      </w:tr>
      <w:tr w:rsidR="0066687B">
        <w:trPr>
          <w:trHeight w:val="240"/>
        </w:trPr>
        <w:tc>
          <w:tcPr>
            <w:tcW w:w="306"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27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208"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2492"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06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96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02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548"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81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公开03表</w:t>
            </w:r>
          </w:p>
        </w:tc>
      </w:tr>
      <w:tr w:rsidR="0066687B">
        <w:trPr>
          <w:trHeight w:val="240"/>
        </w:trPr>
        <w:tc>
          <w:tcPr>
            <w:tcW w:w="4341" w:type="dxa"/>
            <w:gridSpan w:val="5"/>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960"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102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548"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81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66687B">
        <w:trPr>
          <w:trHeight w:val="308"/>
        </w:trPr>
        <w:tc>
          <w:tcPr>
            <w:tcW w:w="327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06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本年支出合计</w:t>
            </w:r>
          </w:p>
        </w:tc>
        <w:tc>
          <w:tcPr>
            <w:tcW w:w="96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102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c>
          <w:tcPr>
            <w:tcW w:w="548"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上缴上级支出</w:t>
            </w:r>
          </w:p>
        </w:tc>
        <w:tc>
          <w:tcPr>
            <w:tcW w:w="652"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经营支出</w:t>
            </w:r>
          </w:p>
        </w:tc>
        <w:tc>
          <w:tcPr>
            <w:tcW w:w="815" w:type="dxa"/>
            <w:vMerge w:val="restart"/>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对附属单位补助支出</w:t>
            </w:r>
          </w:p>
        </w:tc>
      </w:tr>
      <w:tr w:rsidR="0066687B">
        <w:trPr>
          <w:trHeight w:val="312"/>
        </w:trPr>
        <w:tc>
          <w:tcPr>
            <w:tcW w:w="784"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支出功能分类科目编码</w:t>
            </w:r>
          </w:p>
        </w:tc>
        <w:tc>
          <w:tcPr>
            <w:tcW w:w="2492"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06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96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2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48"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652"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815"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784"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49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6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96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2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48"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652"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815"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784"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49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6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96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2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548"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652"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815" w:type="dxa"/>
            <w:vMerge/>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08"/>
        </w:trPr>
        <w:tc>
          <w:tcPr>
            <w:tcW w:w="306"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27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20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06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96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020"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548"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652"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815" w:type="dxa"/>
            <w:tcBorders>
              <w:top w:val="nil"/>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r>
      <w:tr w:rsidR="0066687B">
        <w:trPr>
          <w:trHeight w:val="308"/>
        </w:trPr>
        <w:tc>
          <w:tcPr>
            <w:tcW w:w="306"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7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0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2,809.24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580.73</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2,228.51</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社会保障和就业支出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行政事业单位离退休</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45.46</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45.46</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2080505</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机关事业单位基本养老保险缴费支出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40.61</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40.61</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2080506</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机关事业单位职业年金缴费支出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2080599</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其他行政事业单位离退休支出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0.79</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0.79</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20808</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抚恤</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2080899</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其他优抚支出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医疗卫生与计划生育支出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行政事业单位医疗</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2101101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行政单位医疗</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10.24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10.24</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2101102</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事业单位医疗</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9.43</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9.43</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212</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1,796.34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512.83</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1,283.51</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城乡社区管理事务</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1,102.09</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476.03</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626.06</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2120101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行政运行</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758.30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454.85</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303.45</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2120199</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其他城乡社区管理事务支出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343.79</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21.19</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322.61</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21202</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城乡社区规划与管理</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2120201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城乡社区规划与管理</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21208</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国有土地使用权出让收入及对应专项债务收入安排的支出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2120801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征地和拆迁补偿支出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21299</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其他城乡社区支出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2129999</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其他城乡社区支出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214</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交通运输支出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945.00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945.00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21401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公路水路运输</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945.00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945.00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2140104</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公路建设</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945.00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945.00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住房保障支出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22102</w:t>
            </w:r>
          </w:p>
        </w:tc>
        <w:tc>
          <w:tcPr>
            <w:tcW w:w="249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住房改革支出</w:t>
            </w:r>
          </w:p>
        </w:tc>
        <w:tc>
          <w:tcPr>
            <w:tcW w:w="10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0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784" w:type="dxa"/>
            <w:gridSpan w:val="3"/>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2210201</w:t>
            </w:r>
          </w:p>
        </w:tc>
        <w:tc>
          <w:tcPr>
            <w:tcW w:w="2492"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住房公积金</w:t>
            </w:r>
          </w:p>
        </w:tc>
        <w:tc>
          <w:tcPr>
            <w:tcW w:w="106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96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02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48"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2"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5"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24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注：本表反映部门本年度各项支出情况。</w:t>
            </w:r>
          </w:p>
        </w:tc>
      </w:tr>
    </w:tbl>
    <w:p w:rsidR="0066687B" w:rsidRDefault="0066687B">
      <w:pPr>
        <w:widowControl/>
        <w:spacing w:line="600" w:lineRule="exact"/>
        <w:jc w:val="center"/>
        <w:rPr>
          <w:rFonts w:ascii="宋体" w:hAnsi="宋体"/>
          <w:b/>
          <w:sz w:val="32"/>
          <w:szCs w:val="32"/>
        </w:rPr>
      </w:pPr>
    </w:p>
    <w:p w:rsidR="0066687B" w:rsidRDefault="0066687B">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2061"/>
        <w:gridCol w:w="462"/>
        <w:gridCol w:w="1023"/>
        <w:gridCol w:w="1800"/>
        <w:gridCol w:w="434"/>
        <w:gridCol w:w="734"/>
        <w:gridCol w:w="887"/>
        <w:gridCol w:w="935"/>
      </w:tblGrid>
      <w:tr w:rsidR="0066687B">
        <w:trPr>
          <w:trHeight w:val="450"/>
        </w:trPr>
        <w:tc>
          <w:tcPr>
            <w:tcW w:w="8336" w:type="dxa"/>
            <w:gridSpan w:val="8"/>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财政拨款收入支出决算总表</w:t>
            </w:r>
          </w:p>
        </w:tc>
      </w:tr>
      <w:tr w:rsidR="0066687B">
        <w:trPr>
          <w:trHeight w:val="360"/>
        </w:trPr>
        <w:tc>
          <w:tcPr>
            <w:tcW w:w="2061"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462"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023"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80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434"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734"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887"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93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公开04表</w:t>
            </w:r>
          </w:p>
        </w:tc>
      </w:tr>
      <w:tr w:rsidR="0066687B">
        <w:trPr>
          <w:trHeight w:val="240"/>
        </w:trPr>
        <w:tc>
          <w:tcPr>
            <w:tcW w:w="3546" w:type="dxa"/>
            <w:gridSpan w:val="3"/>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1800"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434"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734" w:type="dxa"/>
            <w:tcBorders>
              <w:top w:val="nil"/>
              <w:left w:val="nil"/>
              <w:bottom w:val="nil"/>
              <w:right w:val="nil"/>
            </w:tcBorders>
            <w:shd w:val="clear" w:color="auto" w:fill="auto"/>
            <w:noWrap/>
            <w:tcMar>
              <w:top w:w="15" w:type="dxa"/>
              <w:left w:w="15" w:type="dxa"/>
              <w:right w:w="15" w:type="dxa"/>
            </w:tcMar>
            <w:vAlign w:val="bottom"/>
          </w:tcPr>
          <w:p w:rsidR="0066687B" w:rsidRDefault="0066687B">
            <w:pPr>
              <w:jc w:val="center"/>
              <w:rPr>
                <w:rFonts w:ascii="宋体" w:eastAsia="宋体" w:hAnsi="宋体" w:cs="宋体"/>
                <w:color w:val="000000"/>
                <w:sz w:val="20"/>
                <w:szCs w:val="20"/>
              </w:rPr>
            </w:pPr>
          </w:p>
        </w:tc>
        <w:tc>
          <w:tcPr>
            <w:tcW w:w="887"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93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66687B">
        <w:trPr>
          <w:trHeight w:val="308"/>
        </w:trPr>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     入</w:t>
            </w:r>
          </w:p>
        </w:tc>
        <w:tc>
          <w:tcPr>
            <w:tcW w:w="4790" w:type="dxa"/>
            <w:gridSpan w:val="5"/>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     出</w:t>
            </w:r>
          </w:p>
        </w:tc>
      </w:tr>
      <w:tr w:rsidR="0066687B">
        <w:trPr>
          <w:trHeight w:val="292"/>
        </w:trPr>
        <w:tc>
          <w:tcPr>
            <w:tcW w:w="2061" w:type="dxa"/>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462"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023"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c>
          <w:tcPr>
            <w:tcW w:w="1800"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项目（按功能分类）</w:t>
            </w:r>
          </w:p>
        </w:tc>
        <w:tc>
          <w:tcPr>
            <w:tcW w:w="434"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556" w:type="dxa"/>
            <w:gridSpan w:val="3"/>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66687B">
        <w:trPr>
          <w:trHeight w:val="615"/>
        </w:trPr>
        <w:tc>
          <w:tcPr>
            <w:tcW w:w="2061"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462"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23"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800"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434"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88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一般公共预算财政拨款</w:t>
            </w:r>
          </w:p>
        </w:tc>
        <w:tc>
          <w:tcPr>
            <w:tcW w:w="935" w:type="dxa"/>
            <w:tcBorders>
              <w:top w:val="nil"/>
              <w:left w:val="nil"/>
              <w:bottom w:val="single" w:sz="4" w:space="0" w:color="000000"/>
              <w:right w:val="single" w:sz="8" w:space="0" w:color="000000"/>
            </w:tcBorders>
            <w:shd w:val="clear" w:color="auto" w:fill="auto"/>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政府性基金预算财政拨款</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    次</w:t>
            </w: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    次</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一、一般公共预算财政拨款</w:t>
            </w: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607.15</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一、一般公共服务支出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二、政府性基金预算财政拨款</w:t>
            </w: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二、外交支出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三、国防支出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四、公共安全支出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33</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五、教育支出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六、科学技术支出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七、文化体育与传媒支出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八、社会保障和就业支出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九、医疗卫生与计划生育支出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十、节能环保支出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十一、城乡社区支出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1,192.88</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535.44</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十二、农林水支出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41</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十三、交通运输支出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十四、资源勘探信息等支出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十五、商业服务业等支出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44</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十六、金融支出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十七、援助其他地区支出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十八、国土海洋气象等支出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十九、住房保障支出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二十、粮油物资储备支出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二十一、其他支出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二十二、债务还本支出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二十三、债务付息支出</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本年收入合计</w:t>
            </w: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1,264.59</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本年支出合计</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1,260.78</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603.34</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年初财政拨款结转和结余</w:t>
            </w: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70.30</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年末财政拨款结转和结余</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54</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74.11</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74.11</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66687B">
            <w:pPr>
              <w:jc w:val="right"/>
              <w:rPr>
                <w:rFonts w:ascii="宋体" w:eastAsia="宋体" w:hAnsi="宋体" w:cs="宋体"/>
                <w:color w:val="000000"/>
                <w:sz w:val="20"/>
                <w:szCs w:val="20"/>
              </w:rPr>
            </w:pP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一、一般公共预算财政拨款</w:t>
            </w: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70.30</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55</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二、政府性基金预算财政拨款</w:t>
            </w: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56</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6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w:t>
            </w:r>
          </w:p>
        </w:tc>
        <w:tc>
          <w:tcPr>
            <w:tcW w:w="10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80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57</w:t>
            </w:r>
          </w:p>
        </w:tc>
        <w:tc>
          <w:tcPr>
            <w:tcW w:w="7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8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5" w:type="dxa"/>
            <w:tcBorders>
              <w:top w:val="nil"/>
              <w:left w:val="nil"/>
              <w:bottom w:val="single" w:sz="4"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2061" w:type="dxa"/>
            <w:tcBorders>
              <w:top w:val="nil"/>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462"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w:t>
            </w:r>
          </w:p>
        </w:tc>
        <w:tc>
          <w:tcPr>
            <w:tcW w:w="1023"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1,334.89</w:t>
            </w:r>
          </w:p>
        </w:tc>
        <w:tc>
          <w:tcPr>
            <w:tcW w:w="1800"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43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w:t>
            </w:r>
          </w:p>
        </w:tc>
        <w:tc>
          <w:tcPr>
            <w:tcW w:w="734"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1,334.89</w:t>
            </w:r>
          </w:p>
        </w:tc>
        <w:tc>
          <w:tcPr>
            <w:tcW w:w="887" w:type="dxa"/>
            <w:tcBorders>
              <w:top w:val="nil"/>
              <w:left w:val="nil"/>
              <w:bottom w:val="single" w:sz="8"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677.45</w:t>
            </w:r>
          </w:p>
        </w:tc>
        <w:tc>
          <w:tcPr>
            <w:tcW w:w="93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r>
      <w:tr w:rsidR="0066687B">
        <w:trPr>
          <w:trHeight w:val="308"/>
        </w:trPr>
        <w:tc>
          <w:tcPr>
            <w:tcW w:w="8336" w:type="dxa"/>
            <w:gridSpan w:val="8"/>
            <w:tcBorders>
              <w:top w:val="nil"/>
              <w:left w:val="nil"/>
              <w:bottom w:val="nil"/>
              <w:right w:val="nil"/>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注：本表反映部门本年度一般公共预算财政拨款和政府性基金预算财政拨款的总收支和年末结转结余情况。</w:t>
            </w:r>
          </w:p>
        </w:tc>
      </w:tr>
    </w:tbl>
    <w:p w:rsidR="0066687B" w:rsidRDefault="0066687B">
      <w:pPr>
        <w:widowControl/>
        <w:spacing w:line="600" w:lineRule="exact"/>
        <w:jc w:val="center"/>
        <w:rPr>
          <w:rFonts w:ascii="宋体" w:hAnsi="宋体"/>
          <w:b/>
          <w:sz w:val="32"/>
          <w:szCs w:val="32"/>
        </w:rPr>
      </w:pPr>
    </w:p>
    <w:p w:rsidR="00D44D70" w:rsidRDefault="00D44D70">
      <w:pPr>
        <w:widowControl/>
        <w:spacing w:line="600" w:lineRule="exact"/>
        <w:jc w:val="center"/>
        <w:rPr>
          <w:rFonts w:ascii="宋体" w:hAnsi="宋体"/>
          <w:b/>
          <w:sz w:val="32"/>
          <w:szCs w:val="32"/>
        </w:rPr>
      </w:pPr>
    </w:p>
    <w:tbl>
      <w:tblPr>
        <w:tblW w:w="8466" w:type="dxa"/>
        <w:tblLayout w:type="fixed"/>
        <w:tblCellMar>
          <w:left w:w="0" w:type="dxa"/>
          <w:right w:w="0" w:type="dxa"/>
        </w:tblCellMar>
        <w:tblLook w:val="04A0"/>
      </w:tblPr>
      <w:tblGrid>
        <w:gridCol w:w="381"/>
        <w:gridCol w:w="390"/>
        <w:gridCol w:w="360"/>
        <w:gridCol w:w="3042"/>
        <w:gridCol w:w="1413"/>
        <w:gridCol w:w="1215"/>
        <w:gridCol w:w="1665"/>
      </w:tblGrid>
      <w:tr w:rsidR="0066687B">
        <w:trPr>
          <w:trHeight w:val="450"/>
        </w:trPr>
        <w:tc>
          <w:tcPr>
            <w:tcW w:w="8466" w:type="dxa"/>
            <w:gridSpan w:val="7"/>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一般公共预算财政拨款支出决算表</w:t>
            </w:r>
          </w:p>
        </w:tc>
      </w:tr>
      <w:tr w:rsidR="0066687B">
        <w:trPr>
          <w:trHeight w:val="240"/>
        </w:trPr>
        <w:tc>
          <w:tcPr>
            <w:tcW w:w="381"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39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360"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3042"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413"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21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66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公开05表</w:t>
            </w:r>
          </w:p>
        </w:tc>
      </w:tr>
      <w:tr w:rsidR="0066687B">
        <w:trPr>
          <w:trHeight w:val="240"/>
        </w:trPr>
        <w:tc>
          <w:tcPr>
            <w:tcW w:w="4173" w:type="dxa"/>
            <w:gridSpan w:val="4"/>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1413"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1215" w:type="dxa"/>
            <w:tcBorders>
              <w:top w:val="nil"/>
              <w:left w:val="nil"/>
              <w:bottom w:val="nil"/>
              <w:right w:val="nil"/>
            </w:tcBorders>
            <w:shd w:val="clear" w:color="auto" w:fill="auto"/>
            <w:noWrap/>
            <w:tcMar>
              <w:top w:w="15" w:type="dxa"/>
              <w:left w:w="15" w:type="dxa"/>
              <w:right w:w="15" w:type="dxa"/>
            </w:tcMar>
            <w:vAlign w:val="bottom"/>
          </w:tcPr>
          <w:p w:rsidR="0066687B" w:rsidRDefault="0066687B">
            <w:pPr>
              <w:rPr>
                <w:rFonts w:ascii="宋体" w:eastAsia="宋体" w:hAnsi="宋体" w:cs="宋体"/>
                <w:color w:val="000000"/>
                <w:sz w:val="20"/>
                <w:szCs w:val="20"/>
              </w:rPr>
            </w:pPr>
          </w:p>
        </w:tc>
        <w:tc>
          <w:tcPr>
            <w:tcW w:w="1665" w:type="dxa"/>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66687B">
        <w:trPr>
          <w:trHeight w:val="308"/>
        </w:trPr>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1413"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本年支出合计</w:t>
            </w:r>
          </w:p>
        </w:tc>
        <w:tc>
          <w:tcPr>
            <w:tcW w:w="121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166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r>
      <w:tr w:rsidR="0066687B">
        <w:trPr>
          <w:trHeight w:val="312"/>
        </w:trPr>
        <w:tc>
          <w:tcPr>
            <w:tcW w:w="1131"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  科目编码</w:t>
            </w:r>
          </w:p>
        </w:tc>
        <w:tc>
          <w:tcPr>
            <w:tcW w:w="3042"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413"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21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66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113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304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413"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21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66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113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6687B" w:rsidRDefault="0066687B">
            <w:pPr>
              <w:jc w:val="left"/>
              <w:rPr>
                <w:rFonts w:ascii="宋体" w:eastAsia="宋体" w:hAnsi="宋体" w:cs="宋体"/>
                <w:color w:val="000000"/>
                <w:sz w:val="20"/>
                <w:szCs w:val="20"/>
              </w:rPr>
            </w:pPr>
          </w:p>
        </w:tc>
        <w:tc>
          <w:tcPr>
            <w:tcW w:w="304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413"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21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166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r>
      <w:tr w:rsidR="0066687B">
        <w:trPr>
          <w:trHeight w:val="308"/>
        </w:trPr>
        <w:tc>
          <w:tcPr>
            <w:tcW w:w="381"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39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36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r>
      <w:tr w:rsidR="0066687B">
        <w:trPr>
          <w:trHeight w:val="308"/>
        </w:trPr>
        <w:tc>
          <w:tcPr>
            <w:tcW w:w="381"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39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36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66687B">
            <w:pPr>
              <w:jc w:val="center"/>
              <w:rPr>
                <w:rFonts w:ascii="宋体" w:eastAsia="宋体" w:hAnsi="宋体" w:cs="宋体"/>
                <w:color w:val="000000"/>
                <w:sz w:val="20"/>
                <w:szCs w:val="20"/>
              </w:rPr>
            </w:pP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603.34</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580.73</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22.61</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社会保障和就业支出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46.73</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行政事业单位离退休</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45.46</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45.46</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2080505</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机关事业单位基本养老保险缴费支出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40.61</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40.61</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2080506</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机关事业单位职业年金缴费支出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4.06</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2080599</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其他行政事业单位离退休支出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0.79</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0.79</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20808</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抚恤</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2080899</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其他优抚支出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医疗卫生与计划生育支出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行政事业单位医疗</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19.67</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2101101</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行政单位医疗</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10.24</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10.24</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2101102</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事业单位医疗</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9.43</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9.43</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535.44</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512.83</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22.61</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城乡社区管理事务</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498.64</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476.03</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22.61</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2120101</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行政运行</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454.85</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454.85</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2120199</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其他城乡社区管理事务支出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43.79</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21.19</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22.61</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21202</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城乡社区规划与管理</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2120201</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城乡社区规划与管理</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19.82</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21299</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其他城乡社区支出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2129999</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其他城乡社区支出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16.98</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住房保障支出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22102</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住房改革支出</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8"/>
        </w:trPr>
        <w:tc>
          <w:tcPr>
            <w:tcW w:w="113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2210201</w:t>
            </w:r>
          </w:p>
        </w:tc>
        <w:tc>
          <w:tcPr>
            <w:tcW w:w="304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住房公积金</w:t>
            </w:r>
          </w:p>
        </w:tc>
        <w:tc>
          <w:tcPr>
            <w:tcW w:w="141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21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w:t>
            </w:r>
          </w:p>
        </w:tc>
        <w:tc>
          <w:tcPr>
            <w:tcW w:w="166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240"/>
        </w:trPr>
        <w:tc>
          <w:tcPr>
            <w:tcW w:w="8466" w:type="dxa"/>
            <w:gridSpan w:val="7"/>
            <w:tcBorders>
              <w:top w:val="nil"/>
              <w:left w:val="nil"/>
              <w:bottom w:val="nil"/>
              <w:right w:val="nil"/>
            </w:tcBorders>
            <w:shd w:val="clear" w:color="auto" w:fill="auto"/>
            <w:noWrap/>
            <w:tcMar>
              <w:top w:w="15" w:type="dxa"/>
              <w:left w:w="15" w:type="dxa"/>
              <w:right w:w="15" w:type="dxa"/>
            </w:tcMar>
            <w:vAlign w:val="bottom"/>
          </w:tcPr>
          <w:p w:rsidR="0066687B" w:rsidRDefault="00003DF0">
            <w:pPr>
              <w:widowControl/>
              <w:jc w:val="left"/>
              <w:textAlignment w:val="bottom"/>
              <w:rPr>
                <w:rFonts w:ascii="宋体" w:eastAsia="宋体" w:hAnsi="宋体" w:cs="宋体"/>
                <w:color w:val="000000"/>
                <w:kern w:val="0"/>
                <w:sz w:val="20"/>
                <w:szCs w:val="20"/>
              </w:rPr>
            </w:pPr>
            <w:r>
              <w:rPr>
                <w:rFonts w:ascii="宋体" w:eastAsia="宋体" w:hAnsi="宋体" w:cs="宋体" w:hint="eastAsia"/>
                <w:color w:val="000000"/>
                <w:kern w:val="0"/>
                <w:sz w:val="20"/>
                <w:szCs w:val="20"/>
              </w:rPr>
              <w:t>注：本表反映部门本年度一般公共预算财政拨款支出情况。</w:t>
            </w: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kern w:val="0"/>
                <w:sz w:val="20"/>
                <w:szCs w:val="20"/>
              </w:rPr>
            </w:pPr>
          </w:p>
          <w:p w:rsidR="00D44D70" w:rsidRDefault="00D44D70">
            <w:pPr>
              <w:widowControl/>
              <w:jc w:val="left"/>
              <w:textAlignment w:val="bottom"/>
              <w:rPr>
                <w:rFonts w:ascii="宋体" w:eastAsia="宋体" w:hAnsi="宋体" w:cs="宋体"/>
                <w:color w:val="000000"/>
                <w:sz w:val="20"/>
                <w:szCs w:val="20"/>
              </w:rPr>
            </w:pPr>
          </w:p>
        </w:tc>
      </w:tr>
    </w:tbl>
    <w:tbl>
      <w:tblPr>
        <w:tblpPr w:leftFromText="180" w:rightFromText="180" w:vertAnchor="text" w:horzAnchor="margin" w:tblpY="1"/>
        <w:tblOverlap w:val="never"/>
        <w:tblW w:w="8336" w:type="dxa"/>
        <w:tblLayout w:type="fixed"/>
        <w:tblCellMar>
          <w:top w:w="15" w:type="dxa"/>
          <w:left w:w="15" w:type="dxa"/>
          <w:bottom w:w="15" w:type="dxa"/>
          <w:right w:w="15" w:type="dxa"/>
        </w:tblCellMar>
        <w:tblLook w:val="04A0"/>
      </w:tblPr>
      <w:tblGrid>
        <w:gridCol w:w="647"/>
        <w:gridCol w:w="1153"/>
        <w:gridCol w:w="918"/>
        <w:gridCol w:w="649"/>
        <w:gridCol w:w="1332"/>
        <w:gridCol w:w="918"/>
        <w:gridCol w:w="649"/>
        <w:gridCol w:w="1152"/>
        <w:gridCol w:w="918"/>
      </w:tblGrid>
      <w:tr w:rsidR="00D44D70" w:rsidTr="00D44D70">
        <w:trPr>
          <w:trHeight w:val="450"/>
        </w:trPr>
        <w:tc>
          <w:tcPr>
            <w:tcW w:w="8336" w:type="dxa"/>
            <w:gridSpan w:val="9"/>
            <w:shd w:val="clear" w:color="auto" w:fill="auto"/>
            <w:vAlign w:val="bottom"/>
          </w:tcPr>
          <w:p w:rsidR="00D44D70" w:rsidRDefault="00D44D70" w:rsidP="00D44D70">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lastRenderedPageBreak/>
              <w:t>一般公共预算财政拨款基本支出决算表</w:t>
            </w:r>
          </w:p>
        </w:tc>
      </w:tr>
      <w:tr w:rsidR="00D44D70" w:rsidTr="00D44D70">
        <w:trPr>
          <w:trHeight w:val="241"/>
        </w:trPr>
        <w:tc>
          <w:tcPr>
            <w:tcW w:w="647" w:type="dxa"/>
            <w:shd w:val="clear" w:color="auto" w:fill="auto"/>
            <w:vAlign w:val="bottom"/>
          </w:tcPr>
          <w:p w:rsidR="00D44D70" w:rsidRDefault="00D44D70" w:rsidP="00D44D70">
            <w:pPr>
              <w:rPr>
                <w:rFonts w:ascii="Arial" w:hAnsi="Arial" w:cs="Arial"/>
                <w:color w:val="000000"/>
                <w:sz w:val="20"/>
                <w:szCs w:val="20"/>
              </w:rPr>
            </w:pPr>
          </w:p>
        </w:tc>
        <w:tc>
          <w:tcPr>
            <w:tcW w:w="1153" w:type="dxa"/>
            <w:shd w:val="clear" w:color="auto" w:fill="auto"/>
            <w:vAlign w:val="bottom"/>
          </w:tcPr>
          <w:p w:rsidR="00D44D70" w:rsidRDefault="00D44D70" w:rsidP="00D44D70">
            <w:pPr>
              <w:rPr>
                <w:rFonts w:ascii="Arial" w:hAnsi="Arial" w:cs="Arial"/>
                <w:color w:val="000000"/>
                <w:sz w:val="20"/>
                <w:szCs w:val="20"/>
              </w:rPr>
            </w:pPr>
          </w:p>
        </w:tc>
        <w:tc>
          <w:tcPr>
            <w:tcW w:w="918" w:type="dxa"/>
            <w:shd w:val="clear" w:color="auto" w:fill="auto"/>
            <w:vAlign w:val="bottom"/>
          </w:tcPr>
          <w:p w:rsidR="00D44D70" w:rsidRDefault="00D44D70" w:rsidP="00D44D70">
            <w:pPr>
              <w:rPr>
                <w:rFonts w:ascii="Arial" w:hAnsi="Arial" w:cs="Arial"/>
                <w:color w:val="000000"/>
                <w:sz w:val="20"/>
                <w:szCs w:val="20"/>
              </w:rPr>
            </w:pPr>
          </w:p>
        </w:tc>
        <w:tc>
          <w:tcPr>
            <w:tcW w:w="649" w:type="dxa"/>
            <w:shd w:val="clear" w:color="auto" w:fill="auto"/>
            <w:vAlign w:val="bottom"/>
          </w:tcPr>
          <w:p w:rsidR="00D44D70" w:rsidRDefault="00D44D70" w:rsidP="00D44D70">
            <w:pPr>
              <w:rPr>
                <w:rFonts w:ascii="Arial" w:hAnsi="Arial" w:cs="Arial"/>
                <w:color w:val="000000"/>
                <w:sz w:val="20"/>
                <w:szCs w:val="20"/>
              </w:rPr>
            </w:pPr>
          </w:p>
        </w:tc>
        <w:tc>
          <w:tcPr>
            <w:tcW w:w="1332" w:type="dxa"/>
            <w:shd w:val="clear" w:color="auto" w:fill="auto"/>
            <w:vAlign w:val="bottom"/>
          </w:tcPr>
          <w:p w:rsidR="00D44D70" w:rsidRDefault="00D44D70" w:rsidP="00D44D70">
            <w:pPr>
              <w:rPr>
                <w:rFonts w:ascii="Arial" w:hAnsi="Arial" w:cs="Arial"/>
                <w:color w:val="000000"/>
                <w:sz w:val="20"/>
                <w:szCs w:val="20"/>
              </w:rPr>
            </w:pPr>
          </w:p>
        </w:tc>
        <w:tc>
          <w:tcPr>
            <w:tcW w:w="918" w:type="dxa"/>
            <w:shd w:val="clear" w:color="auto" w:fill="auto"/>
            <w:vAlign w:val="bottom"/>
          </w:tcPr>
          <w:p w:rsidR="00D44D70" w:rsidRDefault="00D44D70" w:rsidP="00D44D70">
            <w:pPr>
              <w:rPr>
                <w:rFonts w:ascii="Arial" w:hAnsi="Arial" w:cs="Arial"/>
                <w:color w:val="000000"/>
                <w:sz w:val="20"/>
                <w:szCs w:val="20"/>
              </w:rPr>
            </w:pPr>
          </w:p>
        </w:tc>
        <w:tc>
          <w:tcPr>
            <w:tcW w:w="649" w:type="dxa"/>
            <w:shd w:val="clear" w:color="auto" w:fill="auto"/>
            <w:vAlign w:val="bottom"/>
          </w:tcPr>
          <w:p w:rsidR="00D44D70" w:rsidRDefault="00D44D70" w:rsidP="00D44D70">
            <w:pPr>
              <w:rPr>
                <w:rFonts w:ascii="Arial" w:hAnsi="Arial" w:cs="Arial"/>
                <w:color w:val="000000"/>
                <w:sz w:val="20"/>
                <w:szCs w:val="20"/>
              </w:rPr>
            </w:pPr>
          </w:p>
        </w:tc>
        <w:tc>
          <w:tcPr>
            <w:tcW w:w="1152" w:type="dxa"/>
            <w:shd w:val="clear" w:color="auto" w:fill="auto"/>
            <w:vAlign w:val="bottom"/>
          </w:tcPr>
          <w:p w:rsidR="00D44D70" w:rsidRDefault="00D44D70" w:rsidP="00D44D70">
            <w:pPr>
              <w:rPr>
                <w:rFonts w:ascii="Arial" w:hAnsi="Arial" w:cs="Arial"/>
                <w:color w:val="000000"/>
                <w:sz w:val="20"/>
                <w:szCs w:val="20"/>
              </w:rPr>
            </w:pPr>
          </w:p>
        </w:tc>
        <w:tc>
          <w:tcPr>
            <w:tcW w:w="918" w:type="dxa"/>
            <w:shd w:val="clear" w:color="auto" w:fill="auto"/>
            <w:vAlign w:val="bottom"/>
          </w:tcPr>
          <w:p w:rsidR="00D44D70" w:rsidRDefault="00D44D70" w:rsidP="00D44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公开06表</w:t>
            </w:r>
          </w:p>
        </w:tc>
      </w:tr>
      <w:tr w:rsidR="00D44D70" w:rsidTr="00D44D70">
        <w:trPr>
          <w:trHeight w:val="241"/>
        </w:trPr>
        <w:tc>
          <w:tcPr>
            <w:tcW w:w="3367" w:type="dxa"/>
            <w:gridSpan w:val="4"/>
            <w:shd w:val="clear" w:color="auto" w:fill="auto"/>
            <w:vAlign w:val="bottom"/>
          </w:tcPr>
          <w:p w:rsidR="00D44D70" w:rsidRDefault="00D44D70" w:rsidP="00D44D7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1332" w:type="dxa"/>
            <w:shd w:val="clear" w:color="auto" w:fill="auto"/>
            <w:vAlign w:val="bottom"/>
          </w:tcPr>
          <w:p w:rsidR="00D44D70" w:rsidRDefault="00D44D70" w:rsidP="00D44D70">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918" w:type="dxa"/>
            <w:shd w:val="clear" w:color="auto" w:fill="auto"/>
            <w:vAlign w:val="bottom"/>
          </w:tcPr>
          <w:p w:rsidR="00D44D70" w:rsidRDefault="00D44D70" w:rsidP="00D44D70">
            <w:pPr>
              <w:rPr>
                <w:rFonts w:ascii="Arial" w:hAnsi="Arial" w:cs="Arial"/>
                <w:color w:val="000000"/>
                <w:sz w:val="20"/>
                <w:szCs w:val="20"/>
              </w:rPr>
            </w:pPr>
          </w:p>
        </w:tc>
        <w:tc>
          <w:tcPr>
            <w:tcW w:w="649" w:type="dxa"/>
            <w:shd w:val="clear" w:color="auto" w:fill="auto"/>
            <w:vAlign w:val="bottom"/>
          </w:tcPr>
          <w:p w:rsidR="00D44D70" w:rsidRDefault="00D44D70" w:rsidP="00D44D70">
            <w:pPr>
              <w:rPr>
                <w:rFonts w:ascii="Arial" w:hAnsi="Arial" w:cs="Arial"/>
                <w:color w:val="000000"/>
                <w:sz w:val="20"/>
                <w:szCs w:val="20"/>
              </w:rPr>
            </w:pPr>
          </w:p>
        </w:tc>
        <w:tc>
          <w:tcPr>
            <w:tcW w:w="1152" w:type="dxa"/>
            <w:shd w:val="clear" w:color="auto" w:fill="auto"/>
            <w:vAlign w:val="bottom"/>
          </w:tcPr>
          <w:p w:rsidR="00D44D70" w:rsidRDefault="00D44D70" w:rsidP="00D44D70">
            <w:pPr>
              <w:rPr>
                <w:rFonts w:ascii="Arial" w:hAnsi="Arial" w:cs="Arial"/>
                <w:color w:val="000000"/>
                <w:sz w:val="20"/>
                <w:szCs w:val="20"/>
              </w:rPr>
            </w:pPr>
          </w:p>
        </w:tc>
        <w:tc>
          <w:tcPr>
            <w:tcW w:w="918" w:type="dxa"/>
            <w:shd w:val="clear" w:color="auto" w:fill="auto"/>
            <w:vAlign w:val="bottom"/>
          </w:tcPr>
          <w:p w:rsidR="00D44D70" w:rsidRDefault="00D44D70" w:rsidP="00D44D7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D44D70" w:rsidTr="00D44D70">
        <w:trPr>
          <w:trHeight w:val="301"/>
        </w:trPr>
        <w:tc>
          <w:tcPr>
            <w:tcW w:w="2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人员经费</w:t>
            </w:r>
          </w:p>
        </w:tc>
        <w:tc>
          <w:tcPr>
            <w:tcW w:w="5618" w:type="dxa"/>
            <w:gridSpan w:val="6"/>
            <w:tcBorders>
              <w:top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公用经费</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经济分类科目编码</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经济分类科目编码</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经济分类科目编码</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301</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工资福利支出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421.42</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302</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商品和服务支出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150.84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307</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债务利息及费用支出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30101</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基本工资</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129.69</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30201</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办公费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13.14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30701</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国内债务付息</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30102</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津贴补贴</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85.84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30202</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印刷费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30702</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国外债务付息</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30103</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奖金</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99.44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30203</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咨询费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30703</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国内债务发行费用</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30106</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伙食补助费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30204</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手续费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30704</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国外债务发行费用</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30107</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绩效工资</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30205</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水费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0.34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310</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资本性支出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30108</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机关事业单位基本养老保险缴费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47.66</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30206</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电费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4.09</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31001</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房屋建筑物购建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30109</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职业年金缴费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8.11</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30207</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邮电费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5.05</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31002</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办公设备购置</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30110</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职工基本医疗保险缴费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10.90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30208</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取暖费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31003</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专用设备购置</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30111</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公务员医疗补助缴款</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10.24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30209</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物业管理费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31005</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基础设施建设</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30112</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其他社会保障缴费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3.93</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30211</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差旅费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13.64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31006</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大型修缮</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30113</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住房公积金</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23.32</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30212</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因公出国（境）费用</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31007</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信息网络及软件购置更新</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30114</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医疗费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30213</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维修（护）费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31008</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物资储备</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30199</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其他工资福利支出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2.29</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30214</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租赁费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0.15</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31009</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土地补偿</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303</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对个人和家庭的补助</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8.47</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30215</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会议费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31010</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安置补助</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30301</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离休费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30216</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培训费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31011</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地上附着物和青苗补偿</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30302</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退休费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30217</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公务接待费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7.34</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31012</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拆迁补偿</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30303</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退职（役）费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30218</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专用材料费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31013</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公务用车购置</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30304</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抚恤金</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30224</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被装购置费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31019</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其他交通工具购置</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30305</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生活补贴</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2.89</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30225</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专用燃料费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31021</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文物和陈列品购置</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30306</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救济费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30226</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劳务费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14.58</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31022</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无形资产购置</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30307</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医疗费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30227</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委托业务费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36.19</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31099</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其他资本性支出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30308</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助学金</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30228</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工会经费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11.27</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312</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对企业补助</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30309</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奖励金</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30229</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福利费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13.88</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31201</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资本金注入</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30310</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个人农业生产补贴</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30231</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公务用车运行维护费</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31203</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政府投资基金股权投资</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30399</w:t>
            </w:r>
          </w:p>
        </w:tc>
        <w:tc>
          <w:tcPr>
            <w:tcW w:w="1153"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其他对个人和家庭的补助支出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1.51</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30239</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其他交通费用</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11.40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31204</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费用补贴</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153"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30240</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税金及附加费用</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31205</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利息补贴</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153"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30299</w:t>
            </w:r>
          </w:p>
        </w:tc>
        <w:tc>
          <w:tcPr>
            <w:tcW w:w="133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其他商品和服务支出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5.18</w:t>
            </w: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31299</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其他对企业补助</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153"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332"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399</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其他支出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153"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332"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39906</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赠与</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153"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332"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39907</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国家赔偿费用支出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9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153"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332"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39908</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对民间非营利组织和群众性自治组织补贴</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647" w:type="dxa"/>
            <w:tcBorders>
              <w:left w:val="single" w:sz="4" w:space="0" w:color="000000"/>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153"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1332" w:type="dxa"/>
            <w:tcBorders>
              <w:bottom w:val="single" w:sz="4" w:space="0" w:color="000000"/>
              <w:right w:val="single" w:sz="4" w:space="0" w:color="000000"/>
            </w:tcBorders>
            <w:shd w:val="clear" w:color="auto" w:fill="auto"/>
            <w:vAlign w:val="center"/>
          </w:tcPr>
          <w:p w:rsidR="00D44D70" w:rsidRDefault="00D44D70" w:rsidP="00D44D70">
            <w:pPr>
              <w:jc w:val="left"/>
              <w:rPr>
                <w:rFonts w:ascii="宋体" w:eastAsia="宋体" w:hAnsi="宋体" w:cs="宋体"/>
                <w:color w:val="000000"/>
                <w:sz w:val="20"/>
                <w:szCs w:val="20"/>
              </w:rPr>
            </w:pPr>
          </w:p>
        </w:tc>
        <w:tc>
          <w:tcPr>
            <w:tcW w:w="918" w:type="dxa"/>
            <w:tcBorders>
              <w:bottom w:val="single" w:sz="4" w:space="0" w:color="000000"/>
              <w:right w:val="single" w:sz="4" w:space="0" w:color="000000"/>
            </w:tcBorders>
            <w:shd w:val="clear" w:color="auto" w:fill="auto"/>
            <w:vAlign w:val="center"/>
          </w:tcPr>
          <w:p w:rsidR="00D44D70" w:rsidRDefault="00D44D70" w:rsidP="00D44D70">
            <w:pPr>
              <w:jc w:val="right"/>
              <w:rPr>
                <w:rFonts w:ascii="宋体" w:eastAsia="宋体" w:hAnsi="宋体" w:cs="宋体"/>
                <w:color w:val="000000"/>
                <w:sz w:val="20"/>
                <w:szCs w:val="20"/>
              </w:rPr>
            </w:pPr>
          </w:p>
        </w:tc>
        <w:tc>
          <w:tcPr>
            <w:tcW w:w="649"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39999</w:t>
            </w:r>
          </w:p>
        </w:tc>
        <w:tc>
          <w:tcPr>
            <w:tcW w:w="1152" w:type="dxa"/>
            <w:tcBorders>
              <w:bottom w:val="single" w:sz="4" w:space="0" w:color="000000"/>
              <w:right w:val="single" w:sz="4" w:space="0" w:color="000000"/>
            </w:tcBorders>
            <w:shd w:val="clear" w:color="auto" w:fill="auto"/>
            <w:vAlign w:val="center"/>
          </w:tcPr>
          <w:p w:rsidR="00D44D70" w:rsidRDefault="00D44D70" w:rsidP="00D44D7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其他支出</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D44D70" w:rsidTr="00D44D70">
        <w:trPr>
          <w:trHeight w:val="660"/>
        </w:trPr>
        <w:tc>
          <w:tcPr>
            <w:tcW w:w="1800" w:type="dxa"/>
            <w:gridSpan w:val="2"/>
            <w:tcBorders>
              <w:left w:val="single" w:sz="4" w:space="0" w:color="000000"/>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人员经费合计</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429.89</w:t>
            </w:r>
          </w:p>
        </w:tc>
        <w:tc>
          <w:tcPr>
            <w:tcW w:w="4700" w:type="dxa"/>
            <w:gridSpan w:val="5"/>
            <w:tcBorders>
              <w:bottom w:val="single" w:sz="4" w:space="0" w:color="000000"/>
              <w:right w:val="single" w:sz="4" w:space="0" w:color="000000"/>
            </w:tcBorders>
            <w:shd w:val="clear" w:color="auto" w:fill="auto"/>
            <w:vAlign w:val="center"/>
          </w:tcPr>
          <w:p w:rsidR="00D44D70" w:rsidRDefault="00D44D70" w:rsidP="00D44D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公用支出合计</w:t>
            </w:r>
          </w:p>
        </w:tc>
        <w:tc>
          <w:tcPr>
            <w:tcW w:w="918" w:type="dxa"/>
            <w:tcBorders>
              <w:bottom w:val="single" w:sz="4" w:space="0" w:color="000000"/>
              <w:right w:val="single" w:sz="4" w:space="0" w:color="000000"/>
            </w:tcBorders>
            <w:shd w:val="clear" w:color="auto" w:fill="auto"/>
            <w:vAlign w:val="center"/>
          </w:tcPr>
          <w:p w:rsidR="00D44D70" w:rsidRDefault="00D44D70" w:rsidP="00D44D7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150.84</w:t>
            </w:r>
          </w:p>
        </w:tc>
      </w:tr>
      <w:tr w:rsidR="00D44D70" w:rsidTr="00D44D70">
        <w:trPr>
          <w:trHeight w:val="241"/>
        </w:trPr>
        <w:tc>
          <w:tcPr>
            <w:tcW w:w="8336" w:type="dxa"/>
            <w:gridSpan w:val="9"/>
            <w:shd w:val="clear" w:color="auto" w:fill="auto"/>
            <w:vAlign w:val="bottom"/>
          </w:tcPr>
          <w:p w:rsidR="00D44D70" w:rsidRDefault="00D44D70" w:rsidP="00D44D7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注：本表反映部门本年度一般公共预算财政拨款基本支出明细情况。</w:t>
            </w:r>
          </w:p>
        </w:tc>
      </w:tr>
    </w:tbl>
    <w:p w:rsidR="0066687B" w:rsidRDefault="0066687B">
      <w:pPr>
        <w:widowControl/>
        <w:spacing w:line="600" w:lineRule="exact"/>
        <w:jc w:val="center"/>
        <w:rPr>
          <w:rFonts w:ascii="宋体" w:hAnsi="宋体"/>
          <w:b/>
          <w:sz w:val="32"/>
          <w:szCs w:val="32"/>
        </w:rPr>
      </w:pPr>
    </w:p>
    <w:tbl>
      <w:tblPr>
        <w:tblpPr w:leftFromText="180" w:rightFromText="180" w:vertAnchor="text" w:horzAnchor="page" w:tblpX="2219" w:tblpY="908"/>
        <w:tblOverlap w:val="never"/>
        <w:tblW w:w="8070" w:type="dxa"/>
        <w:tblLayout w:type="fixed"/>
        <w:tblCellMar>
          <w:top w:w="15" w:type="dxa"/>
          <w:left w:w="15" w:type="dxa"/>
          <w:bottom w:w="15" w:type="dxa"/>
          <w:right w:w="15" w:type="dxa"/>
        </w:tblCellMar>
        <w:tblLook w:val="04A0"/>
      </w:tblPr>
      <w:tblGrid>
        <w:gridCol w:w="2639"/>
        <w:gridCol w:w="638"/>
        <w:gridCol w:w="2273"/>
        <w:gridCol w:w="2520"/>
      </w:tblGrid>
      <w:tr w:rsidR="0066687B">
        <w:trPr>
          <w:trHeight w:val="450"/>
        </w:trPr>
        <w:tc>
          <w:tcPr>
            <w:tcW w:w="8070" w:type="dxa"/>
            <w:gridSpan w:val="4"/>
            <w:shd w:val="clear" w:color="auto" w:fill="auto"/>
            <w:vAlign w:val="bottom"/>
          </w:tcPr>
          <w:p w:rsidR="0066687B" w:rsidRDefault="00003DF0">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一般公共预算财政拨款“三公”经费支出决算表</w:t>
            </w:r>
          </w:p>
        </w:tc>
      </w:tr>
      <w:tr w:rsidR="0066687B">
        <w:trPr>
          <w:trHeight w:val="372"/>
        </w:trPr>
        <w:tc>
          <w:tcPr>
            <w:tcW w:w="2639" w:type="dxa"/>
            <w:shd w:val="clear" w:color="auto" w:fill="auto"/>
            <w:vAlign w:val="bottom"/>
          </w:tcPr>
          <w:p w:rsidR="0066687B" w:rsidRDefault="0066687B">
            <w:pPr>
              <w:rPr>
                <w:rFonts w:ascii="Arial" w:hAnsi="Arial" w:cs="Arial"/>
                <w:color w:val="000000"/>
                <w:sz w:val="20"/>
                <w:szCs w:val="20"/>
              </w:rPr>
            </w:pPr>
          </w:p>
        </w:tc>
        <w:tc>
          <w:tcPr>
            <w:tcW w:w="638" w:type="dxa"/>
            <w:shd w:val="clear" w:color="auto" w:fill="auto"/>
            <w:vAlign w:val="bottom"/>
          </w:tcPr>
          <w:p w:rsidR="0066687B" w:rsidRDefault="0066687B">
            <w:pPr>
              <w:rPr>
                <w:rFonts w:ascii="Arial" w:hAnsi="Arial" w:cs="Arial"/>
                <w:color w:val="000000"/>
                <w:sz w:val="20"/>
                <w:szCs w:val="20"/>
              </w:rPr>
            </w:pPr>
          </w:p>
        </w:tc>
        <w:tc>
          <w:tcPr>
            <w:tcW w:w="2273" w:type="dxa"/>
            <w:shd w:val="clear" w:color="auto" w:fill="auto"/>
            <w:vAlign w:val="bottom"/>
          </w:tcPr>
          <w:p w:rsidR="0066687B" w:rsidRDefault="0066687B">
            <w:pPr>
              <w:rPr>
                <w:rFonts w:ascii="Arial" w:hAnsi="Arial" w:cs="Arial"/>
                <w:color w:val="000000"/>
                <w:sz w:val="20"/>
                <w:szCs w:val="20"/>
              </w:rPr>
            </w:pPr>
          </w:p>
        </w:tc>
        <w:tc>
          <w:tcPr>
            <w:tcW w:w="2520" w:type="dxa"/>
            <w:shd w:val="clear" w:color="auto" w:fill="auto"/>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公开07表</w:t>
            </w:r>
          </w:p>
        </w:tc>
      </w:tr>
      <w:tr w:rsidR="0066687B">
        <w:trPr>
          <w:trHeight w:val="241"/>
        </w:trPr>
        <w:tc>
          <w:tcPr>
            <w:tcW w:w="2639" w:type="dxa"/>
            <w:shd w:val="clear" w:color="auto" w:fill="auto"/>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2911" w:type="dxa"/>
            <w:gridSpan w:val="2"/>
            <w:shd w:val="clear" w:color="auto" w:fill="auto"/>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2520" w:type="dxa"/>
            <w:shd w:val="clear" w:color="auto" w:fill="auto"/>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66687B">
        <w:trPr>
          <w:trHeight w:val="301"/>
        </w:trPr>
        <w:tc>
          <w:tcPr>
            <w:tcW w:w="2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638" w:type="dxa"/>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2273" w:type="dxa"/>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年初预算数</w:t>
            </w:r>
          </w:p>
        </w:tc>
        <w:tc>
          <w:tcPr>
            <w:tcW w:w="2520" w:type="dxa"/>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638" w:type="dxa"/>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一、“三公”经费支出</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7.33</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1.因公出国（境）费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2.公务用车购置及运行维护费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（1）公务用车购置费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（2）公务用车运行维护费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3.公务接待费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7.33</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（1）国内接待费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7.33</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其中：外事接待费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（2）国（境）外接待费</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二、相关统计数</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1.因公出国（境）团组数（个）</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2.因公出国（境）人次数（人）</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3.公务用车购置数（辆）</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4.公务用车保有量（辆）</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5.国内公务接待批次（个）</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105</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其中：外事接待批次（个）</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6.国内公务接待人次（人）</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525</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其中：外事接待人次（人）</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7.国（境）外公务接待批次（个）</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301"/>
        </w:trPr>
        <w:tc>
          <w:tcPr>
            <w:tcW w:w="2639"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 xml:space="preserve">  8.国（境）外公务接待人次（人）</w:t>
            </w:r>
          </w:p>
        </w:tc>
        <w:tc>
          <w:tcPr>
            <w:tcW w:w="638"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227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520"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66687B">
        <w:trPr>
          <w:trHeight w:val="810"/>
        </w:trPr>
        <w:tc>
          <w:tcPr>
            <w:tcW w:w="8070" w:type="dxa"/>
            <w:gridSpan w:val="4"/>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注：本表反映部门本年度“三公”经费支出预决算情况。其中，预算数为“三公”经费年初预算数，决算数是包括当年一般公共预算财政拨款和以前年度结转资金安排的实际支出。</w:t>
            </w:r>
          </w:p>
        </w:tc>
      </w:tr>
    </w:tbl>
    <w:p w:rsidR="0066687B" w:rsidRDefault="0066687B">
      <w:pPr>
        <w:widowControl/>
        <w:spacing w:line="600" w:lineRule="exact"/>
        <w:jc w:val="center"/>
        <w:rPr>
          <w:rFonts w:ascii="宋体" w:hAnsi="宋体"/>
          <w:b/>
          <w:sz w:val="32"/>
          <w:szCs w:val="32"/>
        </w:rPr>
      </w:pPr>
    </w:p>
    <w:tbl>
      <w:tblPr>
        <w:tblW w:w="8788" w:type="dxa"/>
        <w:tblLayout w:type="fixed"/>
        <w:tblCellMar>
          <w:top w:w="15" w:type="dxa"/>
          <w:left w:w="15" w:type="dxa"/>
          <w:bottom w:w="15" w:type="dxa"/>
          <w:right w:w="15" w:type="dxa"/>
        </w:tblCellMar>
        <w:tblLook w:val="04A0"/>
      </w:tblPr>
      <w:tblGrid>
        <w:gridCol w:w="365"/>
        <w:gridCol w:w="353"/>
        <w:gridCol w:w="366"/>
        <w:gridCol w:w="2595"/>
        <w:gridCol w:w="883"/>
        <w:gridCol w:w="755"/>
        <w:gridCol w:w="755"/>
        <w:gridCol w:w="754"/>
        <w:gridCol w:w="756"/>
        <w:gridCol w:w="1206"/>
      </w:tblGrid>
      <w:tr w:rsidR="0066687B">
        <w:trPr>
          <w:trHeight w:val="540"/>
        </w:trPr>
        <w:tc>
          <w:tcPr>
            <w:tcW w:w="8788" w:type="dxa"/>
            <w:gridSpan w:val="10"/>
            <w:shd w:val="clear" w:color="auto" w:fill="auto"/>
            <w:vAlign w:val="bottom"/>
          </w:tcPr>
          <w:p w:rsidR="0066687B" w:rsidRDefault="00003DF0">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rPr>
              <w:t>政府性基金预算财政拨款收入支出决算表</w:t>
            </w:r>
          </w:p>
        </w:tc>
      </w:tr>
      <w:tr w:rsidR="0066687B">
        <w:trPr>
          <w:trHeight w:val="286"/>
        </w:trPr>
        <w:tc>
          <w:tcPr>
            <w:tcW w:w="365" w:type="dxa"/>
            <w:shd w:val="clear" w:color="auto" w:fill="auto"/>
            <w:vAlign w:val="bottom"/>
          </w:tcPr>
          <w:p w:rsidR="0066687B" w:rsidRDefault="0066687B">
            <w:pPr>
              <w:rPr>
                <w:rFonts w:ascii="Arial" w:hAnsi="Arial" w:cs="Arial"/>
                <w:color w:val="000000"/>
                <w:sz w:val="20"/>
                <w:szCs w:val="20"/>
              </w:rPr>
            </w:pPr>
          </w:p>
        </w:tc>
        <w:tc>
          <w:tcPr>
            <w:tcW w:w="353" w:type="dxa"/>
            <w:shd w:val="clear" w:color="auto" w:fill="auto"/>
            <w:vAlign w:val="bottom"/>
          </w:tcPr>
          <w:p w:rsidR="0066687B" w:rsidRDefault="0066687B">
            <w:pPr>
              <w:rPr>
                <w:rFonts w:ascii="Arial" w:hAnsi="Arial" w:cs="Arial"/>
                <w:color w:val="000000"/>
                <w:sz w:val="20"/>
                <w:szCs w:val="20"/>
              </w:rPr>
            </w:pPr>
          </w:p>
        </w:tc>
        <w:tc>
          <w:tcPr>
            <w:tcW w:w="366" w:type="dxa"/>
            <w:shd w:val="clear" w:color="auto" w:fill="auto"/>
            <w:vAlign w:val="bottom"/>
          </w:tcPr>
          <w:p w:rsidR="0066687B" w:rsidRDefault="0066687B">
            <w:pPr>
              <w:rPr>
                <w:rFonts w:ascii="Arial" w:hAnsi="Arial" w:cs="Arial"/>
                <w:color w:val="000000"/>
                <w:sz w:val="20"/>
                <w:szCs w:val="20"/>
              </w:rPr>
            </w:pPr>
          </w:p>
        </w:tc>
        <w:tc>
          <w:tcPr>
            <w:tcW w:w="2595" w:type="dxa"/>
            <w:shd w:val="clear" w:color="auto" w:fill="auto"/>
            <w:vAlign w:val="bottom"/>
          </w:tcPr>
          <w:p w:rsidR="0066687B" w:rsidRDefault="0066687B">
            <w:pPr>
              <w:rPr>
                <w:rFonts w:ascii="Arial" w:hAnsi="Arial" w:cs="Arial"/>
                <w:color w:val="000000"/>
                <w:sz w:val="20"/>
                <w:szCs w:val="20"/>
              </w:rPr>
            </w:pPr>
          </w:p>
        </w:tc>
        <w:tc>
          <w:tcPr>
            <w:tcW w:w="883" w:type="dxa"/>
            <w:shd w:val="clear" w:color="auto" w:fill="auto"/>
            <w:vAlign w:val="bottom"/>
          </w:tcPr>
          <w:p w:rsidR="0066687B" w:rsidRDefault="0066687B">
            <w:pPr>
              <w:rPr>
                <w:rFonts w:ascii="Arial" w:hAnsi="Arial" w:cs="Arial"/>
                <w:color w:val="000000"/>
                <w:sz w:val="20"/>
                <w:szCs w:val="20"/>
              </w:rPr>
            </w:pPr>
          </w:p>
        </w:tc>
        <w:tc>
          <w:tcPr>
            <w:tcW w:w="755" w:type="dxa"/>
            <w:shd w:val="clear" w:color="auto" w:fill="auto"/>
            <w:vAlign w:val="bottom"/>
          </w:tcPr>
          <w:p w:rsidR="0066687B" w:rsidRDefault="0066687B">
            <w:pPr>
              <w:rPr>
                <w:rFonts w:ascii="Arial" w:hAnsi="Arial" w:cs="Arial"/>
                <w:color w:val="000000"/>
                <w:sz w:val="20"/>
                <w:szCs w:val="20"/>
              </w:rPr>
            </w:pPr>
          </w:p>
        </w:tc>
        <w:tc>
          <w:tcPr>
            <w:tcW w:w="755" w:type="dxa"/>
            <w:shd w:val="clear" w:color="auto" w:fill="auto"/>
            <w:vAlign w:val="bottom"/>
          </w:tcPr>
          <w:p w:rsidR="0066687B" w:rsidRDefault="0066687B">
            <w:pPr>
              <w:rPr>
                <w:rFonts w:ascii="Arial" w:hAnsi="Arial" w:cs="Arial"/>
                <w:color w:val="000000"/>
                <w:sz w:val="20"/>
                <w:szCs w:val="20"/>
              </w:rPr>
            </w:pPr>
          </w:p>
        </w:tc>
        <w:tc>
          <w:tcPr>
            <w:tcW w:w="754" w:type="dxa"/>
            <w:shd w:val="clear" w:color="auto" w:fill="auto"/>
            <w:vAlign w:val="bottom"/>
          </w:tcPr>
          <w:p w:rsidR="0066687B" w:rsidRDefault="0066687B">
            <w:pPr>
              <w:rPr>
                <w:rFonts w:ascii="Arial" w:hAnsi="Arial" w:cs="Arial"/>
                <w:color w:val="000000"/>
                <w:sz w:val="20"/>
                <w:szCs w:val="20"/>
              </w:rPr>
            </w:pPr>
          </w:p>
        </w:tc>
        <w:tc>
          <w:tcPr>
            <w:tcW w:w="756" w:type="dxa"/>
            <w:shd w:val="clear" w:color="auto" w:fill="auto"/>
            <w:vAlign w:val="bottom"/>
          </w:tcPr>
          <w:p w:rsidR="0066687B" w:rsidRDefault="0066687B">
            <w:pPr>
              <w:rPr>
                <w:rFonts w:ascii="Arial" w:hAnsi="Arial" w:cs="Arial"/>
                <w:color w:val="000000"/>
                <w:sz w:val="20"/>
                <w:szCs w:val="20"/>
              </w:rPr>
            </w:pPr>
          </w:p>
        </w:tc>
        <w:tc>
          <w:tcPr>
            <w:tcW w:w="1206" w:type="dxa"/>
            <w:shd w:val="clear" w:color="auto" w:fill="auto"/>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公开08表</w:t>
            </w:r>
          </w:p>
        </w:tc>
      </w:tr>
      <w:tr w:rsidR="0066687B">
        <w:trPr>
          <w:trHeight w:val="241"/>
        </w:trPr>
        <w:tc>
          <w:tcPr>
            <w:tcW w:w="3679" w:type="dxa"/>
            <w:gridSpan w:val="4"/>
            <w:shd w:val="clear" w:color="auto" w:fill="auto"/>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883" w:type="dxa"/>
            <w:shd w:val="clear" w:color="auto" w:fill="auto"/>
            <w:vAlign w:val="bottom"/>
          </w:tcPr>
          <w:p w:rsidR="0066687B" w:rsidRDefault="0066687B">
            <w:pPr>
              <w:rPr>
                <w:rFonts w:ascii="Arial" w:hAnsi="Arial" w:cs="Arial"/>
                <w:color w:val="000000"/>
                <w:sz w:val="20"/>
                <w:szCs w:val="20"/>
              </w:rPr>
            </w:pPr>
          </w:p>
        </w:tc>
        <w:tc>
          <w:tcPr>
            <w:tcW w:w="1510" w:type="dxa"/>
            <w:gridSpan w:val="2"/>
            <w:shd w:val="clear" w:color="auto" w:fill="auto"/>
            <w:vAlign w:val="bottom"/>
          </w:tcPr>
          <w:p w:rsidR="0066687B" w:rsidRDefault="00003DF0">
            <w:pPr>
              <w:rPr>
                <w:rFonts w:ascii="Arial" w:hAnsi="Arial" w:cs="Arial"/>
                <w:color w:val="000000"/>
                <w:sz w:val="20"/>
                <w:szCs w:val="20"/>
              </w:rPr>
            </w:pPr>
            <w:r>
              <w:rPr>
                <w:rFonts w:ascii="宋体" w:eastAsia="宋体" w:hAnsi="宋体" w:cs="宋体" w:hint="eastAsia"/>
                <w:color w:val="000000"/>
                <w:kern w:val="0"/>
                <w:sz w:val="20"/>
                <w:szCs w:val="20"/>
              </w:rPr>
              <w:t>2018年度</w:t>
            </w:r>
          </w:p>
        </w:tc>
        <w:tc>
          <w:tcPr>
            <w:tcW w:w="754" w:type="dxa"/>
            <w:shd w:val="clear" w:color="auto" w:fill="auto"/>
            <w:vAlign w:val="bottom"/>
          </w:tcPr>
          <w:p w:rsidR="0066687B" w:rsidRDefault="0066687B">
            <w:pPr>
              <w:rPr>
                <w:rFonts w:ascii="Arial" w:hAnsi="Arial" w:cs="Arial"/>
                <w:color w:val="000000"/>
                <w:sz w:val="20"/>
                <w:szCs w:val="20"/>
              </w:rPr>
            </w:pPr>
          </w:p>
        </w:tc>
        <w:tc>
          <w:tcPr>
            <w:tcW w:w="756" w:type="dxa"/>
            <w:shd w:val="clear" w:color="auto" w:fill="auto"/>
            <w:vAlign w:val="bottom"/>
          </w:tcPr>
          <w:p w:rsidR="0066687B" w:rsidRDefault="0066687B">
            <w:pPr>
              <w:rPr>
                <w:rFonts w:ascii="Arial" w:hAnsi="Arial" w:cs="Arial"/>
                <w:color w:val="000000"/>
                <w:sz w:val="20"/>
                <w:szCs w:val="20"/>
              </w:rPr>
            </w:pPr>
          </w:p>
        </w:tc>
        <w:tc>
          <w:tcPr>
            <w:tcW w:w="1206" w:type="dxa"/>
            <w:shd w:val="clear" w:color="auto" w:fill="auto"/>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66687B">
        <w:trPr>
          <w:trHeight w:val="301"/>
        </w:trPr>
        <w:tc>
          <w:tcPr>
            <w:tcW w:w="36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883" w:type="dxa"/>
            <w:vMerge w:val="restart"/>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年初结转和结余</w:t>
            </w:r>
          </w:p>
        </w:tc>
        <w:tc>
          <w:tcPr>
            <w:tcW w:w="755" w:type="dxa"/>
            <w:vMerge w:val="restart"/>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本年收入</w:t>
            </w:r>
          </w:p>
        </w:tc>
        <w:tc>
          <w:tcPr>
            <w:tcW w:w="2265" w:type="dxa"/>
            <w:gridSpan w:val="3"/>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w:t>
            </w:r>
          </w:p>
        </w:tc>
        <w:tc>
          <w:tcPr>
            <w:tcW w:w="1206" w:type="dxa"/>
            <w:vMerge w:val="restart"/>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年末结转和结余</w:t>
            </w:r>
          </w:p>
        </w:tc>
      </w:tr>
      <w:tr w:rsidR="0066687B">
        <w:trPr>
          <w:trHeight w:val="312"/>
        </w:trPr>
        <w:tc>
          <w:tcPr>
            <w:tcW w:w="1084" w:type="dxa"/>
            <w:gridSpan w:val="3"/>
            <w:vMerge w:val="restart"/>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支出功能分类科目编码</w:t>
            </w:r>
          </w:p>
        </w:tc>
        <w:tc>
          <w:tcPr>
            <w:tcW w:w="2595" w:type="dxa"/>
            <w:vMerge w:val="restart"/>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883"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5"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5" w:type="dxa"/>
            <w:vMerge w:val="restart"/>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754" w:type="dxa"/>
            <w:vMerge w:val="restart"/>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756" w:type="dxa"/>
            <w:vMerge w:val="restart"/>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c>
          <w:tcPr>
            <w:tcW w:w="1206"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1084" w:type="dxa"/>
            <w:gridSpan w:val="3"/>
            <w:vMerge/>
            <w:tcBorders>
              <w:left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2595"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883"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5"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5"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4"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6"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1206"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r>
      <w:tr w:rsidR="0066687B">
        <w:trPr>
          <w:trHeight w:val="312"/>
        </w:trPr>
        <w:tc>
          <w:tcPr>
            <w:tcW w:w="1084" w:type="dxa"/>
            <w:gridSpan w:val="3"/>
            <w:vMerge/>
            <w:tcBorders>
              <w:left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2595"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883"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5"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5"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4"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756"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1206" w:type="dxa"/>
            <w:vMerge/>
            <w:tcBorders>
              <w:top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r>
      <w:tr w:rsidR="0066687B">
        <w:trPr>
          <w:trHeight w:val="301"/>
        </w:trPr>
        <w:tc>
          <w:tcPr>
            <w:tcW w:w="365" w:type="dxa"/>
            <w:vMerge w:val="restart"/>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353" w:type="dxa"/>
            <w:vMerge w:val="restart"/>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366" w:type="dxa"/>
            <w:vMerge w:val="restart"/>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2595"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88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754"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756"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206"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r>
      <w:tr w:rsidR="0066687B">
        <w:trPr>
          <w:trHeight w:val="301"/>
        </w:trPr>
        <w:tc>
          <w:tcPr>
            <w:tcW w:w="365" w:type="dxa"/>
            <w:vMerge/>
            <w:tcBorders>
              <w:left w:val="single" w:sz="4" w:space="0" w:color="000000"/>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353"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366" w:type="dxa"/>
            <w:vMerge/>
            <w:tcBorders>
              <w:bottom w:val="single" w:sz="4" w:space="0" w:color="000000"/>
              <w:right w:val="single" w:sz="4" w:space="0" w:color="000000"/>
            </w:tcBorders>
            <w:shd w:val="clear" w:color="auto" w:fill="auto"/>
            <w:vAlign w:val="center"/>
          </w:tcPr>
          <w:p w:rsidR="0066687B" w:rsidRDefault="0066687B">
            <w:pPr>
              <w:jc w:val="center"/>
              <w:rPr>
                <w:rFonts w:ascii="宋体" w:eastAsia="宋体" w:hAnsi="宋体" w:cs="宋体"/>
                <w:color w:val="000000"/>
                <w:sz w:val="20"/>
                <w:szCs w:val="20"/>
              </w:rPr>
            </w:pPr>
          </w:p>
        </w:tc>
        <w:tc>
          <w:tcPr>
            <w:tcW w:w="2595"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88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4"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120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1084" w:type="dxa"/>
            <w:gridSpan w:val="3"/>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w:t>
            </w:r>
          </w:p>
        </w:tc>
        <w:tc>
          <w:tcPr>
            <w:tcW w:w="2595" w:type="dxa"/>
            <w:tcBorders>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城乡社区支出</w:t>
            </w:r>
          </w:p>
        </w:tc>
        <w:tc>
          <w:tcPr>
            <w:tcW w:w="88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4"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120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1084" w:type="dxa"/>
            <w:gridSpan w:val="3"/>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21208</w:t>
            </w:r>
          </w:p>
        </w:tc>
        <w:tc>
          <w:tcPr>
            <w:tcW w:w="2595" w:type="dxa"/>
            <w:tcBorders>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国有土地使用权出让收入及对应专项债务收入安排的支出</w:t>
            </w:r>
          </w:p>
        </w:tc>
        <w:tc>
          <w:tcPr>
            <w:tcW w:w="88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4"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120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1084" w:type="dxa"/>
            <w:gridSpan w:val="3"/>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2120801</w:t>
            </w:r>
          </w:p>
        </w:tc>
        <w:tc>
          <w:tcPr>
            <w:tcW w:w="2595" w:type="dxa"/>
            <w:tcBorders>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征地和拆迁补偿支出</w:t>
            </w:r>
          </w:p>
        </w:tc>
        <w:tc>
          <w:tcPr>
            <w:tcW w:w="883"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5"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754"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5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657.44</w:t>
            </w:r>
          </w:p>
        </w:tc>
        <w:tc>
          <w:tcPr>
            <w:tcW w:w="1206" w:type="dxa"/>
            <w:tcBorders>
              <w:bottom w:val="single" w:sz="4" w:space="0" w:color="000000"/>
              <w:right w:val="single" w:sz="4" w:space="0" w:color="000000"/>
            </w:tcBorders>
            <w:shd w:val="clear" w:color="auto" w:fill="auto"/>
            <w:vAlign w:val="center"/>
          </w:tcPr>
          <w:p w:rsidR="0066687B" w:rsidRDefault="00003DF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66687B">
        <w:trPr>
          <w:trHeight w:val="301"/>
        </w:trPr>
        <w:tc>
          <w:tcPr>
            <w:tcW w:w="1084" w:type="dxa"/>
            <w:gridSpan w:val="3"/>
            <w:tcBorders>
              <w:left w:val="single" w:sz="4" w:space="0" w:color="000000"/>
              <w:bottom w:val="single" w:sz="4" w:space="0" w:color="000000"/>
              <w:right w:val="single" w:sz="4" w:space="0" w:color="000000"/>
            </w:tcBorders>
            <w:shd w:val="clear" w:color="auto" w:fill="auto"/>
            <w:vAlign w:val="center"/>
          </w:tcPr>
          <w:p w:rsidR="0066687B" w:rsidRDefault="0066687B">
            <w:pPr>
              <w:jc w:val="left"/>
              <w:rPr>
                <w:rFonts w:ascii="宋体" w:eastAsia="宋体" w:hAnsi="宋体" w:cs="宋体"/>
                <w:color w:val="000000"/>
                <w:sz w:val="20"/>
                <w:szCs w:val="20"/>
              </w:rPr>
            </w:pPr>
          </w:p>
        </w:tc>
        <w:tc>
          <w:tcPr>
            <w:tcW w:w="2595" w:type="dxa"/>
            <w:tcBorders>
              <w:bottom w:val="single" w:sz="4" w:space="0" w:color="000000"/>
              <w:right w:val="single" w:sz="4" w:space="0" w:color="000000"/>
            </w:tcBorders>
            <w:shd w:val="clear" w:color="auto" w:fill="auto"/>
            <w:vAlign w:val="center"/>
          </w:tcPr>
          <w:p w:rsidR="0066687B" w:rsidRDefault="0066687B">
            <w:pPr>
              <w:jc w:val="left"/>
              <w:rPr>
                <w:rFonts w:ascii="宋体" w:eastAsia="宋体" w:hAnsi="宋体" w:cs="宋体"/>
                <w:color w:val="000000"/>
                <w:sz w:val="20"/>
                <w:szCs w:val="20"/>
              </w:rPr>
            </w:pPr>
          </w:p>
        </w:tc>
        <w:tc>
          <w:tcPr>
            <w:tcW w:w="883"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5"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5"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4"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6"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1206"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1084" w:type="dxa"/>
            <w:gridSpan w:val="3"/>
            <w:tcBorders>
              <w:left w:val="single" w:sz="4" w:space="0" w:color="000000"/>
              <w:bottom w:val="single" w:sz="4" w:space="0" w:color="000000"/>
              <w:right w:val="single" w:sz="4" w:space="0" w:color="000000"/>
            </w:tcBorders>
            <w:shd w:val="clear" w:color="auto" w:fill="auto"/>
            <w:vAlign w:val="center"/>
          </w:tcPr>
          <w:p w:rsidR="0066687B" w:rsidRDefault="0066687B">
            <w:pPr>
              <w:jc w:val="left"/>
              <w:rPr>
                <w:rFonts w:ascii="宋体" w:eastAsia="宋体" w:hAnsi="宋体" w:cs="宋体"/>
                <w:color w:val="000000"/>
                <w:sz w:val="20"/>
                <w:szCs w:val="20"/>
              </w:rPr>
            </w:pPr>
          </w:p>
        </w:tc>
        <w:tc>
          <w:tcPr>
            <w:tcW w:w="2595" w:type="dxa"/>
            <w:tcBorders>
              <w:bottom w:val="single" w:sz="4" w:space="0" w:color="000000"/>
              <w:right w:val="single" w:sz="4" w:space="0" w:color="000000"/>
            </w:tcBorders>
            <w:shd w:val="clear" w:color="auto" w:fill="auto"/>
            <w:vAlign w:val="center"/>
          </w:tcPr>
          <w:p w:rsidR="0066687B" w:rsidRDefault="0066687B">
            <w:pPr>
              <w:jc w:val="left"/>
              <w:rPr>
                <w:rFonts w:ascii="宋体" w:eastAsia="宋体" w:hAnsi="宋体" w:cs="宋体"/>
                <w:color w:val="000000"/>
                <w:sz w:val="20"/>
                <w:szCs w:val="20"/>
              </w:rPr>
            </w:pPr>
          </w:p>
        </w:tc>
        <w:tc>
          <w:tcPr>
            <w:tcW w:w="883"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5"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5"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4"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6"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1206"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1084" w:type="dxa"/>
            <w:gridSpan w:val="3"/>
            <w:tcBorders>
              <w:left w:val="single" w:sz="4" w:space="0" w:color="000000"/>
              <w:bottom w:val="single" w:sz="4" w:space="0" w:color="000000"/>
              <w:right w:val="single" w:sz="4" w:space="0" w:color="000000"/>
            </w:tcBorders>
            <w:shd w:val="clear" w:color="auto" w:fill="auto"/>
            <w:vAlign w:val="center"/>
          </w:tcPr>
          <w:p w:rsidR="0066687B" w:rsidRDefault="0066687B">
            <w:pPr>
              <w:jc w:val="left"/>
              <w:rPr>
                <w:rFonts w:ascii="宋体" w:eastAsia="宋体" w:hAnsi="宋体" w:cs="宋体"/>
                <w:color w:val="000000"/>
                <w:sz w:val="20"/>
                <w:szCs w:val="20"/>
              </w:rPr>
            </w:pPr>
          </w:p>
        </w:tc>
        <w:tc>
          <w:tcPr>
            <w:tcW w:w="2595" w:type="dxa"/>
            <w:tcBorders>
              <w:bottom w:val="single" w:sz="4" w:space="0" w:color="000000"/>
              <w:right w:val="single" w:sz="4" w:space="0" w:color="000000"/>
            </w:tcBorders>
            <w:shd w:val="clear" w:color="auto" w:fill="auto"/>
            <w:vAlign w:val="center"/>
          </w:tcPr>
          <w:p w:rsidR="0066687B" w:rsidRDefault="0066687B">
            <w:pPr>
              <w:jc w:val="left"/>
              <w:rPr>
                <w:rFonts w:ascii="宋体" w:eastAsia="宋体" w:hAnsi="宋体" w:cs="宋体"/>
                <w:color w:val="000000"/>
                <w:sz w:val="20"/>
                <w:szCs w:val="20"/>
              </w:rPr>
            </w:pPr>
          </w:p>
        </w:tc>
        <w:tc>
          <w:tcPr>
            <w:tcW w:w="883"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5"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5"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4"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756"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c>
          <w:tcPr>
            <w:tcW w:w="1206"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241"/>
        </w:trPr>
        <w:tc>
          <w:tcPr>
            <w:tcW w:w="7582" w:type="dxa"/>
            <w:gridSpan w:val="9"/>
            <w:shd w:val="clear" w:color="auto" w:fill="auto"/>
            <w:vAlign w:val="bottom"/>
          </w:tcPr>
          <w:p w:rsidR="0066687B" w:rsidRDefault="00003DF0">
            <w:pPr>
              <w:rPr>
                <w:rFonts w:ascii="Arial" w:hAnsi="Arial" w:cs="Arial"/>
                <w:color w:val="000000"/>
                <w:sz w:val="20"/>
                <w:szCs w:val="20"/>
              </w:rPr>
            </w:pPr>
            <w:r>
              <w:rPr>
                <w:rFonts w:ascii="宋体" w:eastAsia="宋体" w:hAnsi="宋体" w:cs="宋体" w:hint="eastAsia"/>
                <w:color w:val="000000"/>
                <w:kern w:val="0"/>
                <w:sz w:val="20"/>
                <w:szCs w:val="20"/>
              </w:rPr>
              <w:t>注：本表反映部门本年度政府性基金预算财政拨款收入、支出及结转结余情况。</w:t>
            </w:r>
          </w:p>
        </w:tc>
        <w:tc>
          <w:tcPr>
            <w:tcW w:w="1206" w:type="dxa"/>
            <w:shd w:val="clear" w:color="auto" w:fill="auto"/>
            <w:vAlign w:val="bottom"/>
          </w:tcPr>
          <w:p w:rsidR="0066687B" w:rsidRDefault="0066687B">
            <w:pPr>
              <w:rPr>
                <w:rFonts w:ascii="Arial" w:hAnsi="Arial" w:cs="Arial"/>
                <w:color w:val="000000"/>
                <w:sz w:val="20"/>
                <w:szCs w:val="20"/>
              </w:rPr>
            </w:pPr>
          </w:p>
        </w:tc>
      </w:tr>
    </w:tbl>
    <w:tbl>
      <w:tblPr>
        <w:tblpPr w:leftFromText="180" w:rightFromText="180" w:vertAnchor="text" w:horzAnchor="page" w:tblpX="1814" w:tblpY="589"/>
        <w:tblOverlap w:val="never"/>
        <w:tblW w:w="8415" w:type="dxa"/>
        <w:tblLayout w:type="fixed"/>
        <w:tblCellMar>
          <w:top w:w="15" w:type="dxa"/>
          <w:left w:w="15" w:type="dxa"/>
          <w:bottom w:w="15" w:type="dxa"/>
          <w:right w:w="15" w:type="dxa"/>
        </w:tblCellMar>
        <w:tblLook w:val="04A0"/>
      </w:tblPr>
      <w:tblGrid>
        <w:gridCol w:w="4095"/>
        <w:gridCol w:w="1193"/>
        <w:gridCol w:w="3127"/>
      </w:tblGrid>
      <w:tr w:rsidR="0066687B">
        <w:trPr>
          <w:trHeight w:val="450"/>
        </w:trPr>
        <w:tc>
          <w:tcPr>
            <w:tcW w:w="8415" w:type="dxa"/>
            <w:gridSpan w:val="3"/>
            <w:shd w:val="clear" w:color="auto" w:fill="auto"/>
            <w:vAlign w:val="bottom"/>
          </w:tcPr>
          <w:p w:rsidR="0066687B" w:rsidRDefault="00003DF0">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国有资产占用情况表</w:t>
            </w:r>
          </w:p>
        </w:tc>
      </w:tr>
      <w:tr w:rsidR="0066687B">
        <w:trPr>
          <w:trHeight w:val="286"/>
        </w:trPr>
        <w:tc>
          <w:tcPr>
            <w:tcW w:w="4095" w:type="dxa"/>
            <w:shd w:val="clear" w:color="auto" w:fill="auto"/>
            <w:vAlign w:val="bottom"/>
          </w:tcPr>
          <w:p w:rsidR="0066687B" w:rsidRDefault="0066687B">
            <w:pPr>
              <w:rPr>
                <w:rFonts w:ascii="Arial" w:hAnsi="Arial" w:cs="Arial"/>
                <w:color w:val="000000"/>
                <w:sz w:val="20"/>
                <w:szCs w:val="20"/>
              </w:rPr>
            </w:pPr>
          </w:p>
        </w:tc>
        <w:tc>
          <w:tcPr>
            <w:tcW w:w="1193" w:type="dxa"/>
            <w:shd w:val="clear" w:color="auto" w:fill="auto"/>
            <w:vAlign w:val="bottom"/>
          </w:tcPr>
          <w:p w:rsidR="0066687B" w:rsidRDefault="0066687B">
            <w:pPr>
              <w:rPr>
                <w:rFonts w:ascii="Arial" w:hAnsi="Arial" w:cs="Arial"/>
                <w:color w:val="000000"/>
                <w:sz w:val="20"/>
                <w:szCs w:val="20"/>
              </w:rPr>
            </w:pPr>
          </w:p>
        </w:tc>
        <w:tc>
          <w:tcPr>
            <w:tcW w:w="3127" w:type="dxa"/>
            <w:shd w:val="clear" w:color="auto" w:fill="auto"/>
            <w:vAlign w:val="bottom"/>
          </w:tcPr>
          <w:p w:rsidR="0066687B" w:rsidRDefault="00003DF0">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公开09表</w:t>
            </w:r>
          </w:p>
        </w:tc>
      </w:tr>
      <w:tr w:rsidR="0066687B">
        <w:trPr>
          <w:trHeight w:val="241"/>
        </w:trPr>
        <w:tc>
          <w:tcPr>
            <w:tcW w:w="4095" w:type="dxa"/>
            <w:shd w:val="clear" w:color="auto" w:fill="auto"/>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编制单位：庐山市建设规划局</w:t>
            </w:r>
          </w:p>
        </w:tc>
        <w:tc>
          <w:tcPr>
            <w:tcW w:w="1193" w:type="dxa"/>
            <w:shd w:val="clear" w:color="auto" w:fill="auto"/>
            <w:vAlign w:val="bottom"/>
          </w:tcPr>
          <w:p w:rsidR="0066687B" w:rsidRDefault="00003DF0">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2018年度</w:t>
            </w:r>
          </w:p>
        </w:tc>
        <w:tc>
          <w:tcPr>
            <w:tcW w:w="3127" w:type="dxa"/>
            <w:shd w:val="clear" w:color="auto" w:fill="auto"/>
            <w:vAlign w:val="bottom"/>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1193" w:type="dxa"/>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3127" w:type="dxa"/>
            <w:tcBorders>
              <w:top w:val="single" w:sz="4" w:space="0" w:color="000000"/>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一、车辆数合计(台、辆)</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1.副部（省）级及以上领导用车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2.主要领导干部用车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3.机要通信用车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4.应急保障用车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5.执法执勤用车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6.特种专业技术用车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7.离退休干部用车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 xml:space="preserve">  8.其他用车</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二、单价50万元（含）以上通用设备（台，套）</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301"/>
        </w:trPr>
        <w:tc>
          <w:tcPr>
            <w:tcW w:w="4095" w:type="dxa"/>
            <w:tcBorders>
              <w:left w:val="single" w:sz="4" w:space="0" w:color="000000"/>
              <w:bottom w:val="single" w:sz="4" w:space="0" w:color="000000"/>
              <w:right w:val="single" w:sz="4" w:space="0" w:color="000000"/>
            </w:tcBorders>
            <w:shd w:val="clear" w:color="auto" w:fill="auto"/>
            <w:vAlign w:val="center"/>
          </w:tcPr>
          <w:p w:rsidR="0066687B" w:rsidRDefault="00003DF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三、单价100万元（含）以上专用设备（台，套）</w:t>
            </w:r>
          </w:p>
        </w:tc>
        <w:tc>
          <w:tcPr>
            <w:tcW w:w="1193" w:type="dxa"/>
            <w:tcBorders>
              <w:bottom w:val="single" w:sz="4" w:space="0" w:color="000000"/>
              <w:right w:val="single" w:sz="4" w:space="0" w:color="000000"/>
            </w:tcBorders>
            <w:shd w:val="clear" w:color="auto" w:fill="auto"/>
            <w:vAlign w:val="center"/>
          </w:tcPr>
          <w:p w:rsidR="0066687B" w:rsidRDefault="00003DF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3127" w:type="dxa"/>
            <w:tcBorders>
              <w:bottom w:val="single" w:sz="4" w:space="0" w:color="000000"/>
              <w:right w:val="single" w:sz="4" w:space="0" w:color="000000"/>
            </w:tcBorders>
            <w:shd w:val="clear" w:color="auto" w:fill="auto"/>
            <w:vAlign w:val="center"/>
          </w:tcPr>
          <w:p w:rsidR="0066687B" w:rsidRDefault="0066687B">
            <w:pPr>
              <w:jc w:val="right"/>
              <w:rPr>
                <w:rFonts w:ascii="宋体" w:eastAsia="宋体" w:hAnsi="宋体" w:cs="宋体"/>
                <w:color w:val="000000"/>
                <w:sz w:val="20"/>
                <w:szCs w:val="20"/>
              </w:rPr>
            </w:pPr>
          </w:p>
        </w:tc>
      </w:tr>
      <w:tr w:rsidR="0066687B">
        <w:trPr>
          <w:trHeight w:val="241"/>
        </w:trPr>
        <w:tc>
          <w:tcPr>
            <w:tcW w:w="8415" w:type="dxa"/>
            <w:gridSpan w:val="3"/>
            <w:shd w:val="clear" w:color="auto" w:fill="auto"/>
            <w:vAlign w:val="bottom"/>
          </w:tcPr>
          <w:p w:rsidR="0066687B" w:rsidRDefault="00003DF0">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注：本表反映截止208年12月31日，部门占用的国有资产情况。</w:t>
            </w:r>
          </w:p>
        </w:tc>
      </w:tr>
    </w:tbl>
    <w:p w:rsidR="0066687B" w:rsidRDefault="0066687B" w:rsidP="002F67F0">
      <w:pPr>
        <w:widowControl/>
        <w:spacing w:line="600" w:lineRule="exact"/>
        <w:rPr>
          <w:rFonts w:ascii="宋体" w:hAnsi="宋体"/>
          <w:b/>
          <w:sz w:val="32"/>
          <w:szCs w:val="32"/>
        </w:rPr>
      </w:pPr>
    </w:p>
    <w:p w:rsidR="0066687B" w:rsidRDefault="00003DF0">
      <w:pPr>
        <w:widowControl/>
        <w:spacing w:line="600" w:lineRule="exact"/>
        <w:jc w:val="center"/>
        <w:rPr>
          <w:rFonts w:ascii="宋体" w:hAnsi="宋体"/>
          <w:b/>
          <w:sz w:val="32"/>
          <w:szCs w:val="32"/>
        </w:rPr>
      </w:pPr>
      <w:r>
        <w:rPr>
          <w:rFonts w:ascii="宋体" w:hAnsi="宋体" w:hint="eastAsia"/>
          <w:b/>
          <w:sz w:val="32"/>
          <w:szCs w:val="32"/>
        </w:rPr>
        <w:t>第三部分  2018年度部门决算情况说明</w:t>
      </w:r>
    </w:p>
    <w:p w:rsidR="0066687B" w:rsidRDefault="0066687B">
      <w:pPr>
        <w:ind w:firstLine="630"/>
        <w:jc w:val="left"/>
        <w:rPr>
          <w:rFonts w:ascii="仿宋" w:eastAsia="仿宋" w:hAnsi="仿宋"/>
          <w:sz w:val="30"/>
          <w:szCs w:val="30"/>
        </w:rPr>
      </w:pPr>
    </w:p>
    <w:p w:rsidR="0066687B" w:rsidRDefault="00003DF0">
      <w:pPr>
        <w:ind w:firstLineChars="200" w:firstLine="600"/>
        <w:jc w:val="left"/>
        <w:rPr>
          <w:rFonts w:ascii="黑体" w:eastAsia="黑体" w:hAnsi="黑体"/>
          <w:sz w:val="30"/>
          <w:szCs w:val="30"/>
        </w:rPr>
      </w:pPr>
      <w:r>
        <w:rPr>
          <w:rFonts w:ascii="黑体" w:eastAsia="黑体" w:hAnsi="黑体" w:hint="eastAsia"/>
          <w:sz w:val="30"/>
          <w:szCs w:val="30"/>
        </w:rPr>
        <w:t>一、收入决算情况说明</w:t>
      </w:r>
    </w:p>
    <w:p w:rsidR="0066687B" w:rsidRDefault="00003DF0">
      <w:pPr>
        <w:ind w:leftChars="142" w:left="298" w:firstLineChars="200" w:firstLine="600"/>
        <w:jc w:val="left"/>
        <w:rPr>
          <w:rFonts w:ascii="仿宋" w:eastAsia="仿宋" w:hAnsi="仿宋"/>
          <w:sz w:val="30"/>
          <w:szCs w:val="30"/>
        </w:rPr>
      </w:pPr>
      <w:r>
        <w:rPr>
          <w:rFonts w:ascii="仿宋" w:eastAsia="仿宋" w:hAnsi="仿宋" w:hint="eastAsia"/>
          <w:sz w:val="30"/>
          <w:szCs w:val="30"/>
        </w:rPr>
        <w:t>本部门2018年度收入总计3874.49万元，其中年初结转和结余1082.01万元，较2017年增加669.07万元，增长162.03%；本年收入合计2792.48万元，较2017年减少1680.32万元，下降37.57%，主要原因是：2018年度部门收入预算比上年度减少。</w:t>
      </w:r>
    </w:p>
    <w:p w:rsidR="0066687B" w:rsidRDefault="00003DF0">
      <w:pPr>
        <w:ind w:firstLine="630"/>
        <w:jc w:val="left"/>
        <w:rPr>
          <w:rFonts w:ascii="仿宋" w:eastAsia="仿宋" w:hAnsi="仿宋"/>
          <w:sz w:val="30"/>
          <w:szCs w:val="30"/>
        </w:rPr>
      </w:pPr>
      <w:r>
        <w:rPr>
          <w:rFonts w:ascii="仿宋" w:eastAsia="仿宋" w:hAnsi="仿宋" w:hint="eastAsia"/>
          <w:sz w:val="30"/>
          <w:szCs w:val="30"/>
        </w:rPr>
        <w:t xml:space="preserve">本年收入的具体构成为：财政拨款收入1264.59万元，占45.29%；事业收入0万元，占0 %；经营收入0万元，占0 %；其他收入1527.89万元，占54.71%。  </w:t>
      </w:r>
    </w:p>
    <w:p w:rsidR="0066687B" w:rsidRDefault="00003DF0">
      <w:pPr>
        <w:ind w:firstLine="630"/>
        <w:jc w:val="left"/>
        <w:rPr>
          <w:rFonts w:ascii="黑体" w:eastAsia="黑体" w:hAnsi="黑体"/>
          <w:sz w:val="30"/>
          <w:szCs w:val="30"/>
        </w:rPr>
      </w:pPr>
      <w:r>
        <w:rPr>
          <w:rFonts w:ascii="黑体" w:eastAsia="黑体" w:hAnsi="黑体" w:hint="eastAsia"/>
          <w:sz w:val="30"/>
          <w:szCs w:val="30"/>
        </w:rPr>
        <w:t>二、支出决算情况说明</w:t>
      </w:r>
    </w:p>
    <w:p w:rsidR="0066687B" w:rsidRDefault="00003DF0">
      <w:pPr>
        <w:ind w:firstLine="630"/>
        <w:jc w:val="left"/>
        <w:rPr>
          <w:rFonts w:ascii="仿宋" w:eastAsia="仿宋" w:hAnsi="仿宋"/>
          <w:sz w:val="30"/>
          <w:szCs w:val="30"/>
        </w:rPr>
      </w:pPr>
      <w:r>
        <w:rPr>
          <w:rFonts w:ascii="仿宋" w:eastAsia="仿宋" w:hAnsi="仿宋" w:hint="eastAsia"/>
          <w:sz w:val="30"/>
          <w:szCs w:val="30"/>
        </w:rPr>
        <w:t>本部门2018年度支出总计3874.49万元，其中本年支出合计2809.24万元，较2017年减少994.5万元，下降26.15%，主要原因是：部门支出预算较上年度减少，其中项目支出减幅较大；年末结转和结余1065.25万元，较2017年减少16.76万元，下降1.55%，主要原因是：当年使用上年度应返还额度。</w:t>
      </w:r>
    </w:p>
    <w:p w:rsidR="0066687B" w:rsidRDefault="00003DF0">
      <w:pPr>
        <w:ind w:firstLine="630"/>
        <w:jc w:val="left"/>
        <w:rPr>
          <w:rFonts w:ascii="仿宋" w:eastAsia="仿宋" w:hAnsi="仿宋"/>
          <w:sz w:val="30"/>
          <w:szCs w:val="30"/>
        </w:rPr>
      </w:pPr>
      <w:r>
        <w:rPr>
          <w:rFonts w:ascii="仿宋" w:eastAsia="仿宋" w:hAnsi="仿宋" w:hint="eastAsia"/>
          <w:sz w:val="30"/>
          <w:szCs w:val="30"/>
        </w:rPr>
        <w:t>本年支出的具体构成为：基本支出580.73万元，占</w:t>
      </w:r>
      <w:r>
        <w:rPr>
          <w:rFonts w:ascii="仿宋" w:eastAsia="仿宋" w:hAnsi="仿宋" w:hint="eastAsia"/>
          <w:sz w:val="30"/>
          <w:szCs w:val="30"/>
        </w:rPr>
        <w:lastRenderedPageBreak/>
        <w:t>20.67 %；项目支出2228.51万元，占79.33%；经营支出0万元，占0 %；其他支出（对附属单位补助支出、上缴上级支出）0万元，占0 %。</w:t>
      </w:r>
    </w:p>
    <w:p w:rsidR="0066687B" w:rsidRDefault="00003DF0">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66687B" w:rsidRDefault="00003DF0">
      <w:pPr>
        <w:ind w:firstLine="630"/>
        <w:jc w:val="left"/>
        <w:rPr>
          <w:rFonts w:ascii="仿宋" w:eastAsia="仿宋" w:hAnsi="仿宋"/>
          <w:sz w:val="30"/>
          <w:szCs w:val="30"/>
        </w:rPr>
      </w:pPr>
      <w:r>
        <w:rPr>
          <w:rFonts w:ascii="仿宋" w:eastAsia="仿宋" w:hAnsi="仿宋" w:hint="eastAsia"/>
          <w:sz w:val="30"/>
          <w:szCs w:val="30"/>
        </w:rPr>
        <w:t>本部门2018年度财政拨款本年支出年初预算数为1250万元，决算数为1260.78万元，完成年初预算的100.86%。其中：</w:t>
      </w:r>
    </w:p>
    <w:p w:rsidR="0066687B" w:rsidRDefault="00003DF0">
      <w:pPr>
        <w:ind w:firstLine="630"/>
        <w:jc w:val="left"/>
        <w:rPr>
          <w:rFonts w:ascii="仿宋" w:eastAsia="仿宋" w:hAnsi="仿宋"/>
          <w:sz w:val="30"/>
          <w:szCs w:val="30"/>
        </w:rPr>
      </w:pPr>
      <w:r>
        <w:rPr>
          <w:rFonts w:ascii="仿宋" w:eastAsia="仿宋" w:hAnsi="仿宋" w:hint="eastAsia"/>
          <w:sz w:val="30"/>
          <w:szCs w:val="30"/>
        </w:rPr>
        <w:t>（一）社会保障和就业支出年初预算数为45.73万元，决算数为46.73万元，完成年初预算的102.19 %，主要原因是：努力控制年度支出预算。</w:t>
      </w:r>
    </w:p>
    <w:p w:rsidR="0066687B" w:rsidRDefault="00003DF0">
      <w:pPr>
        <w:ind w:firstLine="630"/>
        <w:jc w:val="left"/>
        <w:rPr>
          <w:rFonts w:ascii="仿宋" w:eastAsia="仿宋" w:hAnsi="仿宋"/>
          <w:sz w:val="30"/>
          <w:szCs w:val="30"/>
        </w:rPr>
      </w:pPr>
      <w:r>
        <w:rPr>
          <w:rFonts w:ascii="仿宋" w:eastAsia="仿宋" w:hAnsi="仿宋" w:hint="eastAsia"/>
          <w:sz w:val="30"/>
          <w:szCs w:val="30"/>
        </w:rPr>
        <w:t>（二）医疗卫生与计划生育支出年初预算数为19.65万元，决算数为19.67万元，完成年初预算的100.1%，主要原因是：努力控制年度支出预算。</w:t>
      </w:r>
    </w:p>
    <w:p w:rsidR="0066687B" w:rsidRDefault="00003DF0">
      <w:pPr>
        <w:ind w:firstLine="630"/>
        <w:jc w:val="left"/>
        <w:rPr>
          <w:rFonts w:ascii="仿宋" w:eastAsia="仿宋" w:hAnsi="仿宋"/>
          <w:sz w:val="30"/>
          <w:szCs w:val="30"/>
        </w:rPr>
      </w:pPr>
      <w:r>
        <w:rPr>
          <w:rFonts w:ascii="仿宋" w:eastAsia="仿宋" w:hAnsi="仿宋" w:hint="eastAsia"/>
          <w:sz w:val="30"/>
          <w:szCs w:val="30"/>
        </w:rPr>
        <w:t>（三）城乡社区支出年初预算数为1184.62万元，决算数为1192.88万元，完成年初预算的100.7%，主要原因是：努力控制年度支出预算。</w:t>
      </w:r>
    </w:p>
    <w:p w:rsidR="0066687B" w:rsidRDefault="00003DF0">
      <w:pPr>
        <w:ind w:firstLine="630"/>
        <w:jc w:val="left"/>
        <w:rPr>
          <w:rFonts w:ascii="仿宋" w:eastAsia="仿宋" w:hAnsi="仿宋"/>
          <w:sz w:val="30"/>
          <w:szCs w:val="30"/>
        </w:rPr>
      </w:pPr>
      <w:r>
        <w:rPr>
          <w:rFonts w:ascii="仿宋" w:eastAsia="仿宋" w:hAnsi="仿宋" w:hint="eastAsia"/>
          <w:sz w:val="30"/>
          <w:szCs w:val="30"/>
        </w:rPr>
        <w:t>（四）住房保障支出年初预算数为0万元，决算数为1.5万元。</w:t>
      </w:r>
    </w:p>
    <w:p w:rsidR="0066687B" w:rsidRDefault="00003DF0">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66687B" w:rsidRDefault="00003DF0">
      <w:pPr>
        <w:ind w:firstLine="585"/>
        <w:jc w:val="left"/>
        <w:rPr>
          <w:rFonts w:ascii="仿宋" w:eastAsia="仿宋" w:hAnsi="仿宋"/>
          <w:sz w:val="30"/>
          <w:szCs w:val="30"/>
        </w:rPr>
      </w:pPr>
      <w:r>
        <w:rPr>
          <w:rFonts w:ascii="仿宋" w:eastAsia="仿宋" w:hAnsi="仿宋" w:hint="eastAsia"/>
          <w:sz w:val="30"/>
          <w:szCs w:val="30"/>
        </w:rPr>
        <w:t>本部门2018年度一般公共预算财政拨款基本支出580.73万元，其中：</w:t>
      </w:r>
    </w:p>
    <w:p w:rsidR="0066687B" w:rsidRDefault="00003DF0">
      <w:pPr>
        <w:ind w:firstLine="585"/>
        <w:jc w:val="left"/>
        <w:rPr>
          <w:rFonts w:ascii="仿宋" w:eastAsia="仿宋" w:hAnsi="仿宋"/>
          <w:sz w:val="30"/>
          <w:szCs w:val="30"/>
        </w:rPr>
      </w:pPr>
      <w:r>
        <w:rPr>
          <w:rFonts w:ascii="仿宋" w:eastAsia="仿宋" w:hAnsi="仿宋" w:hint="eastAsia"/>
          <w:sz w:val="30"/>
          <w:szCs w:val="30"/>
        </w:rPr>
        <w:t>（一）工资福利支出421.42万元，较2017年增加32.74万元，增长8.42%，主要原因是：因调资补发，导致当年工资性</w:t>
      </w:r>
      <w:r>
        <w:rPr>
          <w:rFonts w:ascii="仿宋" w:eastAsia="仿宋" w:hAnsi="仿宋" w:hint="eastAsia"/>
          <w:sz w:val="30"/>
          <w:szCs w:val="30"/>
        </w:rPr>
        <w:lastRenderedPageBreak/>
        <w:t>支出增长。</w:t>
      </w:r>
    </w:p>
    <w:p w:rsidR="0066687B" w:rsidRDefault="00003DF0">
      <w:pPr>
        <w:ind w:firstLine="585"/>
        <w:jc w:val="left"/>
        <w:rPr>
          <w:rFonts w:ascii="仿宋" w:eastAsia="仿宋" w:hAnsi="仿宋"/>
          <w:sz w:val="30"/>
          <w:szCs w:val="30"/>
        </w:rPr>
      </w:pPr>
      <w:r>
        <w:rPr>
          <w:rFonts w:ascii="仿宋" w:eastAsia="仿宋" w:hAnsi="仿宋" w:hint="eastAsia"/>
          <w:sz w:val="30"/>
          <w:szCs w:val="30"/>
        </w:rPr>
        <w:t>（二）商品和服务支出150.84万元，较2017年增加43.05万元，增长39.94%，主要原因是：委托业务费较上年有较大幅度增长。</w:t>
      </w:r>
    </w:p>
    <w:p w:rsidR="0066687B" w:rsidRDefault="00003DF0">
      <w:pPr>
        <w:ind w:firstLine="585"/>
        <w:jc w:val="left"/>
        <w:rPr>
          <w:rFonts w:ascii="仿宋" w:eastAsia="仿宋" w:hAnsi="仿宋"/>
          <w:sz w:val="30"/>
          <w:szCs w:val="30"/>
        </w:rPr>
      </w:pPr>
      <w:r>
        <w:rPr>
          <w:rFonts w:ascii="仿宋" w:eastAsia="仿宋" w:hAnsi="仿宋" w:hint="eastAsia"/>
          <w:sz w:val="30"/>
          <w:szCs w:val="30"/>
        </w:rPr>
        <w:t>（三）对个人和家庭补助支出8.47万元，较2017年减少73.24万元，下降89.63%，主要原因是：抚恤金、生活补贴大幅减少，住房公积金支出入账口径改变。</w:t>
      </w:r>
    </w:p>
    <w:p w:rsidR="0066687B" w:rsidRDefault="00003DF0">
      <w:pPr>
        <w:ind w:firstLine="585"/>
        <w:jc w:val="left"/>
        <w:rPr>
          <w:rFonts w:ascii="仿宋" w:eastAsia="仿宋" w:hAnsi="仿宋"/>
          <w:sz w:val="30"/>
          <w:szCs w:val="30"/>
        </w:rPr>
      </w:pPr>
      <w:r>
        <w:rPr>
          <w:rFonts w:ascii="仿宋" w:eastAsia="仿宋" w:hAnsi="仿宋" w:hint="eastAsia"/>
          <w:sz w:val="30"/>
          <w:szCs w:val="30"/>
        </w:rPr>
        <w:t>（四）资本性支出0万元，较2017年增加（减少）0万元，增长（下降）0%。</w:t>
      </w:r>
    </w:p>
    <w:p w:rsidR="0066687B" w:rsidRDefault="00003DF0">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66687B" w:rsidRDefault="00003DF0">
      <w:pPr>
        <w:ind w:firstLine="630"/>
        <w:jc w:val="left"/>
        <w:rPr>
          <w:rFonts w:ascii="仿宋" w:eastAsia="仿宋" w:hAnsi="仿宋"/>
          <w:sz w:val="30"/>
          <w:szCs w:val="30"/>
        </w:rPr>
      </w:pPr>
      <w:r>
        <w:rPr>
          <w:rFonts w:ascii="仿宋" w:eastAsia="仿宋" w:hAnsi="仿宋" w:hint="eastAsia"/>
          <w:sz w:val="30"/>
          <w:szCs w:val="30"/>
        </w:rPr>
        <w:t>本部门2018年度一般公共预算财政拨款“三公”经费支出年初预算数为14万元，决算数为7.34万元，完成预算的52.43%，决算数较2017年增加12.33万元，增长738.32%，其中：</w:t>
      </w:r>
    </w:p>
    <w:p w:rsidR="0066687B" w:rsidRDefault="00003DF0">
      <w:pPr>
        <w:ind w:firstLine="630"/>
        <w:jc w:val="left"/>
        <w:rPr>
          <w:rFonts w:ascii="仿宋" w:eastAsia="仿宋" w:hAnsi="仿宋"/>
          <w:sz w:val="30"/>
          <w:szCs w:val="30"/>
        </w:rPr>
      </w:pPr>
      <w:r>
        <w:rPr>
          <w:rFonts w:ascii="仿宋" w:eastAsia="仿宋" w:hAnsi="仿宋" w:hint="eastAsia"/>
          <w:sz w:val="30"/>
          <w:szCs w:val="30"/>
        </w:rPr>
        <w:t>（一）因公出国（境）支出年初预算数为0万元，决算数为0万元，完成预算的100%，决算数较2017年增加（减少）0万元，增长（下降）0%。</w:t>
      </w:r>
    </w:p>
    <w:p w:rsidR="0066687B" w:rsidRDefault="00003DF0">
      <w:pPr>
        <w:ind w:firstLine="630"/>
        <w:jc w:val="left"/>
        <w:rPr>
          <w:rFonts w:ascii="仿宋" w:eastAsia="仿宋" w:hAnsi="仿宋"/>
          <w:sz w:val="30"/>
          <w:szCs w:val="30"/>
        </w:rPr>
      </w:pPr>
      <w:r>
        <w:rPr>
          <w:rFonts w:ascii="仿宋" w:eastAsia="仿宋" w:hAnsi="仿宋" w:hint="eastAsia"/>
          <w:sz w:val="30"/>
          <w:szCs w:val="30"/>
        </w:rPr>
        <w:t>（二）公务接待费支出年初预算数为14万元，决算数为7.34万元，完成预算的52.43%，决算数较2017年增加12.33万元，增长738.32%。决算数较年初预算数减少的主要原因是：严格执行中央八项规定，厉行节约，控制公务接待费用。</w:t>
      </w:r>
    </w:p>
    <w:p w:rsidR="00DA5659" w:rsidRDefault="00003DF0">
      <w:pPr>
        <w:ind w:firstLine="630"/>
        <w:jc w:val="left"/>
        <w:rPr>
          <w:rFonts w:ascii="仿宋" w:eastAsia="仿宋" w:hAnsi="仿宋" w:hint="eastAsia"/>
          <w:sz w:val="30"/>
          <w:szCs w:val="30"/>
        </w:rPr>
      </w:pPr>
      <w:r>
        <w:rPr>
          <w:rFonts w:ascii="仿宋" w:eastAsia="仿宋" w:hAnsi="仿宋" w:hint="eastAsia"/>
          <w:sz w:val="30"/>
          <w:szCs w:val="30"/>
        </w:rPr>
        <w:t>（三）公务用车购置及运行维护费支出0万元，其中公务用车购置年初预算数为0万元，决算数为0元，完成预算的100%，</w:t>
      </w:r>
      <w:r>
        <w:rPr>
          <w:rFonts w:ascii="仿宋" w:eastAsia="仿宋" w:hAnsi="仿宋" w:hint="eastAsia"/>
          <w:sz w:val="30"/>
          <w:szCs w:val="30"/>
        </w:rPr>
        <w:lastRenderedPageBreak/>
        <w:t>决算数较2017年增加（减少）0万元，增长（下降）0 %。；公务用车运行维护费支出年初预算数为0万元，决算数为0万元，完成预算的100 %，决算数较2017年增加（减少）0万元，增长（下降）0%</w:t>
      </w:r>
      <w:r w:rsidR="00DA5659">
        <w:rPr>
          <w:rFonts w:ascii="仿宋" w:eastAsia="仿宋" w:hAnsi="仿宋" w:hint="eastAsia"/>
          <w:sz w:val="30"/>
          <w:szCs w:val="30"/>
        </w:rPr>
        <w:t>。</w:t>
      </w:r>
    </w:p>
    <w:p w:rsidR="0066687B" w:rsidRDefault="00003DF0">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66687B" w:rsidRDefault="00003DF0">
      <w:pPr>
        <w:ind w:firstLine="630"/>
        <w:jc w:val="left"/>
        <w:rPr>
          <w:rFonts w:ascii="仿宋" w:eastAsia="仿宋" w:hAnsi="仿宋"/>
          <w:sz w:val="30"/>
          <w:szCs w:val="30"/>
        </w:rPr>
      </w:pPr>
      <w:r>
        <w:rPr>
          <w:rFonts w:ascii="仿宋" w:eastAsia="仿宋" w:hAnsi="仿宋" w:hint="eastAsia"/>
          <w:sz w:val="30"/>
          <w:szCs w:val="30"/>
        </w:rPr>
        <w:t xml:space="preserve">本部门2018年度机关运行经费支出150.84万元（与部门决算中行政单位和参照公务员法管理事业单位一般公共预算财政拨款基本支出中公用经费之和保持一致），较年初预算数减少  44.39万元，降低22.74%，主要原因是：厉行节约，节能降耗，防止费用跑冒滴漏现象发生。 </w:t>
      </w:r>
    </w:p>
    <w:p w:rsidR="0066687B" w:rsidRDefault="00003DF0">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66687B" w:rsidRDefault="00003DF0">
      <w:pPr>
        <w:pStyle w:val="p0"/>
        <w:spacing w:line="600" w:lineRule="atLeast"/>
        <w:ind w:firstLine="600"/>
        <w:rPr>
          <w:rFonts w:ascii="仿宋" w:eastAsia="仿宋" w:hAnsi="仿宋"/>
          <w:sz w:val="30"/>
          <w:szCs w:val="30"/>
        </w:rPr>
      </w:pPr>
      <w:r>
        <w:rPr>
          <w:rFonts w:ascii="仿宋" w:eastAsia="仿宋" w:hAnsi="仿宋" w:hint="eastAsia"/>
          <w:sz w:val="30"/>
          <w:szCs w:val="30"/>
        </w:rPr>
        <w:t>本部门2018年度政府采购支出总额9715.62万元，其中：政府采购货物支出3172.4万元、政府采购工程支出6520.77万元、政府采购服务支出22.45万元。授予中小企业合同金额6520.77万元，占政府采购支出总额的67.12%，其中：授予小微企业合同金额6520.77万元，占政府采购支出总额的67.12%。（省级部门公开的政府采购金额的计算口径为：本部门纳入2018年部门预算范围的各项政府采购支出金额之和，并做好与2018年度政府采购信息统计报表中“政府采购资金情况表”有关数据的衔接。）</w:t>
      </w:r>
    </w:p>
    <w:p w:rsidR="0066687B" w:rsidRDefault="00003DF0">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66687B" w:rsidRDefault="00003DF0">
      <w:pPr>
        <w:ind w:firstLine="630"/>
        <w:jc w:val="left"/>
        <w:rPr>
          <w:rFonts w:ascii="仿宋" w:eastAsia="仿宋" w:hAnsi="仿宋"/>
          <w:kern w:val="0"/>
          <w:sz w:val="30"/>
          <w:szCs w:val="30"/>
        </w:rPr>
      </w:pPr>
      <w:r>
        <w:rPr>
          <w:rFonts w:ascii="仿宋" w:eastAsia="仿宋" w:hAnsi="仿宋" w:hint="eastAsia"/>
          <w:kern w:val="0"/>
          <w:sz w:val="30"/>
          <w:szCs w:val="30"/>
        </w:rPr>
        <w:t>截止2018年12月31日，本部门共有车辆0辆，其中，</w:t>
      </w:r>
      <w:r>
        <w:rPr>
          <w:rFonts w:ascii="仿宋" w:eastAsia="仿宋" w:hAnsi="仿宋" w:hint="eastAsia"/>
          <w:kern w:val="0"/>
          <w:sz w:val="30"/>
          <w:szCs w:val="30"/>
        </w:rPr>
        <w:lastRenderedPageBreak/>
        <w:t>副部（省）级及以上领导用车0辆、主要领导干部用车0辆、机要通信用车0辆、应急保障用车0辆、执法执勤用车0辆、特种专业技术用车0辆、其他用车0辆，其他用车主要是（略）；单位价值50万元以上通用设备0台（套）；单位价值100万元以上专用设备0台（套）。</w:t>
      </w:r>
    </w:p>
    <w:p w:rsidR="0066687B" w:rsidRDefault="0066687B">
      <w:pPr>
        <w:rPr>
          <w:rFonts w:ascii="仿宋" w:eastAsia="仿宋" w:hAnsi="仿宋"/>
          <w:sz w:val="30"/>
          <w:szCs w:val="30"/>
        </w:rPr>
      </w:pPr>
    </w:p>
    <w:p w:rsidR="0066687B" w:rsidRDefault="0066687B">
      <w:pPr>
        <w:widowControl/>
        <w:spacing w:line="600" w:lineRule="exact"/>
        <w:ind w:firstLine="640"/>
        <w:jc w:val="left"/>
        <w:rPr>
          <w:rFonts w:ascii="宋体" w:hAnsi="宋体"/>
          <w:b/>
          <w:sz w:val="32"/>
          <w:szCs w:val="30"/>
        </w:rPr>
      </w:pPr>
    </w:p>
    <w:p w:rsidR="0066687B" w:rsidRDefault="0066687B">
      <w:pPr>
        <w:widowControl/>
        <w:spacing w:line="600" w:lineRule="exact"/>
        <w:ind w:firstLine="640"/>
        <w:jc w:val="left"/>
        <w:rPr>
          <w:rFonts w:ascii="宋体" w:hAnsi="宋体"/>
          <w:b/>
          <w:sz w:val="32"/>
          <w:szCs w:val="30"/>
        </w:rPr>
      </w:pPr>
    </w:p>
    <w:sectPr w:rsidR="0066687B" w:rsidSect="006668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charset w:val="86"/>
    <w:family w:val="modern"/>
    <w:pitch w:val="default"/>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EB8E8E"/>
    <w:multiLevelType w:val="singleLevel"/>
    <w:tmpl w:val="FDEB8E8E"/>
    <w:lvl w:ilvl="0">
      <w:start w:val="2"/>
      <w:numFmt w:val="chineseCounting"/>
      <w:suff w:val="nothing"/>
      <w:lvlText w:val="%1、"/>
      <w:lvlJc w:val="left"/>
      <w:pPr>
        <w:ind w:left="128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AA1B8B"/>
    <w:rsid w:val="00003DF0"/>
    <w:rsid w:val="000A4ED5"/>
    <w:rsid w:val="000E3E9C"/>
    <w:rsid w:val="0013100A"/>
    <w:rsid w:val="001D26DF"/>
    <w:rsid w:val="002B0495"/>
    <w:rsid w:val="002F67F0"/>
    <w:rsid w:val="0038376E"/>
    <w:rsid w:val="00393E75"/>
    <w:rsid w:val="00426F7F"/>
    <w:rsid w:val="0066687B"/>
    <w:rsid w:val="0068130B"/>
    <w:rsid w:val="006A77E0"/>
    <w:rsid w:val="00761F06"/>
    <w:rsid w:val="008A6728"/>
    <w:rsid w:val="008D53A5"/>
    <w:rsid w:val="009A780C"/>
    <w:rsid w:val="009D3698"/>
    <w:rsid w:val="00B64EEA"/>
    <w:rsid w:val="00BE21C5"/>
    <w:rsid w:val="00C1427F"/>
    <w:rsid w:val="00CD700F"/>
    <w:rsid w:val="00CF3D8F"/>
    <w:rsid w:val="00D44D70"/>
    <w:rsid w:val="00D80610"/>
    <w:rsid w:val="00DA5659"/>
    <w:rsid w:val="00EA2EAA"/>
    <w:rsid w:val="00FF60BA"/>
    <w:rsid w:val="08D244ED"/>
    <w:rsid w:val="0BA80F23"/>
    <w:rsid w:val="1477178A"/>
    <w:rsid w:val="15FE2A7A"/>
    <w:rsid w:val="18AA1B8B"/>
    <w:rsid w:val="276D03C1"/>
    <w:rsid w:val="31A133DC"/>
    <w:rsid w:val="46981F29"/>
    <w:rsid w:val="497C7FC3"/>
    <w:rsid w:val="4A055F70"/>
    <w:rsid w:val="4C4214F2"/>
    <w:rsid w:val="5AC215AF"/>
    <w:rsid w:val="6095136D"/>
    <w:rsid w:val="61D65D37"/>
    <w:rsid w:val="71E018B8"/>
    <w:rsid w:val="74A563C2"/>
    <w:rsid w:val="77C57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87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66687B"/>
    <w:pPr>
      <w:widowControl/>
    </w:pPr>
    <w:rPr>
      <w:kern w:val="0"/>
      <w:szCs w:val="21"/>
    </w:rPr>
  </w:style>
  <w:style w:type="character" w:customStyle="1" w:styleId="font01">
    <w:name w:val="font01"/>
    <w:basedOn w:val="a0"/>
    <w:qFormat/>
    <w:rsid w:val="0066687B"/>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7283</Words>
  <Characters>6281</Characters>
  <Application>Microsoft Office Word</Application>
  <DocSecurity>0</DocSecurity>
  <Lines>52</Lines>
  <Paragraphs>27</Paragraphs>
  <ScaleCrop>false</ScaleCrop>
  <Company/>
  <LinksUpToDate>false</LinksUpToDate>
  <CharactersWithSpaces>13537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50</cp:revision>
  <dcterms:created xsi:type="dcterms:W3CDTF">2019-11-06T06:33:00Z</dcterms:created>
  <dcterms:modified xsi:type="dcterms:W3CDTF">2019-11-18T01:37:00Z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