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eastAsia="黑体"/>
          <w:sz w:val="44"/>
          <w:szCs w:val="36"/>
        </w:rPr>
      </w:pPr>
      <w:r>
        <w:rPr>
          <w:rFonts w:hint="eastAsia" w:ascii="黑体" w:hAnsi="黑体" w:eastAsia="黑体"/>
          <w:sz w:val="44"/>
          <w:szCs w:val="36"/>
          <w:lang w:eastAsia="zh-CN"/>
        </w:rPr>
        <w:t>庐山市市场监督管理局</w:t>
      </w:r>
      <w:r>
        <w:rPr>
          <w:rFonts w:hint="eastAsia" w:ascii="黑体" w:eastAsia="黑体"/>
          <w:sz w:val="44"/>
          <w:szCs w:val="36"/>
        </w:rPr>
        <w:t>2018年度部门决算</w:t>
      </w:r>
    </w:p>
    <w:p>
      <w:pPr>
        <w:spacing w:line="600" w:lineRule="exact"/>
        <w:jc w:val="center"/>
        <w:rPr>
          <w:rFonts w:hint="eastAsia" w:ascii="黑体" w:eastAsia="黑体"/>
          <w:sz w:val="44"/>
          <w:szCs w:val="36"/>
        </w:rPr>
      </w:pPr>
    </w:p>
    <w:p>
      <w:pPr>
        <w:spacing w:line="600" w:lineRule="exact"/>
        <w:jc w:val="center"/>
        <w:rPr>
          <w:rFonts w:hint="eastAsia" w:ascii="黑体" w:eastAsia="黑体"/>
          <w:sz w:val="40"/>
          <w:szCs w:val="36"/>
        </w:rPr>
      </w:pPr>
      <w:r>
        <w:rPr>
          <w:rFonts w:hint="eastAsia" w:ascii="黑体" w:eastAsia="黑体"/>
          <w:sz w:val="40"/>
          <w:szCs w:val="36"/>
        </w:rPr>
        <w:t xml:space="preserve">目    录  </w:t>
      </w:r>
    </w:p>
    <w:p>
      <w:pPr>
        <w:widowControl/>
        <w:spacing w:line="600" w:lineRule="exact"/>
        <w:ind w:firstLine="640"/>
        <w:jc w:val="left"/>
        <w:rPr>
          <w:rFonts w:hint="eastAsia" w:ascii="仿宋_GB2312" w:eastAsia="仿宋_GB2312"/>
          <w:sz w:val="32"/>
          <w:szCs w:val="30"/>
        </w:rPr>
      </w:pPr>
    </w:p>
    <w:p>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sz w:val="32"/>
          <w:szCs w:val="32"/>
          <w:lang w:eastAsia="zh-CN"/>
        </w:rPr>
        <w:t>庐山市市场监督管理局</w:t>
      </w:r>
      <w:r>
        <w:rPr>
          <w:rFonts w:hint="eastAsia" w:ascii="黑体" w:hAnsi="黑体" w:eastAsia="黑体"/>
          <w:b/>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2"/>
          <w:lang w:eastAsia="zh-CN"/>
        </w:rPr>
        <w:t>庐山市市场监管局</w:t>
      </w:r>
      <w:r>
        <w:rPr>
          <w:rFonts w:hint="eastAsia" w:ascii="宋体" w:hAnsi="宋体"/>
          <w:b/>
          <w:sz w:val="32"/>
          <w:szCs w:val="30"/>
        </w:rPr>
        <w:t>概况</w:t>
      </w:r>
    </w:p>
    <w:p>
      <w:pPr>
        <w:ind w:firstLine="630"/>
        <w:jc w:val="center"/>
        <w:rPr>
          <w:rFonts w:hint="eastAsia"/>
          <w:sz w:val="32"/>
          <w:szCs w:val="32"/>
        </w:rPr>
      </w:pP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ind w:firstLine="630"/>
        <w:jc w:val="left"/>
        <w:rPr>
          <w:rFonts w:hint="eastAsia" w:ascii="黑体" w:hAnsi="黑体" w:eastAsia="黑体"/>
          <w:sz w:val="30"/>
          <w:szCs w:val="30"/>
        </w:rPr>
      </w:pPr>
      <w:r>
        <w:rPr>
          <w:rFonts w:hint="eastAsia" w:ascii="黑体" w:hAnsi="黑体" w:eastAsia="黑体"/>
          <w:sz w:val="30"/>
          <w:szCs w:val="30"/>
        </w:rPr>
        <w:t>1、贯彻执行国家、省、市有关市场监督管理及国家食品、药品监督管理的方针、政策和法律、法规，负责全市市场监督管理及产品质量监督管理、食品、药品监督管理有关行政执法工作。　　</w:t>
      </w:r>
    </w:p>
    <w:p>
      <w:pPr>
        <w:ind w:firstLine="630"/>
        <w:jc w:val="left"/>
        <w:rPr>
          <w:rFonts w:hint="eastAsia" w:ascii="黑体" w:hAnsi="黑体" w:eastAsia="黑体"/>
          <w:sz w:val="30"/>
          <w:szCs w:val="30"/>
        </w:rPr>
      </w:pPr>
      <w:r>
        <w:rPr>
          <w:rFonts w:hint="eastAsia" w:ascii="黑体" w:hAnsi="黑体" w:eastAsia="黑体"/>
          <w:sz w:val="30"/>
          <w:szCs w:val="30"/>
        </w:rPr>
        <w:t>2、依法组织管理各类企业、农村合作社、从事经营活动的单位、个人等市场主体的登记注册，核准注册单位名称等登记事项、审核、批准、颁发有关证照并实行监督管理，承担依法查处取缔无照经营的责任。　　　</w:t>
      </w:r>
    </w:p>
    <w:p>
      <w:pPr>
        <w:ind w:firstLine="630"/>
        <w:jc w:val="left"/>
        <w:rPr>
          <w:rFonts w:hint="eastAsia" w:ascii="黑体" w:hAnsi="黑体" w:eastAsia="黑体"/>
          <w:sz w:val="30"/>
          <w:szCs w:val="30"/>
        </w:rPr>
      </w:pPr>
      <w:r>
        <w:rPr>
          <w:rFonts w:hint="eastAsia" w:ascii="黑体" w:hAnsi="黑体" w:eastAsia="黑体"/>
          <w:sz w:val="30"/>
          <w:szCs w:val="30"/>
        </w:rPr>
        <w:t>3、依法组织监督全市市场竟争行为，查处垄断、不正当竟争、走私贩私、传销和变相传销等经济违法违章行为。　　</w:t>
      </w:r>
    </w:p>
    <w:p>
      <w:pPr>
        <w:ind w:firstLine="630"/>
        <w:jc w:val="left"/>
        <w:rPr>
          <w:rFonts w:hint="eastAsia" w:ascii="黑体" w:hAnsi="黑体" w:eastAsia="黑体"/>
          <w:sz w:val="30"/>
          <w:szCs w:val="30"/>
        </w:rPr>
      </w:pPr>
      <w:r>
        <w:rPr>
          <w:rFonts w:hint="eastAsia" w:ascii="黑体" w:hAnsi="黑体" w:eastAsia="黑体"/>
          <w:sz w:val="30"/>
          <w:szCs w:val="30"/>
        </w:rPr>
        <w:t>4、在当地政府的领导下，依法监督管理流通领域商品质量和流通环节食品安全，开展有关消费维权工作，按分工依法查处有关违法违纪行为，指导消费者咨询、申诉、举报受理、处理和网络体系建设等工作，保护经营者、消费者合法权益。　　</w:t>
      </w:r>
    </w:p>
    <w:p>
      <w:pPr>
        <w:ind w:firstLine="630"/>
        <w:jc w:val="left"/>
        <w:rPr>
          <w:rFonts w:hint="eastAsia" w:ascii="黑体" w:hAnsi="黑体" w:eastAsia="黑体"/>
          <w:sz w:val="30"/>
          <w:szCs w:val="30"/>
        </w:rPr>
      </w:pPr>
      <w:r>
        <w:rPr>
          <w:rFonts w:hint="eastAsia" w:ascii="黑体" w:hAnsi="黑体" w:eastAsia="黑体"/>
          <w:sz w:val="30"/>
          <w:szCs w:val="30"/>
        </w:rPr>
        <w:t>5、依法对全市各类市场经营秩序实施规范管理与监督。　　</w:t>
      </w:r>
    </w:p>
    <w:p>
      <w:pPr>
        <w:ind w:firstLine="630"/>
        <w:jc w:val="left"/>
        <w:rPr>
          <w:rFonts w:hint="eastAsia" w:ascii="黑体" w:hAnsi="黑体" w:eastAsia="黑体"/>
          <w:sz w:val="30"/>
          <w:szCs w:val="30"/>
        </w:rPr>
      </w:pPr>
      <w:r>
        <w:rPr>
          <w:rFonts w:hint="eastAsia" w:ascii="黑体" w:hAnsi="黑体" w:eastAsia="黑体"/>
          <w:sz w:val="30"/>
          <w:szCs w:val="30"/>
        </w:rPr>
        <w:t>6、依法组织监督管理全市经纪人、经纪机构及经纪活动。　　</w:t>
      </w:r>
    </w:p>
    <w:p>
      <w:pPr>
        <w:ind w:firstLine="630"/>
        <w:jc w:val="left"/>
        <w:rPr>
          <w:rFonts w:hint="eastAsia" w:ascii="黑体" w:hAnsi="黑体" w:eastAsia="黑体"/>
          <w:sz w:val="30"/>
          <w:szCs w:val="30"/>
        </w:rPr>
      </w:pPr>
      <w:r>
        <w:rPr>
          <w:rFonts w:hint="eastAsia" w:ascii="黑体" w:hAnsi="黑体" w:eastAsia="黑体"/>
          <w:sz w:val="30"/>
          <w:szCs w:val="30"/>
        </w:rPr>
        <w:t>7、依法实施合同行政监督管理，负责管理动产抵押登记，组织监督管理拍卖行为，依法查处合同欺诈等违法行为。　　</w:t>
      </w:r>
    </w:p>
    <w:p>
      <w:pPr>
        <w:ind w:firstLine="630"/>
        <w:jc w:val="left"/>
        <w:rPr>
          <w:rFonts w:hint="eastAsia" w:ascii="黑体" w:hAnsi="黑体" w:eastAsia="黑体"/>
          <w:sz w:val="30"/>
          <w:szCs w:val="30"/>
        </w:rPr>
      </w:pPr>
      <w:r>
        <w:rPr>
          <w:rFonts w:hint="eastAsia" w:ascii="黑体" w:hAnsi="黑体" w:eastAsia="黑体"/>
          <w:sz w:val="30"/>
          <w:szCs w:val="30"/>
        </w:rPr>
        <w:t>8、指导广告业发展，负责特殊标志、官方标志的保护。　　</w:t>
      </w:r>
    </w:p>
    <w:p>
      <w:pPr>
        <w:ind w:firstLine="630"/>
        <w:jc w:val="left"/>
        <w:rPr>
          <w:rFonts w:hint="eastAsia" w:ascii="黑体" w:hAnsi="黑体" w:eastAsia="黑体"/>
          <w:sz w:val="30"/>
          <w:szCs w:val="30"/>
        </w:rPr>
      </w:pPr>
      <w:r>
        <w:rPr>
          <w:rFonts w:hint="eastAsia" w:ascii="黑体" w:hAnsi="黑体" w:eastAsia="黑体"/>
          <w:sz w:val="30"/>
          <w:szCs w:val="30"/>
        </w:rPr>
        <w:t>9、依法组织管理商标工作，负责查处商标违法违纪行为。</w:t>
      </w:r>
    </w:p>
    <w:p>
      <w:pPr>
        <w:ind w:firstLine="630"/>
        <w:jc w:val="left"/>
        <w:rPr>
          <w:rFonts w:hint="eastAsia" w:ascii="黑体" w:hAnsi="黑体" w:eastAsia="黑体"/>
          <w:sz w:val="30"/>
          <w:szCs w:val="30"/>
        </w:rPr>
      </w:pPr>
      <w:r>
        <w:rPr>
          <w:rFonts w:hint="eastAsia" w:ascii="黑体" w:hAnsi="黑体" w:eastAsia="黑体"/>
          <w:sz w:val="30"/>
          <w:szCs w:val="30"/>
        </w:rPr>
        <w:t>10、依法组织实施企业、个体工商户、商品交易市场主体信用分类管理，为政府决策和社会公众提供信息服务。</w:t>
      </w:r>
    </w:p>
    <w:p>
      <w:pPr>
        <w:ind w:firstLine="630"/>
        <w:jc w:val="left"/>
        <w:rPr>
          <w:rFonts w:hint="eastAsia" w:ascii="黑体" w:hAnsi="黑体" w:eastAsia="黑体"/>
          <w:sz w:val="30"/>
          <w:szCs w:val="30"/>
        </w:rPr>
      </w:pPr>
      <w:r>
        <w:rPr>
          <w:rFonts w:hint="eastAsia" w:ascii="黑体" w:hAnsi="黑体" w:eastAsia="黑体"/>
          <w:sz w:val="30"/>
          <w:szCs w:val="30"/>
        </w:rPr>
        <w:t>11、依法组织监督全市各类企业法人及其分支机构、个人合伙和个体工商户的生产经营活动。</w:t>
      </w:r>
    </w:p>
    <w:p>
      <w:pPr>
        <w:ind w:firstLine="630"/>
        <w:jc w:val="left"/>
        <w:rPr>
          <w:rFonts w:hint="eastAsia" w:ascii="黑体" w:hAnsi="黑体" w:eastAsia="黑体"/>
          <w:sz w:val="30"/>
          <w:szCs w:val="30"/>
        </w:rPr>
      </w:pPr>
      <w:r>
        <w:rPr>
          <w:rFonts w:hint="eastAsia" w:ascii="黑体" w:hAnsi="黑体" w:eastAsia="黑体"/>
          <w:sz w:val="30"/>
          <w:szCs w:val="30"/>
        </w:rPr>
        <w:t>12、指导挂靠的协会、学会等社会团体的工作。</w:t>
      </w:r>
    </w:p>
    <w:p>
      <w:pPr>
        <w:ind w:firstLine="630"/>
        <w:jc w:val="left"/>
        <w:rPr>
          <w:rFonts w:hint="eastAsia" w:ascii="黑体" w:hAnsi="黑体" w:eastAsia="黑体"/>
          <w:sz w:val="30"/>
          <w:szCs w:val="30"/>
        </w:rPr>
      </w:pPr>
      <w:r>
        <w:rPr>
          <w:rFonts w:hint="eastAsia" w:ascii="黑体" w:hAnsi="黑体" w:eastAsia="黑体"/>
          <w:sz w:val="30"/>
          <w:szCs w:val="30"/>
        </w:rPr>
        <w:t>13、承担全市产品质量诚信体系建设责任，负责质量宏观管理工作，组织实施国家质量振兴纲要，推进名牌发展战略，会同有关部门组织实施重大工程设备质量监理制度，参与较大产品质量事故调查，实施缺陷产品和不安全食品召回制度，监督管理产品防伪工作。　　</w:t>
      </w:r>
    </w:p>
    <w:p>
      <w:pPr>
        <w:ind w:firstLine="630"/>
        <w:jc w:val="left"/>
        <w:rPr>
          <w:rFonts w:hint="eastAsia" w:ascii="黑体" w:hAnsi="黑体" w:eastAsia="黑体"/>
          <w:sz w:val="30"/>
          <w:szCs w:val="30"/>
        </w:rPr>
      </w:pPr>
      <w:r>
        <w:rPr>
          <w:rFonts w:hint="eastAsia" w:ascii="黑体" w:hAnsi="黑体" w:eastAsia="黑体"/>
          <w:sz w:val="30"/>
          <w:szCs w:val="30"/>
        </w:rPr>
        <w:t>　14、负责产品质量安全监督工作，负责产品质量安全强制检验、风险监控、监督抽查、地理标志产品保护工作，负责工业产品生产许可证管理工作，组织开展产品质量安全专项整治工作，依法查处产品质量违法行为，打击假冒伪劣违法活动；组织协调辖区内有关专项打假活动。　　</w:t>
      </w:r>
    </w:p>
    <w:p>
      <w:pPr>
        <w:ind w:firstLine="630"/>
        <w:jc w:val="left"/>
        <w:rPr>
          <w:rFonts w:hint="eastAsia" w:ascii="黑体" w:hAnsi="黑体" w:eastAsia="黑体"/>
          <w:sz w:val="30"/>
          <w:szCs w:val="30"/>
        </w:rPr>
      </w:pPr>
      <w:r>
        <w:rPr>
          <w:rFonts w:hint="eastAsia" w:ascii="黑体" w:hAnsi="黑体" w:eastAsia="黑体"/>
          <w:sz w:val="30"/>
          <w:szCs w:val="30"/>
        </w:rPr>
        <w:t>15、负责全市食品、食品相关产品生产加工环节的质量安全监督管理工作。　　</w:t>
      </w:r>
    </w:p>
    <w:p>
      <w:pPr>
        <w:ind w:firstLine="630"/>
        <w:jc w:val="left"/>
        <w:rPr>
          <w:rFonts w:hint="eastAsia" w:ascii="黑体" w:hAnsi="黑体" w:eastAsia="黑体"/>
          <w:sz w:val="30"/>
          <w:szCs w:val="30"/>
        </w:rPr>
      </w:pPr>
      <w:r>
        <w:rPr>
          <w:rFonts w:hint="eastAsia" w:ascii="黑体" w:hAnsi="黑体" w:eastAsia="黑体"/>
          <w:sz w:val="30"/>
          <w:szCs w:val="30"/>
        </w:rPr>
        <w:t>16、统一管理全市标准化工作，贯彻执行国家标准和行业标准，对标准的实施进行监督检查，组织制定、修订、审批、发布县级推荐性农业地方标准规范，管理企业标准备案，负责管理采用国际标准和国外先进标准工作，监督标准的贯彻执行，管理全</w:t>
      </w:r>
      <w:r>
        <w:rPr>
          <w:rFonts w:hint="eastAsia" w:ascii="黑体" w:hAnsi="黑体" w:eastAsia="黑体"/>
          <w:sz w:val="30"/>
          <w:szCs w:val="30"/>
          <w:lang w:eastAsia="zh-CN"/>
        </w:rPr>
        <w:t>市</w:t>
      </w:r>
      <w:r>
        <w:rPr>
          <w:rFonts w:hint="eastAsia" w:ascii="黑体" w:hAnsi="黑体" w:eastAsia="黑体"/>
          <w:sz w:val="30"/>
          <w:szCs w:val="30"/>
        </w:rPr>
        <w:t>组织机构代码和商品条码工作。　　</w:t>
      </w:r>
    </w:p>
    <w:p>
      <w:pPr>
        <w:ind w:firstLine="630"/>
        <w:jc w:val="left"/>
        <w:rPr>
          <w:rFonts w:hint="eastAsia" w:ascii="黑体" w:hAnsi="黑体" w:eastAsia="黑体"/>
          <w:sz w:val="30"/>
          <w:szCs w:val="30"/>
        </w:rPr>
      </w:pPr>
      <w:r>
        <w:rPr>
          <w:rFonts w:hint="eastAsia" w:ascii="黑体" w:hAnsi="黑体" w:eastAsia="黑体"/>
          <w:sz w:val="30"/>
          <w:szCs w:val="30"/>
        </w:rPr>
        <w:t>17、统一管理计量工作，推行法定计量单位和国家计量制度，组织实施量值传递和强制检定以及计量校准工作，负责规范和监督商品量和市场计量行为。　　</w:t>
      </w:r>
    </w:p>
    <w:p>
      <w:pPr>
        <w:ind w:firstLine="630"/>
        <w:jc w:val="left"/>
        <w:rPr>
          <w:rFonts w:hint="eastAsia" w:ascii="黑体" w:hAnsi="黑体" w:eastAsia="黑体"/>
          <w:sz w:val="30"/>
          <w:szCs w:val="30"/>
        </w:rPr>
      </w:pPr>
      <w:r>
        <w:rPr>
          <w:rFonts w:hint="eastAsia" w:ascii="黑体" w:hAnsi="黑体" w:eastAsia="黑体"/>
          <w:sz w:val="30"/>
          <w:szCs w:val="30"/>
        </w:rPr>
        <w:t>18、统一管理和监督认证认可工作，依法监督和规范认证市场，依法对为社会出具公证数据的技术机构监督管理。　　</w:t>
      </w:r>
    </w:p>
    <w:p>
      <w:pPr>
        <w:ind w:firstLine="630"/>
        <w:jc w:val="left"/>
        <w:rPr>
          <w:rFonts w:hint="eastAsia" w:ascii="黑体" w:hAnsi="黑体" w:eastAsia="黑体"/>
          <w:sz w:val="30"/>
          <w:szCs w:val="30"/>
        </w:rPr>
      </w:pPr>
      <w:r>
        <w:rPr>
          <w:rFonts w:hint="eastAsia" w:ascii="黑体" w:hAnsi="黑体" w:eastAsia="黑体"/>
          <w:sz w:val="30"/>
          <w:szCs w:val="30"/>
        </w:rPr>
        <w:t>　19、承担综合管理特种设备安全监察、监督工作的责任，监督管理高耗能特种设备节能工作。　　</w:t>
      </w:r>
    </w:p>
    <w:p>
      <w:pPr>
        <w:ind w:firstLine="630"/>
        <w:jc w:val="left"/>
        <w:rPr>
          <w:rFonts w:hint="eastAsia" w:ascii="黑体" w:hAnsi="黑体" w:eastAsia="黑体"/>
          <w:sz w:val="30"/>
          <w:szCs w:val="30"/>
        </w:rPr>
      </w:pPr>
      <w:r>
        <w:rPr>
          <w:rFonts w:hint="eastAsia" w:ascii="黑体" w:hAnsi="黑体" w:eastAsia="黑体"/>
          <w:sz w:val="30"/>
          <w:szCs w:val="30"/>
        </w:rPr>
        <w:t>20、组织实施质量技术监督科技发展和技术机构建设规划。</w:t>
      </w:r>
      <w:r>
        <w:rPr>
          <w:rFonts w:hint="eastAsia" w:ascii="黑体" w:hAnsi="黑体" w:eastAsia="黑体"/>
          <w:sz w:val="30"/>
          <w:szCs w:val="30"/>
        </w:rPr>
        <w:br w:type="textWrapping"/>
      </w:r>
      <w:r>
        <w:rPr>
          <w:rFonts w:hint="eastAsia" w:ascii="黑体" w:hAnsi="黑体" w:eastAsia="黑体"/>
          <w:sz w:val="30"/>
          <w:szCs w:val="30"/>
        </w:rPr>
        <w:t xml:space="preserve">    21、依法行使食品、保健品、化妆品安全管理的综合监督职能，组织协调有关部门承担的食品、保健品、化妆品安全监督工作。</w:t>
      </w:r>
      <w:r>
        <w:rPr>
          <w:rFonts w:hint="eastAsia" w:ascii="黑体" w:hAnsi="黑体" w:eastAsia="黑体"/>
          <w:sz w:val="30"/>
          <w:szCs w:val="30"/>
        </w:rPr>
        <w:br w:type="textWrapping"/>
      </w:r>
      <w:r>
        <w:rPr>
          <w:rFonts w:hint="eastAsia" w:ascii="黑体" w:hAnsi="黑体" w:eastAsia="黑体"/>
          <w:sz w:val="30"/>
          <w:szCs w:val="30"/>
        </w:rPr>
        <w:t xml:space="preserve">   22、依法组织开展食品、保健品、化妆品安全重大事故的查处；根据授权，组织协调开展全市食品、保健品、化妆品安全的专项执法监督活动；组织协调和配合有关部门开展食品、保健品、化妆品安全重大事故应急救援工作。</w:t>
      </w:r>
      <w:r>
        <w:rPr>
          <w:rFonts w:hint="eastAsia" w:ascii="黑体" w:hAnsi="黑体" w:eastAsia="黑体"/>
          <w:sz w:val="30"/>
          <w:szCs w:val="30"/>
        </w:rPr>
        <w:br w:type="textWrapping"/>
      </w:r>
      <w:r>
        <w:rPr>
          <w:rFonts w:hint="eastAsia" w:ascii="黑体" w:hAnsi="黑体" w:eastAsia="黑体"/>
          <w:sz w:val="30"/>
          <w:szCs w:val="30"/>
        </w:rPr>
        <w:t xml:space="preserve">  23、依法对药品生产、经营和使用环节进行监督管理，查处制售假劣药品以及其他违法违规行为。</w:t>
      </w:r>
      <w:r>
        <w:rPr>
          <w:rFonts w:hint="eastAsia" w:ascii="黑体" w:hAnsi="黑体" w:eastAsia="黑体"/>
          <w:sz w:val="30"/>
          <w:szCs w:val="30"/>
        </w:rPr>
        <w:br w:type="textWrapping"/>
      </w:r>
      <w:r>
        <w:rPr>
          <w:rFonts w:hint="eastAsia" w:ascii="黑体" w:hAnsi="黑体" w:eastAsia="黑体"/>
          <w:sz w:val="30"/>
          <w:szCs w:val="30"/>
        </w:rPr>
        <w:t xml:space="preserve">   24、贯彻实施药品流通的管理制度和办法，初审药品零售企业资格。</w:t>
      </w:r>
      <w:r>
        <w:rPr>
          <w:rFonts w:hint="eastAsia" w:ascii="黑体" w:hAnsi="黑体" w:eastAsia="黑体"/>
          <w:sz w:val="30"/>
          <w:szCs w:val="30"/>
        </w:rPr>
        <w:br w:type="textWrapping"/>
      </w:r>
      <w:r>
        <w:rPr>
          <w:rFonts w:hint="eastAsia" w:ascii="黑体" w:hAnsi="黑体" w:eastAsia="黑体"/>
          <w:sz w:val="30"/>
          <w:szCs w:val="30"/>
        </w:rPr>
        <w:t xml:space="preserve">   25、贯彻执行国家医疗器械管理法规、规章，依法对医疗器械的研究、生产、流通和使用环节进行监督管理，查处其违法行为。</w:t>
      </w:r>
      <w:r>
        <w:rPr>
          <w:rFonts w:hint="eastAsia" w:ascii="黑体" w:hAnsi="黑体" w:eastAsia="黑体"/>
          <w:sz w:val="30"/>
          <w:szCs w:val="30"/>
        </w:rPr>
        <w:br w:type="textWrapping"/>
      </w:r>
      <w:r>
        <w:rPr>
          <w:rFonts w:hint="eastAsia" w:ascii="黑体" w:hAnsi="黑体" w:eastAsia="黑体"/>
          <w:sz w:val="30"/>
          <w:szCs w:val="30"/>
        </w:rPr>
        <w:t xml:space="preserve">   26、承办市政府和上级主管部门交办的其他工作。</w:t>
      </w:r>
    </w:p>
    <w:p>
      <w:pPr>
        <w:ind w:firstLine="630"/>
        <w:jc w:val="left"/>
        <w:rPr>
          <w:rFonts w:hint="eastAsia" w:ascii="仿宋" w:hAnsi="仿宋" w:eastAsia="仿宋"/>
          <w:sz w:val="30"/>
          <w:szCs w:val="30"/>
        </w:rPr>
      </w:pPr>
      <w:r>
        <w:rPr>
          <w:rFonts w:hint="eastAsia" w:ascii="黑体" w:hAnsi="黑体" w:eastAsia="黑体"/>
          <w:sz w:val="30"/>
          <w:szCs w:val="30"/>
        </w:rPr>
        <w:t>二、部门基本情况</w:t>
      </w:r>
    </w:p>
    <w:p>
      <w:pPr>
        <w:ind w:firstLine="630"/>
        <w:jc w:val="left"/>
        <w:rPr>
          <w:rFonts w:hint="eastAsia" w:ascii="仿宋" w:hAnsi="仿宋" w:eastAsia="仿宋"/>
          <w:sz w:val="30"/>
          <w:szCs w:val="30"/>
        </w:rPr>
      </w:pPr>
      <w:r>
        <w:rPr>
          <w:rFonts w:hint="eastAsia" w:ascii="仿宋" w:hAnsi="仿宋" w:eastAsia="仿宋"/>
          <w:sz w:val="30"/>
          <w:szCs w:val="30"/>
        </w:rPr>
        <w:t xml:space="preserve">本部门2018年年末编制人数 </w:t>
      </w:r>
      <w:r>
        <w:rPr>
          <w:rFonts w:hint="eastAsia" w:ascii="仿宋" w:hAnsi="仿宋" w:eastAsia="仿宋"/>
          <w:sz w:val="30"/>
          <w:szCs w:val="30"/>
          <w:lang w:val="en-US" w:eastAsia="zh-CN"/>
        </w:rPr>
        <w:t>121</w:t>
      </w:r>
      <w:r>
        <w:rPr>
          <w:rFonts w:hint="eastAsia" w:ascii="仿宋" w:hAnsi="仿宋" w:eastAsia="仿宋"/>
          <w:sz w:val="30"/>
          <w:szCs w:val="30"/>
        </w:rPr>
        <w:t xml:space="preserve">  人，其中行政编制  </w:t>
      </w:r>
      <w:r>
        <w:rPr>
          <w:rFonts w:hint="eastAsia" w:ascii="仿宋" w:hAnsi="仿宋" w:eastAsia="仿宋"/>
          <w:sz w:val="30"/>
          <w:szCs w:val="30"/>
          <w:lang w:val="en-US" w:eastAsia="zh-CN"/>
        </w:rPr>
        <w:t>68</w:t>
      </w:r>
      <w:r>
        <w:rPr>
          <w:rFonts w:hint="eastAsia" w:ascii="仿宋" w:hAnsi="仿宋" w:eastAsia="仿宋"/>
          <w:sz w:val="30"/>
          <w:szCs w:val="30"/>
        </w:rPr>
        <w:t xml:space="preserve">人，事业编制  </w:t>
      </w:r>
      <w:r>
        <w:rPr>
          <w:rFonts w:hint="eastAsia" w:ascii="仿宋" w:hAnsi="仿宋" w:eastAsia="仿宋"/>
          <w:sz w:val="30"/>
          <w:szCs w:val="30"/>
          <w:lang w:val="en-US" w:eastAsia="zh-CN"/>
        </w:rPr>
        <w:t>53</w:t>
      </w:r>
      <w:r>
        <w:rPr>
          <w:rFonts w:hint="eastAsia" w:ascii="仿宋" w:hAnsi="仿宋" w:eastAsia="仿宋"/>
          <w:sz w:val="30"/>
          <w:szCs w:val="30"/>
        </w:rPr>
        <w:t xml:space="preserve"> 人；年末实有人数  </w:t>
      </w:r>
      <w:r>
        <w:rPr>
          <w:rFonts w:hint="eastAsia" w:ascii="仿宋" w:hAnsi="仿宋" w:eastAsia="仿宋"/>
          <w:sz w:val="30"/>
          <w:szCs w:val="30"/>
          <w:lang w:val="en-US" w:eastAsia="zh-CN"/>
        </w:rPr>
        <w:t>84</w:t>
      </w:r>
      <w:r>
        <w:rPr>
          <w:rFonts w:hint="eastAsia" w:ascii="仿宋" w:hAnsi="仿宋" w:eastAsia="仿宋"/>
          <w:sz w:val="30"/>
          <w:szCs w:val="30"/>
        </w:rPr>
        <w:t xml:space="preserve"> 人，其中在职人员 </w:t>
      </w:r>
      <w:r>
        <w:rPr>
          <w:rFonts w:hint="eastAsia" w:ascii="仿宋" w:hAnsi="仿宋" w:eastAsia="仿宋"/>
          <w:sz w:val="30"/>
          <w:szCs w:val="30"/>
          <w:lang w:val="en-US" w:eastAsia="zh-CN"/>
        </w:rPr>
        <w:t>84</w:t>
      </w:r>
      <w:r>
        <w:rPr>
          <w:rFonts w:hint="eastAsia" w:ascii="仿宋" w:hAnsi="仿宋" w:eastAsia="仿宋"/>
          <w:sz w:val="30"/>
          <w:szCs w:val="30"/>
        </w:rPr>
        <w:t xml:space="preserve"> 人，离休人员 </w:t>
      </w:r>
      <w:r>
        <w:rPr>
          <w:rFonts w:hint="eastAsia" w:ascii="仿宋" w:hAnsi="仿宋" w:eastAsia="仿宋"/>
          <w:sz w:val="30"/>
          <w:szCs w:val="30"/>
          <w:lang w:val="en-US" w:eastAsia="zh-CN"/>
        </w:rPr>
        <w:t>0</w:t>
      </w:r>
      <w:r>
        <w:rPr>
          <w:rFonts w:hint="eastAsia" w:ascii="仿宋" w:hAnsi="仿宋" w:eastAsia="仿宋"/>
          <w:sz w:val="30"/>
          <w:szCs w:val="30"/>
        </w:rPr>
        <w:t xml:space="preserve"> 人，退休人员 </w:t>
      </w:r>
      <w:r>
        <w:rPr>
          <w:rFonts w:hint="eastAsia" w:ascii="仿宋" w:hAnsi="仿宋" w:eastAsia="仿宋"/>
          <w:sz w:val="30"/>
          <w:szCs w:val="30"/>
          <w:lang w:val="en-US" w:eastAsia="zh-CN"/>
        </w:rPr>
        <w:t>0</w:t>
      </w:r>
      <w:r>
        <w:rPr>
          <w:rFonts w:hint="eastAsia" w:ascii="仿宋" w:hAnsi="仿宋" w:eastAsia="仿宋"/>
          <w:sz w:val="30"/>
          <w:szCs w:val="30"/>
        </w:rPr>
        <w:t xml:space="preserve">  人；年末学生人数 </w:t>
      </w:r>
      <w:r>
        <w:rPr>
          <w:rFonts w:hint="eastAsia" w:ascii="仿宋" w:hAnsi="仿宋" w:eastAsia="仿宋"/>
          <w:sz w:val="30"/>
          <w:szCs w:val="30"/>
          <w:lang w:val="en-US" w:eastAsia="zh-CN"/>
        </w:rPr>
        <w:t>0</w:t>
      </w:r>
      <w:r>
        <w:rPr>
          <w:rFonts w:hint="eastAsia" w:ascii="仿宋" w:hAnsi="仿宋" w:eastAsia="仿宋"/>
          <w:sz w:val="30"/>
          <w:szCs w:val="30"/>
        </w:rPr>
        <w:t xml:space="preserve">  人。</w:t>
      </w:r>
    </w:p>
    <w:p>
      <w:pPr>
        <w:ind w:firstLine="630"/>
        <w:jc w:val="left"/>
        <w:rPr>
          <w:rFonts w:hint="eastAsia" w:ascii="仿宋" w:hAnsi="仿宋" w:eastAsia="仿宋"/>
          <w:sz w:val="30"/>
          <w:szCs w:val="30"/>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第二部分  2018年度部门决算表</w:t>
      </w:r>
    </w:p>
    <w:tbl>
      <w:tblPr>
        <w:tblStyle w:val="2"/>
        <w:tblW w:w="8368" w:type="dxa"/>
        <w:tblInd w:w="0" w:type="dxa"/>
        <w:shd w:val="clear" w:color="auto" w:fill="auto"/>
        <w:tblLayout w:type="fixed"/>
        <w:tblCellMar>
          <w:top w:w="0" w:type="dxa"/>
          <w:left w:w="0" w:type="dxa"/>
          <w:bottom w:w="0" w:type="dxa"/>
          <w:right w:w="0" w:type="dxa"/>
        </w:tblCellMar>
      </w:tblPr>
      <w:tblGrid>
        <w:gridCol w:w="2248"/>
        <w:gridCol w:w="450"/>
        <w:gridCol w:w="1560"/>
        <w:gridCol w:w="2040"/>
        <w:gridCol w:w="495"/>
        <w:gridCol w:w="1575"/>
      </w:tblGrid>
      <w:tr>
        <w:tblPrEx>
          <w:shd w:val="clear" w:color="auto" w:fill="auto"/>
          <w:tblLayout w:type="fixed"/>
          <w:tblCellMar>
            <w:top w:w="0" w:type="dxa"/>
            <w:left w:w="0" w:type="dxa"/>
            <w:bottom w:w="0" w:type="dxa"/>
            <w:right w:w="0" w:type="dxa"/>
          </w:tblCellMar>
        </w:tblPrEx>
        <w:trPr>
          <w:trHeight w:val="540" w:hRule="atLeast"/>
        </w:trPr>
        <w:tc>
          <w:tcPr>
            <w:tcW w:w="8368" w:type="dxa"/>
            <w:gridSpan w:val="6"/>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44"/>
                <w:szCs w:val="44"/>
                <w:u w:val="none"/>
                <w:lang w:val="en-US" w:eastAsia="zh-CN" w:bidi="ar"/>
              </w:rPr>
              <w:t>收入支出决算总表</w:t>
            </w:r>
          </w:p>
        </w:tc>
      </w:tr>
      <w:tr>
        <w:tblPrEx>
          <w:tblLayout w:type="fixed"/>
          <w:tblCellMar>
            <w:top w:w="0" w:type="dxa"/>
            <w:left w:w="0" w:type="dxa"/>
            <w:bottom w:w="0" w:type="dxa"/>
            <w:right w:w="0" w:type="dxa"/>
          </w:tblCellMar>
        </w:tblPrEx>
        <w:trPr>
          <w:trHeight w:val="297" w:hRule="atLeast"/>
        </w:trPr>
        <w:tc>
          <w:tcPr>
            <w:tcW w:w="2248"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5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6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04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9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75"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公开</w:t>
            </w:r>
            <w:r>
              <w:rPr>
                <w:rFonts w:hint="eastAsia" w:ascii="宋体" w:hAnsi="宋体" w:eastAsia="宋体" w:cs="宋体"/>
                <w:i w:val="0"/>
                <w:color w:val="000000"/>
                <w:kern w:val="0"/>
                <w:sz w:val="20"/>
                <w:szCs w:val="20"/>
                <w:u w:val="none"/>
                <w:lang w:val="en-US" w:eastAsia="zh-CN" w:bidi="ar"/>
              </w:rPr>
              <w:t>01表</w:t>
            </w:r>
          </w:p>
        </w:tc>
      </w:tr>
      <w:tr>
        <w:tblPrEx>
          <w:tblLayout w:type="fixed"/>
          <w:tblCellMar>
            <w:top w:w="0" w:type="dxa"/>
            <w:left w:w="0" w:type="dxa"/>
            <w:bottom w:w="0" w:type="dxa"/>
            <w:right w:w="0" w:type="dxa"/>
          </w:tblCellMar>
        </w:tblPrEx>
        <w:trPr>
          <w:trHeight w:val="429" w:hRule="atLeast"/>
        </w:trPr>
        <w:tc>
          <w:tcPr>
            <w:tcW w:w="2698"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编制单位：庐山市市场和质量监督管理局</w:t>
            </w:r>
          </w:p>
        </w:tc>
        <w:tc>
          <w:tcPr>
            <w:tcW w:w="3600" w:type="dxa"/>
            <w:gridSpan w:val="2"/>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49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75"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金额单位：元</w:t>
            </w:r>
          </w:p>
        </w:tc>
      </w:tr>
      <w:tr>
        <w:tblPrEx>
          <w:tblLayout w:type="fixed"/>
          <w:tblCellMar>
            <w:top w:w="0" w:type="dxa"/>
            <w:left w:w="0" w:type="dxa"/>
            <w:bottom w:w="0" w:type="dxa"/>
            <w:right w:w="0" w:type="dxa"/>
          </w:tblCellMar>
        </w:tblPrEx>
        <w:trPr>
          <w:trHeight w:val="308" w:hRule="atLeast"/>
        </w:trPr>
        <w:tc>
          <w:tcPr>
            <w:tcW w:w="4258" w:type="dxa"/>
            <w:gridSpan w:val="3"/>
            <w:tcBorders>
              <w:top w:val="single" w:color="000000" w:sz="4" w:space="0"/>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4110" w:type="dxa"/>
            <w:gridSpan w:val="3"/>
            <w:tcBorders>
              <w:top w:val="single" w:color="000000" w:sz="4" w:space="0"/>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    目</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项目（按功能分类）</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    次</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    次</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2</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一、财政拨款收入</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12,175,509.08</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8,748,770.70</w:t>
            </w:r>
          </w:p>
        </w:tc>
      </w:tr>
      <w:tr>
        <w:tblPrEx>
          <w:tblLayout w:type="fixed"/>
          <w:tblCellMar>
            <w:top w:w="0" w:type="dxa"/>
            <w:left w:w="0" w:type="dxa"/>
            <w:bottom w:w="0" w:type="dxa"/>
            <w:right w:w="0" w:type="dxa"/>
          </w:tblCellMar>
        </w:tblPrEx>
        <w:trPr>
          <w:trHeight w:val="384"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其中：政府性基金预算财政拨款</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二、上级补助收入</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三、事业收入</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四、经营收入</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五、附属单位上缴收入</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六、其他收入</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七、文化体育与传媒支出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39"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1,034,132.40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九、医疗卫生与计划生育支出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954,176.64</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十四、资源勘探信息等支出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十八、国土海洋气象等支出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二十一、其他支出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二十二、债务还本支出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二十三、债务付息支出</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12,175,509.08</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10,737,079.74</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用事业基金弥补收支差额</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结余分配</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年初结转和结余</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4,701,861.99</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年末结转和结余</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6,140,291.33</w:t>
            </w:r>
          </w:p>
        </w:tc>
      </w:tr>
      <w:tr>
        <w:tblPrEx>
          <w:tblLayout w:type="fixed"/>
          <w:tblCellMar>
            <w:top w:w="0" w:type="dxa"/>
            <w:left w:w="0" w:type="dxa"/>
            <w:bottom w:w="0" w:type="dxa"/>
            <w:right w:w="0" w:type="dxa"/>
          </w:tblCellMar>
        </w:tblPrEx>
        <w:trPr>
          <w:trHeight w:val="308" w:hRule="atLeast"/>
        </w:trPr>
        <w:tc>
          <w:tcPr>
            <w:tcW w:w="2248"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5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16,877,371.07</w:t>
            </w:r>
          </w:p>
        </w:tc>
        <w:tc>
          <w:tcPr>
            <w:tcW w:w="20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5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16,877,371.07</w:t>
            </w:r>
          </w:p>
        </w:tc>
      </w:tr>
    </w:tbl>
    <w:p>
      <w:pPr>
        <w:widowControl/>
        <w:spacing w:line="600" w:lineRule="exact"/>
        <w:jc w:val="left"/>
        <w:rPr>
          <w:rFonts w:hint="eastAsia" w:ascii="宋体" w:hAnsi="宋体"/>
          <w:b w:val="0"/>
          <w:bCs/>
          <w:sz w:val="20"/>
          <w:szCs w:val="20"/>
          <w:lang w:eastAsia="zh-CN"/>
        </w:rPr>
      </w:pPr>
      <w:r>
        <w:rPr>
          <w:rFonts w:hint="eastAsia" w:ascii="宋体" w:hAnsi="宋体"/>
          <w:b w:val="0"/>
          <w:bCs/>
          <w:sz w:val="20"/>
          <w:szCs w:val="20"/>
          <w:lang w:eastAsia="zh-CN"/>
        </w:rPr>
        <w:t>注：本表反映部门本年度的总收支和年末结转结余情况。</w:t>
      </w:r>
    </w:p>
    <w:p>
      <w:pPr>
        <w:widowControl/>
        <w:spacing w:line="600" w:lineRule="exact"/>
        <w:jc w:val="left"/>
        <w:rPr>
          <w:rFonts w:hint="eastAsia" w:ascii="宋体" w:hAnsi="宋体"/>
          <w:b w:val="0"/>
          <w:bCs/>
          <w:sz w:val="20"/>
          <w:szCs w:val="20"/>
          <w:lang w:eastAsia="zh-CN"/>
        </w:rPr>
      </w:pPr>
    </w:p>
    <w:p>
      <w:pPr>
        <w:widowControl/>
        <w:spacing w:line="600" w:lineRule="exact"/>
        <w:jc w:val="left"/>
        <w:rPr>
          <w:rFonts w:hint="eastAsia" w:ascii="宋体" w:hAnsi="宋体"/>
          <w:b w:val="0"/>
          <w:bCs/>
          <w:sz w:val="20"/>
          <w:szCs w:val="20"/>
          <w:lang w:eastAsia="zh-CN"/>
        </w:rPr>
      </w:pPr>
    </w:p>
    <w:p>
      <w:pPr>
        <w:widowControl/>
        <w:spacing w:line="600" w:lineRule="exact"/>
        <w:jc w:val="left"/>
        <w:rPr>
          <w:rFonts w:hint="eastAsia" w:ascii="宋体" w:hAnsi="宋体"/>
          <w:b w:val="0"/>
          <w:bCs/>
          <w:sz w:val="20"/>
          <w:szCs w:val="20"/>
          <w:lang w:eastAsia="zh-CN"/>
        </w:rPr>
      </w:pPr>
    </w:p>
    <w:tbl>
      <w:tblPr>
        <w:tblStyle w:val="2"/>
        <w:tblpPr w:leftFromText="180" w:rightFromText="180" w:vertAnchor="text" w:horzAnchor="page" w:tblpX="1798" w:tblpY="1200"/>
        <w:tblOverlap w:val="never"/>
        <w:tblW w:w="8372" w:type="dxa"/>
        <w:tblInd w:w="0" w:type="dxa"/>
        <w:shd w:val="clear" w:color="auto" w:fill="auto"/>
        <w:tblLayout w:type="fixed"/>
        <w:tblCellMar>
          <w:top w:w="0" w:type="dxa"/>
          <w:left w:w="0" w:type="dxa"/>
          <w:bottom w:w="0" w:type="dxa"/>
          <w:right w:w="0" w:type="dxa"/>
        </w:tblCellMar>
      </w:tblPr>
      <w:tblGrid>
        <w:gridCol w:w="240"/>
        <w:gridCol w:w="437"/>
        <w:gridCol w:w="240"/>
        <w:gridCol w:w="1335"/>
        <w:gridCol w:w="1470"/>
        <w:gridCol w:w="1470"/>
        <w:gridCol w:w="765"/>
        <w:gridCol w:w="615"/>
        <w:gridCol w:w="555"/>
        <w:gridCol w:w="560"/>
        <w:gridCol w:w="685"/>
      </w:tblGrid>
      <w:tr>
        <w:tblPrEx>
          <w:shd w:val="clear" w:color="auto" w:fill="auto"/>
          <w:tblLayout w:type="fixed"/>
          <w:tblCellMar>
            <w:top w:w="0" w:type="dxa"/>
            <w:left w:w="0" w:type="dxa"/>
            <w:bottom w:w="0" w:type="dxa"/>
            <w:right w:w="0" w:type="dxa"/>
          </w:tblCellMar>
        </w:tblPrEx>
        <w:trPr>
          <w:trHeight w:val="540" w:hRule="atLeast"/>
        </w:trPr>
        <w:tc>
          <w:tcPr>
            <w:tcW w:w="8372" w:type="dxa"/>
            <w:gridSpan w:val="11"/>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44"/>
                <w:szCs w:val="44"/>
                <w:u w:val="none"/>
                <w:lang w:val="en-US" w:eastAsia="zh-CN" w:bidi="ar"/>
              </w:rPr>
              <w:t>收入决算表</w:t>
            </w:r>
          </w:p>
        </w:tc>
      </w:tr>
      <w:tr>
        <w:tblPrEx>
          <w:tblLayout w:type="fixed"/>
          <w:tblCellMar>
            <w:top w:w="0" w:type="dxa"/>
            <w:left w:w="0" w:type="dxa"/>
            <w:bottom w:w="0" w:type="dxa"/>
            <w:right w:w="0" w:type="dxa"/>
          </w:tblCellMar>
        </w:tblPrEx>
        <w:trPr>
          <w:trHeight w:val="285" w:hRule="atLeast"/>
        </w:trPr>
        <w:tc>
          <w:tcPr>
            <w:tcW w:w="24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37"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4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33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47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47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76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1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55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24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公开</w:t>
            </w:r>
            <w:r>
              <w:rPr>
                <w:rFonts w:hint="eastAsia" w:ascii="宋体" w:hAnsi="宋体" w:eastAsia="宋体" w:cs="宋体"/>
                <w:i w:val="0"/>
                <w:color w:val="000000"/>
                <w:kern w:val="0"/>
                <w:sz w:val="24"/>
                <w:szCs w:val="24"/>
                <w:u w:val="none"/>
                <w:lang w:val="en-US" w:eastAsia="zh-CN" w:bidi="ar"/>
              </w:rPr>
              <w:t>0</w:t>
            </w:r>
            <w:r>
              <w:rPr>
                <w:rFonts w:hint="eastAsia" w:ascii="宋体" w:hAnsi="宋体" w:cs="宋体"/>
                <w:i w:val="0"/>
                <w:color w:val="000000"/>
                <w:kern w:val="0"/>
                <w:sz w:val="24"/>
                <w:szCs w:val="24"/>
                <w:u w:val="none"/>
                <w:lang w:val="en-US" w:eastAsia="zh-CN" w:bidi="ar"/>
              </w:rPr>
              <w:t>2</w:t>
            </w:r>
            <w:r>
              <w:rPr>
                <w:rFonts w:hint="eastAsia" w:ascii="宋体" w:hAnsi="宋体" w:eastAsia="宋体" w:cs="宋体"/>
                <w:i w:val="0"/>
                <w:color w:val="000000"/>
                <w:kern w:val="0"/>
                <w:sz w:val="24"/>
                <w:szCs w:val="24"/>
                <w:u w:val="none"/>
                <w:lang w:val="en-US" w:eastAsia="zh-CN" w:bidi="ar"/>
              </w:rPr>
              <w:t>表</w:t>
            </w:r>
          </w:p>
        </w:tc>
      </w:tr>
      <w:tr>
        <w:tblPrEx>
          <w:tblLayout w:type="fixed"/>
          <w:tblCellMar>
            <w:top w:w="0" w:type="dxa"/>
            <w:left w:w="0" w:type="dxa"/>
            <w:bottom w:w="0" w:type="dxa"/>
            <w:right w:w="0" w:type="dxa"/>
          </w:tblCellMar>
        </w:tblPrEx>
        <w:trPr>
          <w:trHeight w:val="285" w:hRule="atLeast"/>
        </w:trPr>
        <w:tc>
          <w:tcPr>
            <w:tcW w:w="3722" w:type="dxa"/>
            <w:gridSpan w:val="5"/>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4"/>
                <w:szCs w:val="24"/>
                <w:u w:val="none"/>
                <w:lang w:val="en-US" w:eastAsia="zh-CN" w:bidi="ar"/>
              </w:rPr>
              <w:t>编制单位：庐山市市场和质量监督管理局</w:t>
            </w:r>
          </w:p>
        </w:tc>
        <w:tc>
          <w:tcPr>
            <w:tcW w:w="223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2018年度</w:t>
            </w:r>
          </w:p>
        </w:tc>
        <w:tc>
          <w:tcPr>
            <w:tcW w:w="61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55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24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金额单位：元</w:t>
            </w:r>
          </w:p>
        </w:tc>
      </w:tr>
      <w:tr>
        <w:tblPrEx>
          <w:tblLayout w:type="fixed"/>
          <w:tblCellMar>
            <w:top w:w="0" w:type="dxa"/>
            <w:left w:w="0" w:type="dxa"/>
            <w:bottom w:w="0" w:type="dxa"/>
            <w:right w:w="0" w:type="dxa"/>
          </w:tblCellMar>
        </w:tblPrEx>
        <w:trPr>
          <w:trHeight w:val="1061" w:hRule="atLeast"/>
        </w:trPr>
        <w:tc>
          <w:tcPr>
            <w:tcW w:w="2252" w:type="dxa"/>
            <w:gridSpan w:val="4"/>
            <w:tcBorders>
              <w:top w:val="single" w:color="000000" w:sz="4" w:space="0"/>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470" w:type="dxa"/>
            <w:vMerge w:val="restart"/>
            <w:tcBorders>
              <w:top w:val="single" w:color="000000" w:sz="4" w:space="0"/>
              <w:left w:val="nil"/>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470" w:type="dxa"/>
            <w:vMerge w:val="restart"/>
            <w:tcBorders>
              <w:top w:val="single" w:color="000000" w:sz="4" w:space="0"/>
              <w:left w:val="nil"/>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765" w:type="dxa"/>
            <w:vMerge w:val="restart"/>
            <w:tcBorders>
              <w:top w:val="single" w:color="000000" w:sz="4" w:space="0"/>
              <w:left w:val="nil"/>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615" w:type="dxa"/>
            <w:vMerge w:val="restart"/>
            <w:tcBorders>
              <w:top w:val="single" w:color="000000" w:sz="4" w:space="0"/>
              <w:left w:val="nil"/>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555" w:type="dxa"/>
            <w:vMerge w:val="restart"/>
            <w:tcBorders>
              <w:top w:val="single" w:color="000000" w:sz="4" w:space="0"/>
              <w:left w:val="nil"/>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560" w:type="dxa"/>
            <w:vMerge w:val="restart"/>
            <w:tcBorders>
              <w:top w:val="single" w:color="000000" w:sz="4" w:space="0"/>
              <w:left w:val="nil"/>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685" w:type="dxa"/>
            <w:vMerge w:val="restart"/>
            <w:tcBorders>
              <w:top w:val="single" w:color="000000" w:sz="4" w:space="0"/>
              <w:left w:val="nil"/>
              <w:right w:val="single" w:color="000000" w:sz="8"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Layout w:type="fixed"/>
          <w:tblCellMar>
            <w:top w:w="0" w:type="dxa"/>
            <w:left w:w="0" w:type="dxa"/>
            <w:bottom w:w="0" w:type="dxa"/>
            <w:right w:w="0" w:type="dxa"/>
          </w:tblCellMar>
        </w:tblPrEx>
        <w:trPr>
          <w:trHeight w:val="447" w:hRule="atLeast"/>
        </w:trPr>
        <w:tc>
          <w:tcPr>
            <w:tcW w:w="917" w:type="dxa"/>
            <w:gridSpan w:val="3"/>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支出功能分类科目编码</w:t>
            </w:r>
          </w:p>
        </w:tc>
        <w:tc>
          <w:tcPr>
            <w:tcW w:w="133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470" w:type="dxa"/>
            <w:vMerge w:val="continue"/>
            <w:tcBorders>
              <w:left w:val="nil"/>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70" w:type="dxa"/>
            <w:vMerge w:val="continue"/>
            <w:tcBorders>
              <w:left w:val="nil"/>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5" w:type="dxa"/>
            <w:vMerge w:val="continue"/>
            <w:tcBorders>
              <w:left w:val="nil"/>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5" w:type="dxa"/>
            <w:vMerge w:val="continue"/>
            <w:tcBorders>
              <w:left w:val="nil"/>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55" w:type="dxa"/>
            <w:vMerge w:val="continue"/>
            <w:tcBorders>
              <w:left w:val="nil"/>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60" w:type="dxa"/>
            <w:vMerge w:val="continue"/>
            <w:tcBorders>
              <w:left w:val="nil"/>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85" w:type="dxa"/>
            <w:vMerge w:val="continue"/>
            <w:tcBorders>
              <w:left w:val="nil"/>
              <w:right w:val="single" w:color="000000" w:sz="8"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8" w:hRule="atLeast"/>
        </w:trPr>
        <w:tc>
          <w:tcPr>
            <w:tcW w:w="240" w:type="dxa"/>
            <w:vMerge w:val="restart"/>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类</w:t>
            </w:r>
          </w:p>
        </w:tc>
        <w:tc>
          <w:tcPr>
            <w:tcW w:w="437" w:type="dxa"/>
            <w:vMerge w:val="restart"/>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款</w:t>
            </w:r>
          </w:p>
        </w:tc>
        <w:tc>
          <w:tcPr>
            <w:tcW w:w="240" w:type="dxa"/>
            <w:vMerge w:val="restart"/>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133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47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7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765"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615"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55"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6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685" w:type="dxa"/>
            <w:tcBorders>
              <w:top w:val="nil"/>
              <w:left w:val="nil"/>
              <w:bottom w:val="single" w:color="000000" w:sz="4" w:space="0"/>
              <w:right w:val="single" w:color="000000" w:sz="8"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Layout w:type="fixed"/>
          <w:tblCellMar>
            <w:top w:w="0" w:type="dxa"/>
            <w:left w:w="0" w:type="dxa"/>
            <w:bottom w:w="0" w:type="dxa"/>
            <w:right w:w="0" w:type="dxa"/>
          </w:tblCellMar>
        </w:tblPrEx>
        <w:trPr>
          <w:trHeight w:val="308" w:hRule="atLeast"/>
        </w:trPr>
        <w:tc>
          <w:tcPr>
            <w:tcW w:w="240" w:type="dxa"/>
            <w:vMerge w:val="continue"/>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37" w:type="dxa"/>
            <w:vMerge w:val="continue"/>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40" w:type="dxa"/>
            <w:vMerge w:val="continue"/>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12,175,509.08</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12,175,509.08</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一般公共服务支出</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10,612,919.00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10,612,919.00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工商行政管理事务</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10,612,919.00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10,612,919.00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2011501</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行政运行</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9,493,419.00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9,493,419.00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2011502</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一般行政管理事务</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140,000.00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140,000.00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2011505</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执法办案专项</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979,500.00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979,500.00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1,034,132.40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1,034,132.40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行政事业单位离退休</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机关事业单位基本养老保险缴费支出</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2080899</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其他优抚支出</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财政对其他社会保险基金的补助</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69,156.00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69,156.00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2082701</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财政对失业保险基金的补助</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31,500.00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31,500.00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2082702</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财政对工伤保险基金的补助</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11,656.00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11,656.00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2082703</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财政对生育保险基金的补助</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26,000.00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26,000.00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医疗卫生与计划生育支出</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528,457.68</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528,457.68</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21010</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食品和药品监督管理事务</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2101099</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其他食品和药品监督管理事务支出</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13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495,457.68</w:t>
            </w:r>
          </w:p>
        </w:tc>
        <w:tc>
          <w:tcPr>
            <w:tcW w:w="14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495,457.68</w:t>
            </w:r>
          </w:p>
        </w:tc>
        <w:tc>
          <w:tcPr>
            <w:tcW w:w="7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917" w:type="dxa"/>
            <w:gridSpan w:val="3"/>
            <w:tcBorders>
              <w:top w:val="nil"/>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133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行政单位医疗</w:t>
            </w:r>
          </w:p>
        </w:tc>
        <w:tc>
          <w:tcPr>
            <w:tcW w:w="147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495,457.68</w:t>
            </w:r>
          </w:p>
        </w:tc>
        <w:tc>
          <w:tcPr>
            <w:tcW w:w="147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495,457.68</w:t>
            </w:r>
          </w:p>
        </w:tc>
        <w:tc>
          <w:tcPr>
            <w:tcW w:w="76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5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6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85"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widowControl/>
        <w:spacing w:line="600" w:lineRule="exact"/>
        <w:jc w:val="left"/>
        <w:rPr>
          <w:rFonts w:hint="eastAsia" w:ascii="宋体" w:hAnsi="宋体"/>
          <w:b w:val="0"/>
          <w:bCs/>
          <w:sz w:val="20"/>
          <w:szCs w:val="20"/>
          <w:lang w:eastAsia="zh-CN"/>
        </w:rPr>
      </w:pPr>
      <w:r>
        <w:rPr>
          <w:rFonts w:hint="eastAsia" w:ascii="宋体" w:hAnsi="宋体"/>
          <w:b w:val="0"/>
          <w:bCs/>
          <w:sz w:val="20"/>
          <w:szCs w:val="20"/>
          <w:lang w:eastAsia="zh-CN"/>
        </w:rPr>
        <w:t>注：本表反映部门本年度取得的各项收入情况。</w:t>
      </w:r>
    </w:p>
    <w:p>
      <w:pPr>
        <w:widowControl/>
        <w:spacing w:line="600" w:lineRule="exact"/>
        <w:jc w:val="left"/>
        <w:rPr>
          <w:rFonts w:hint="eastAsia" w:ascii="宋体" w:hAnsi="宋体"/>
          <w:b w:val="0"/>
          <w:bCs/>
          <w:sz w:val="20"/>
          <w:szCs w:val="20"/>
          <w:lang w:eastAsia="zh-CN"/>
        </w:rPr>
      </w:pPr>
    </w:p>
    <w:p>
      <w:pPr>
        <w:widowControl/>
        <w:spacing w:line="600" w:lineRule="exact"/>
        <w:jc w:val="left"/>
        <w:rPr>
          <w:rFonts w:hint="eastAsia" w:ascii="宋体" w:hAnsi="宋体"/>
          <w:b w:val="0"/>
          <w:bCs/>
          <w:sz w:val="20"/>
          <w:szCs w:val="20"/>
          <w:lang w:eastAsia="zh-CN"/>
        </w:rPr>
      </w:pPr>
    </w:p>
    <w:tbl>
      <w:tblPr>
        <w:tblStyle w:val="2"/>
        <w:tblW w:w="8339" w:type="dxa"/>
        <w:tblInd w:w="0" w:type="dxa"/>
        <w:shd w:val="clear" w:color="auto" w:fill="auto"/>
        <w:tblLayout w:type="fixed"/>
        <w:tblCellMar>
          <w:top w:w="0" w:type="dxa"/>
          <w:left w:w="0" w:type="dxa"/>
          <w:bottom w:w="0" w:type="dxa"/>
          <w:right w:w="0" w:type="dxa"/>
        </w:tblCellMar>
      </w:tblPr>
      <w:tblGrid>
        <w:gridCol w:w="344"/>
        <w:gridCol w:w="270"/>
        <w:gridCol w:w="285"/>
        <w:gridCol w:w="1305"/>
        <w:gridCol w:w="1545"/>
        <w:gridCol w:w="1455"/>
        <w:gridCol w:w="1380"/>
        <w:gridCol w:w="540"/>
        <w:gridCol w:w="600"/>
        <w:gridCol w:w="615"/>
      </w:tblGrid>
      <w:tr>
        <w:tblPrEx>
          <w:shd w:val="clear" w:color="auto" w:fill="auto"/>
          <w:tblLayout w:type="fixed"/>
          <w:tblCellMar>
            <w:top w:w="0" w:type="dxa"/>
            <w:left w:w="0" w:type="dxa"/>
            <w:bottom w:w="0" w:type="dxa"/>
            <w:right w:w="0" w:type="dxa"/>
          </w:tblCellMar>
        </w:tblPrEx>
        <w:trPr>
          <w:trHeight w:val="540" w:hRule="atLeast"/>
        </w:trPr>
        <w:tc>
          <w:tcPr>
            <w:tcW w:w="8339" w:type="dxa"/>
            <w:gridSpan w:val="10"/>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44"/>
                <w:szCs w:val="44"/>
                <w:u w:val="none"/>
                <w:lang w:val="en-US" w:eastAsia="zh-CN" w:bidi="ar"/>
              </w:rPr>
              <w:t>支出决算表</w:t>
            </w:r>
          </w:p>
        </w:tc>
      </w:tr>
      <w:tr>
        <w:tblPrEx>
          <w:tblLayout w:type="fixed"/>
          <w:tblCellMar>
            <w:top w:w="0" w:type="dxa"/>
            <w:left w:w="0" w:type="dxa"/>
            <w:bottom w:w="0" w:type="dxa"/>
            <w:right w:w="0" w:type="dxa"/>
          </w:tblCellMar>
        </w:tblPrEx>
        <w:trPr>
          <w:trHeight w:val="285" w:hRule="atLeast"/>
        </w:trPr>
        <w:tc>
          <w:tcPr>
            <w:tcW w:w="34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7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8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30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4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45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38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54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21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公开</w:t>
            </w:r>
            <w:r>
              <w:rPr>
                <w:rFonts w:hint="eastAsia" w:ascii="宋体" w:hAnsi="宋体" w:eastAsia="宋体" w:cs="宋体"/>
                <w:i w:val="0"/>
                <w:color w:val="000000"/>
                <w:kern w:val="0"/>
                <w:sz w:val="24"/>
                <w:szCs w:val="24"/>
                <w:u w:val="none"/>
                <w:lang w:val="en-US" w:eastAsia="zh-CN" w:bidi="ar"/>
              </w:rPr>
              <w:t>0</w:t>
            </w:r>
            <w:r>
              <w:rPr>
                <w:rFonts w:hint="eastAsia" w:ascii="宋体" w:hAnsi="宋体" w:cs="宋体"/>
                <w:i w:val="0"/>
                <w:color w:val="000000"/>
                <w:kern w:val="0"/>
                <w:sz w:val="24"/>
                <w:szCs w:val="24"/>
                <w:u w:val="none"/>
                <w:lang w:val="en-US" w:eastAsia="zh-CN" w:bidi="ar"/>
              </w:rPr>
              <w:t>3</w:t>
            </w:r>
            <w:r>
              <w:rPr>
                <w:rFonts w:hint="eastAsia" w:ascii="宋体" w:hAnsi="宋体" w:eastAsia="宋体" w:cs="宋体"/>
                <w:i w:val="0"/>
                <w:color w:val="000000"/>
                <w:kern w:val="0"/>
                <w:sz w:val="24"/>
                <w:szCs w:val="24"/>
                <w:u w:val="none"/>
                <w:lang w:val="en-US" w:eastAsia="zh-CN" w:bidi="ar"/>
              </w:rPr>
              <w:t>表</w:t>
            </w:r>
          </w:p>
        </w:tc>
      </w:tr>
      <w:tr>
        <w:tblPrEx>
          <w:tblLayout w:type="fixed"/>
          <w:tblCellMar>
            <w:top w:w="0" w:type="dxa"/>
            <w:left w:w="0" w:type="dxa"/>
            <w:bottom w:w="0" w:type="dxa"/>
            <w:right w:w="0" w:type="dxa"/>
          </w:tblCellMar>
        </w:tblPrEx>
        <w:trPr>
          <w:trHeight w:val="285" w:hRule="atLeast"/>
        </w:trPr>
        <w:tc>
          <w:tcPr>
            <w:tcW w:w="2204" w:type="dxa"/>
            <w:gridSpan w:val="4"/>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4"/>
                <w:szCs w:val="24"/>
                <w:u w:val="none"/>
                <w:lang w:val="en-US" w:eastAsia="zh-CN" w:bidi="ar"/>
              </w:rPr>
              <w:t>编制单位：庐山市市场和质量监督管理局</w:t>
            </w:r>
          </w:p>
        </w:tc>
        <w:tc>
          <w:tcPr>
            <w:tcW w:w="154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455"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2018年度</w:t>
            </w:r>
          </w:p>
        </w:tc>
        <w:tc>
          <w:tcPr>
            <w:tcW w:w="138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755" w:type="dxa"/>
            <w:gridSpan w:val="3"/>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金额单位：元</w:t>
            </w:r>
          </w:p>
        </w:tc>
      </w:tr>
      <w:tr>
        <w:tblPrEx>
          <w:tblLayout w:type="fixed"/>
          <w:tblCellMar>
            <w:top w:w="0" w:type="dxa"/>
            <w:left w:w="0" w:type="dxa"/>
            <w:bottom w:w="0" w:type="dxa"/>
            <w:right w:w="0" w:type="dxa"/>
          </w:tblCellMar>
        </w:tblPrEx>
        <w:trPr>
          <w:trHeight w:val="308" w:hRule="atLeast"/>
        </w:trPr>
        <w:tc>
          <w:tcPr>
            <w:tcW w:w="2204" w:type="dxa"/>
            <w:gridSpan w:val="4"/>
            <w:tcBorders>
              <w:top w:val="single" w:color="000000" w:sz="4" w:space="0"/>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545" w:type="dxa"/>
            <w:vMerge w:val="restart"/>
            <w:tcBorders>
              <w:top w:val="single" w:color="000000" w:sz="4" w:space="0"/>
              <w:left w:val="nil"/>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455" w:type="dxa"/>
            <w:vMerge w:val="restart"/>
            <w:tcBorders>
              <w:top w:val="single" w:color="000000" w:sz="4" w:space="0"/>
              <w:left w:val="nil"/>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380" w:type="dxa"/>
            <w:vMerge w:val="restart"/>
            <w:tcBorders>
              <w:top w:val="single" w:color="000000" w:sz="4" w:space="0"/>
              <w:left w:val="nil"/>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540" w:type="dxa"/>
            <w:vMerge w:val="restart"/>
            <w:tcBorders>
              <w:top w:val="single" w:color="000000" w:sz="4" w:space="0"/>
              <w:left w:val="nil"/>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600" w:type="dxa"/>
            <w:vMerge w:val="restart"/>
            <w:tcBorders>
              <w:top w:val="single" w:color="000000" w:sz="4" w:space="0"/>
              <w:left w:val="nil"/>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615" w:type="dxa"/>
            <w:vMerge w:val="restart"/>
            <w:tcBorders>
              <w:top w:val="single" w:color="000000" w:sz="4" w:space="0"/>
              <w:left w:val="nil"/>
              <w:right w:val="single" w:color="000000" w:sz="8"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Layout w:type="fixed"/>
          <w:tblCellMar>
            <w:top w:w="0" w:type="dxa"/>
            <w:left w:w="0" w:type="dxa"/>
            <w:bottom w:w="0" w:type="dxa"/>
            <w:right w:w="0" w:type="dxa"/>
          </w:tblCellMar>
        </w:tblPrEx>
        <w:trPr>
          <w:trHeight w:val="312" w:hRule="atLeast"/>
        </w:trPr>
        <w:tc>
          <w:tcPr>
            <w:tcW w:w="899" w:type="dxa"/>
            <w:gridSpan w:val="3"/>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支出功能分类科目编码</w:t>
            </w:r>
          </w:p>
        </w:tc>
        <w:tc>
          <w:tcPr>
            <w:tcW w:w="130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545" w:type="dxa"/>
            <w:vMerge w:val="continue"/>
            <w:tcBorders>
              <w:left w:val="nil"/>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55" w:type="dxa"/>
            <w:vMerge w:val="continue"/>
            <w:tcBorders>
              <w:left w:val="nil"/>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80" w:type="dxa"/>
            <w:vMerge w:val="continue"/>
            <w:tcBorders>
              <w:left w:val="nil"/>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40" w:type="dxa"/>
            <w:vMerge w:val="continue"/>
            <w:tcBorders>
              <w:left w:val="nil"/>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00" w:type="dxa"/>
            <w:vMerge w:val="continue"/>
            <w:tcBorders>
              <w:left w:val="nil"/>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5" w:type="dxa"/>
            <w:vMerge w:val="continue"/>
            <w:tcBorders>
              <w:left w:val="nil"/>
              <w:right w:val="single" w:color="000000" w:sz="8"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8" w:hRule="atLeast"/>
        </w:trPr>
        <w:tc>
          <w:tcPr>
            <w:tcW w:w="344" w:type="dxa"/>
            <w:vMerge w:val="restart"/>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类</w:t>
            </w:r>
          </w:p>
        </w:tc>
        <w:tc>
          <w:tcPr>
            <w:tcW w:w="270" w:type="dxa"/>
            <w:vMerge w:val="restart"/>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款</w:t>
            </w:r>
          </w:p>
        </w:tc>
        <w:tc>
          <w:tcPr>
            <w:tcW w:w="285" w:type="dxa"/>
            <w:vMerge w:val="restart"/>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130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545"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55"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5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60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615" w:type="dxa"/>
            <w:tcBorders>
              <w:top w:val="nil"/>
              <w:left w:val="nil"/>
              <w:bottom w:val="single" w:color="000000" w:sz="4" w:space="0"/>
              <w:right w:val="single" w:color="000000" w:sz="8"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Layout w:type="fixed"/>
          <w:tblCellMar>
            <w:top w:w="0" w:type="dxa"/>
            <w:left w:w="0" w:type="dxa"/>
            <w:bottom w:w="0" w:type="dxa"/>
            <w:right w:w="0" w:type="dxa"/>
          </w:tblCellMar>
        </w:tblPrEx>
        <w:trPr>
          <w:trHeight w:val="308" w:hRule="atLeast"/>
        </w:trPr>
        <w:tc>
          <w:tcPr>
            <w:tcW w:w="344" w:type="dxa"/>
            <w:vMerge w:val="continue"/>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70" w:type="dxa"/>
            <w:vMerge w:val="continue"/>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85" w:type="dxa"/>
            <w:vMerge w:val="continue"/>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0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10,737,079.74</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7,335,172.15</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3,401,907.59</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一般公共服务支出</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8,748,770.70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5,379,863.11</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3,368,907.59</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工商行政管理事务</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8,748,770.70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5,379,863.11</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3,368,907.59</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2011501</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行政运行</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5,239,863.11</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5,239,863.11</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2011502</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一般行政管理事务</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140,000.00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140,000.00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2011505</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执法办案专项</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3,368,907.59</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3,368,907.59</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1,034,132.40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1,034,132.40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行政事业单位离退休</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机关事业单位基本养老保险缴费支出</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2080899</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其他优抚支出</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财政对其他社会保险基金的补助</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69,156.00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69,156.00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2082701</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财政对失业保险基金的补助</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31,500.00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31,500.00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2082702</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财政对工伤保险基金的补助</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11,656.00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11,656.00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2082703</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财政对生育保险基金的补助</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26,000.00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26,000.00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医疗卫生与计划生育支出</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954,176.64</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921,176.64</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21010</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食品和药品监督管理事务</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2101099</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其他食品和药品监督管理事务支出</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13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921,176.64</w:t>
            </w:r>
          </w:p>
        </w:tc>
        <w:tc>
          <w:tcPr>
            <w:tcW w:w="14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921,176.64</w:t>
            </w:r>
          </w:p>
        </w:tc>
        <w:tc>
          <w:tcPr>
            <w:tcW w:w="13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899" w:type="dxa"/>
            <w:gridSpan w:val="3"/>
            <w:tcBorders>
              <w:top w:val="nil"/>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130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行政单位医疗</w:t>
            </w:r>
          </w:p>
        </w:tc>
        <w:tc>
          <w:tcPr>
            <w:tcW w:w="154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921,176.64</w:t>
            </w:r>
          </w:p>
        </w:tc>
        <w:tc>
          <w:tcPr>
            <w:tcW w:w="145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921,176.64</w:t>
            </w:r>
          </w:p>
        </w:tc>
        <w:tc>
          <w:tcPr>
            <w:tcW w:w="138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4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15"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widowControl/>
        <w:spacing w:line="600" w:lineRule="exact"/>
        <w:jc w:val="left"/>
        <w:rPr>
          <w:rFonts w:hint="eastAsia" w:ascii="宋体" w:hAnsi="宋体" w:eastAsia="宋体"/>
          <w:b w:val="0"/>
          <w:bCs/>
          <w:sz w:val="20"/>
          <w:szCs w:val="20"/>
          <w:lang w:val="en-US" w:eastAsia="zh-CN"/>
        </w:rPr>
      </w:pPr>
      <w:r>
        <w:rPr>
          <w:rFonts w:hint="eastAsia" w:ascii="宋体" w:hAnsi="宋体"/>
          <w:b w:val="0"/>
          <w:bCs/>
          <w:sz w:val="20"/>
          <w:szCs w:val="20"/>
          <w:lang w:val="en-US" w:eastAsia="zh-CN"/>
        </w:rPr>
        <w:t>注;本表反映部门本年度各项支出情况。</w:t>
      </w: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tbl>
      <w:tblPr>
        <w:tblStyle w:val="2"/>
        <w:tblW w:w="8369" w:type="dxa"/>
        <w:tblInd w:w="0" w:type="dxa"/>
        <w:shd w:val="clear" w:color="auto" w:fill="auto"/>
        <w:tblLayout w:type="fixed"/>
        <w:tblCellMar>
          <w:top w:w="0" w:type="dxa"/>
          <w:left w:w="0" w:type="dxa"/>
          <w:bottom w:w="0" w:type="dxa"/>
          <w:right w:w="0" w:type="dxa"/>
        </w:tblCellMar>
      </w:tblPr>
      <w:tblGrid>
        <w:gridCol w:w="1169"/>
        <w:gridCol w:w="420"/>
        <w:gridCol w:w="1545"/>
        <w:gridCol w:w="1260"/>
        <w:gridCol w:w="375"/>
        <w:gridCol w:w="1515"/>
        <w:gridCol w:w="1515"/>
        <w:gridCol w:w="570"/>
      </w:tblGrid>
      <w:tr>
        <w:tblPrEx>
          <w:shd w:val="clear" w:color="auto" w:fill="auto"/>
          <w:tblLayout w:type="fixed"/>
          <w:tblCellMar>
            <w:top w:w="0" w:type="dxa"/>
            <w:left w:w="0" w:type="dxa"/>
            <w:bottom w:w="0" w:type="dxa"/>
            <w:right w:w="0" w:type="dxa"/>
          </w:tblCellMar>
        </w:tblPrEx>
        <w:trPr>
          <w:trHeight w:val="540" w:hRule="atLeast"/>
        </w:trPr>
        <w:tc>
          <w:tcPr>
            <w:tcW w:w="8369" w:type="dxa"/>
            <w:gridSpan w:val="8"/>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4"/>
                <w:szCs w:val="24"/>
                <w:u w:val="none"/>
              </w:rPr>
            </w:pPr>
            <w:r>
              <w:rPr>
                <w:rFonts w:hint="eastAsia" w:ascii="Arial" w:hAnsi="Arial" w:cs="Arial"/>
                <w:i w:val="0"/>
                <w:color w:val="000000"/>
                <w:sz w:val="44"/>
                <w:szCs w:val="44"/>
                <w:u w:val="none"/>
                <w:lang w:eastAsia="zh-CN"/>
              </w:rPr>
              <w:t>财政拨款收入支出决算总表</w:t>
            </w:r>
          </w:p>
        </w:tc>
      </w:tr>
      <w:tr>
        <w:tblPrEx>
          <w:tblLayout w:type="fixed"/>
          <w:tblCellMar>
            <w:top w:w="0" w:type="dxa"/>
            <w:left w:w="0" w:type="dxa"/>
            <w:bottom w:w="0" w:type="dxa"/>
            <w:right w:w="0" w:type="dxa"/>
          </w:tblCellMar>
        </w:tblPrEx>
        <w:trPr>
          <w:trHeight w:val="255" w:hRule="atLeast"/>
        </w:trPr>
        <w:tc>
          <w:tcPr>
            <w:tcW w:w="116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2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4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26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37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1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08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公开</w:t>
            </w:r>
            <w:r>
              <w:rPr>
                <w:rFonts w:hint="eastAsia" w:ascii="宋体" w:hAnsi="宋体" w:eastAsia="宋体" w:cs="宋体"/>
                <w:i w:val="0"/>
                <w:color w:val="000000"/>
                <w:kern w:val="0"/>
                <w:sz w:val="20"/>
                <w:szCs w:val="20"/>
                <w:u w:val="none"/>
                <w:lang w:val="en-US" w:eastAsia="zh-CN" w:bidi="ar"/>
              </w:rPr>
              <w:t>04表</w:t>
            </w:r>
          </w:p>
        </w:tc>
      </w:tr>
      <w:tr>
        <w:tblPrEx>
          <w:tblLayout w:type="fixed"/>
          <w:tblCellMar>
            <w:top w:w="0" w:type="dxa"/>
            <w:left w:w="0" w:type="dxa"/>
            <w:bottom w:w="0" w:type="dxa"/>
            <w:right w:w="0" w:type="dxa"/>
          </w:tblCellMar>
        </w:tblPrEx>
        <w:trPr>
          <w:trHeight w:val="255" w:hRule="atLeast"/>
        </w:trPr>
        <w:tc>
          <w:tcPr>
            <w:tcW w:w="3134" w:type="dxa"/>
            <w:gridSpan w:val="3"/>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编制单位：庐山市市场和质量监督管理局</w:t>
            </w:r>
          </w:p>
        </w:tc>
        <w:tc>
          <w:tcPr>
            <w:tcW w:w="126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37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eastAsia="宋体" w:cs="Arial"/>
                <w:i w:val="0"/>
                <w:color w:val="000000"/>
                <w:sz w:val="20"/>
                <w:szCs w:val="20"/>
                <w:u w:val="none"/>
                <w:lang w:val="en-US" w:eastAsia="zh-CN"/>
              </w:rPr>
            </w:pPr>
          </w:p>
        </w:tc>
        <w:tc>
          <w:tcPr>
            <w:tcW w:w="151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08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金额单位：元</w:t>
            </w:r>
          </w:p>
        </w:tc>
      </w:tr>
      <w:tr>
        <w:tblPrEx>
          <w:tblLayout w:type="fixed"/>
          <w:tblCellMar>
            <w:top w:w="0" w:type="dxa"/>
            <w:left w:w="0" w:type="dxa"/>
            <w:bottom w:w="0" w:type="dxa"/>
            <w:right w:w="0" w:type="dxa"/>
          </w:tblCellMar>
        </w:tblPrEx>
        <w:trPr>
          <w:trHeight w:val="308" w:hRule="atLeast"/>
        </w:trPr>
        <w:tc>
          <w:tcPr>
            <w:tcW w:w="3134" w:type="dxa"/>
            <w:gridSpan w:val="3"/>
            <w:tcBorders>
              <w:top w:val="single" w:color="000000" w:sz="4" w:space="0"/>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5235" w:type="dxa"/>
            <w:gridSpan w:val="5"/>
            <w:tcBorders>
              <w:top w:val="single" w:color="000000" w:sz="4" w:space="0"/>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Layout w:type="fixed"/>
          <w:tblCellMar>
            <w:top w:w="0" w:type="dxa"/>
            <w:left w:w="0" w:type="dxa"/>
            <w:bottom w:w="0" w:type="dxa"/>
            <w:right w:w="0" w:type="dxa"/>
          </w:tblCellMar>
        </w:tblPrEx>
        <w:trPr>
          <w:trHeight w:val="292" w:hRule="atLeast"/>
        </w:trPr>
        <w:tc>
          <w:tcPr>
            <w:tcW w:w="1169" w:type="dxa"/>
            <w:vMerge w:val="restart"/>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    目</w:t>
            </w:r>
          </w:p>
        </w:tc>
        <w:tc>
          <w:tcPr>
            <w:tcW w:w="420" w:type="dxa"/>
            <w:vMerge w:val="restart"/>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5" w:type="dxa"/>
            <w:vMerge w:val="restart"/>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c>
          <w:tcPr>
            <w:tcW w:w="12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项目（按功能分类）</w:t>
            </w:r>
          </w:p>
        </w:tc>
        <w:tc>
          <w:tcPr>
            <w:tcW w:w="375" w:type="dxa"/>
            <w:vMerge w:val="restart"/>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3600" w:type="dxa"/>
            <w:gridSpan w:val="3"/>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Layout w:type="fixed"/>
          <w:tblCellMar>
            <w:top w:w="0" w:type="dxa"/>
            <w:left w:w="0" w:type="dxa"/>
            <w:bottom w:w="0" w:type="dxa"/>
            <w:right w:w="0" w:type="dxa"/>
          </w:tblCellMar>
        </w:tblPrEx>
        <w:trPr>
          <w:trHeight w:val="677" w:hRule="atLeast"/>
        </w:trPr>
        <w:tc>
          <w:tcPr>
            <w:tcW w:w="1169" w:type="dxa"/>
            <w:vMerge w:val="continue"/>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20" w:type="dxa"/>
            <w:vMerge w:val="continue"/>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45" w:type="dxa"/>
            <w:vMerge w:val="continue"/>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5" w:type="dxa"/>
            <w:vMerge w:val="continue"/>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1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515"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     财政拨款</w:t>
            </w:r>
          </w:p>
        </w:tc>
        <w:tc>
          <w:tcPr>
            <w:tcW w:w="57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     财政拨款</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    次</w:t>
            </w: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4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w:t>
            </w: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    次</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1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2</w:t>
            </w:r>
          </w:p>
        </w:tc>
        <w:tc>
          <w:tcPr>
            <w:tcW w:w="151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3</w:t>
            </w:r>
          </w:p>
        </w:tc>
        <w:tc>
          <w:tcPr>
            <w:tcW w:w="57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4</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12,175,509.08</w:t>
            </w: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8,748,770.70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8,748,770.70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七、文化体育与传媒支出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1,034,132.40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1,034,132.40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九、医疗卫生与计划生育支出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954,176.64</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954,176.64</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十四、资源勘探信息等支出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十八、国土海洋气象等支出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二十一、其他支出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二十二、债务还本支出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二十三、债务付息支出</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12,175,509.08</w:t>
            </w: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10,737,079.74</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10,737,079.74</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4,701,861.99</w:t>
            </w: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6,140,291.33</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6,140,291.33</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4,701,861.99</w:t>
            </w: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8" w:hRule="atLeast"/>
        </w:trPr>
        <w:tc>
          <w:tcPr>
            <w:tcW w:w="1169"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16,877,371.07</w:t>
            </w:r>
          </w:p>
        </w:tc>
        <w:tc>
          <w:tcPr>
            <w:tcW w:w="126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37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16,877,371.07</w:t>
            </w:r>
          </w:p>
        </w:tc>
        <w:tc>
          <w:tcPr>
            <w:tcW w:w="15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16,877,371.07</w:t>
            </w:r>
          </w:p>
        </w:tc>
        <w:tc>
          <w:tcPr>
            <w:tcW w:w="5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widowControl/>
        <w:spacing w:line="600" w:lineRule="exact"/>
        <w:jc w:val="left"/>
        <w:rPr>
          <w:rFonts w:hint="eastAsia" w:ascii="宋体" w:hAnsi="宋体" w:eastAsia="宋体"/>
          <w:b w:val="0"/>
          <w:bCs/>
          <w:sz w:val="18"/>
          <w:szCs w:val="18"/>
          <w:lang w:eastAsia="zh-CN"/>
        </w:rPr>
      </w:pPr>
      <w:r>
        <w:rPr>
          <w:rFonts w:hint="eastAsia" w:ascii="宋体" w:hAnsi="宋体"/>
          <w:b w:val="0"/>
          <w:bCs/>
          <w:sz w:val="18"/>
          <w:szCs w:val="18"/>
          <w:lang w:eastAsia="zh-CN"/>
        </w:rPr>
        <w:t>注：本表反映部门本年度一般公共预算财政拨款和政府性基金预算财政拨款的总收支和年末结转结余情况。</w:t>
      </w: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both"/>
        <w:rPr>
          <w:rFonts w:hint="eastAsia" w:ascii="宋体" w:hAnsi="宋体"/>
          <w:b/>
          <w:sz w:val="36"/>
          <w:szCs w:val="36"/>
        </w:rPr>
      </w:pPr>
    </w:p>
    <w:p>
      <w:pPr>
        <w:ind w:firstLine="630"/>
        <w:jc w:val="center"/>
        <w:rPr>
          <w:rFonts w:hint="eastAsia" w:ascii="宋体" w:hAnsi="宋体"/>
          <w:b/>
          <w:sz w:val="36"/>
          <w:szCs w:val="36"/>
        </w:rPr>
      </w:pPr>
    </w:p>
    <w:tbl>
      <w:tblPr>
        <w:tblStyle w:val="2"/>
        <w:tblW w:w="8279" w:type="dxa"/>
        <w:tblInd w:w="0" w:type="dxa"/>
        <w:shd w:val="clear" w:color="auto" w:fill="auto"/>
        <w:tblLayout w:type="fixed"/>
        <w:tblCellMar>
          <w:top w:w="0" w:type="dxa"/>
          <w:left w:w="0" w:type="dxa"/>
          <w:bottom w:w="0" w:type="dxa"/>
          <w:right w:w="0" w:type="dxa"/>
        </w:tblCellMar>
      </w:tblPr>
      <w:tblGrid>
        <w:gridCol w:w="329"/>
        <w:gridCol w:w="375"/>
        <w:gridCol w:w="435"/>
        <w:gridCol w:w="2085"/>
        <w:gridCol w:w="1695"/>
        <w:gridCol w:w="1740"/>
        <w:gridCol w:w="1620"/>
      </w:tblGrid>
      <w:tr>
        <w:tblPrEx>
          <w:shd w:val="clear" w:color="auto" w:fill="auto"/>
          <w:tblLayout w:type="fixed"/>
          <w:tblCellMar>
            <w:top w:w="0" w:type="dxa"/>
            <w:left w:w="0" w:type="dxa"/>
            <w:bottom w:w="0" w:type="dxa"/>
            <w:right w:w="0" w:type="dxa"/>
          </w:tblCellMar>
        </w:tblPrEx>
        <w:trPr>
          <w:trHeight w:val="540" w:hRule="atLeast"/>
        </w:trPr>
        <w:tc>
          <w:tcPr>
            <w:tcW w:w="8279" w:type="dxa"/>
            <w:gridSpan w:val="7"/>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44"/>
                <w:szCs w:val="44"/>
                <w:u w:val="none"/>
                <w:lang w:val="en-US" w:eastAsia="zh-CN" w:bidi="ar"/>
              </w:rPr>
              <w:t>一般公共预算财政拨款支出决算表</w:t>
            </w:r>
          </w:p>
        </w:tc>
      </w:tr>
      <w:tr>
        <w:tblPrEx>
          <w:tblLayout w:type="fixed"/>
          <w:tblCellMar>
            <w:top w:w="0" w:type="dxa"/>
            <w:left w:w="0" w:type="dxa"/>
            <w:bottom w:w="0" w:type="dxa"/>
            <w:right w:w="0" w:type="dxa"/>
          </w:tblCellMar>
        </w:tblPrEx>
        <w:trPr>
          <w:trHeight w:val="255" w:hRule="atLeast"/>
        </w:trPr>
        <w:tc>
          <w:tcPr>
            <w:tcW w:w="32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37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3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08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69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3360"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公开</w:t>
            </w:r>
            <w:r>
              <w:rPr>
                <w:rFonts w:hint="eastAsia" w:ascii="宋体" w:hAnsi="宋体" w:eastAsia="宋体" w:cs="宋体"/>
                <w:i w:val="0"/>
                <w:color w:val="000000"/>
                <w:kern w:val="0"/>
                <w:sz w:val="20"/>
                <w:szCs w:val="20"/>
                <w:u w:val="none"/>
                <w:lang w:val="en-US" w:eastAsia="zh-CN" w:bidi="ar"/>
              </w:rPr>
              <w:t>05表</w:t>
            </w:r>
          </w:p>
        </w:tc>
      </w:tr>
      <w:tr>
        <w:tblPrEx>
          <w:tblLayout w:type="fixed"/>
          <w:tblCellMar>
            <w:top w:w="0" w:type="dxa"/>
            <w:left w:w="0" w:type="dxa"/>
            <w:bottom w:w="0" w:type="dxa"/>
            <w:right w:w="0" w:type="dxa"/>
          </w:tblCellMar>
        </w:tblPrEx>
        <w:trPr>
          <w:trHeight w:val="255" w:hRule="atLeast"/>
        </w:trPr>
        <w:tc>
          <w:tcPr>
            <w:tcW w:w="3224" w:type="dxa"/>
            <w:gridSpan w:val="4"/>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编制单位：庐山市市场和质量监督管理局</w:t>
            </w:r>
          </w:p>
        </w:tc>
        <w:tc>
          <w:tcPr>
            <w:tcW w:w="1695"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3360"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金额单位：元</w:t>
            </w:r>
          </w:p>
        </w:tc>
      </w:tr>
      <w:tr>
        <w:tblPrEx>
          <w:tblLayout w:type="fixed"/>
          <w:tblCellMar>
            <w:top w:w="0" w:type="dxa"/>
            <w:left w:w="0" w:type="dxa"/>
            <w:bottom w:w="0" w:type="dxa"/>
            <w:right w:w="0" w:type="dxa"/>
          </w:tblCellMar>
        </w:tblPrEx>
        <w:trPr>
          <w:trHeight w:val="308" w:hRule="atLeast"/>
        </w:trPr>
        <w:tc>
          <w:tcPr>
            <w:tcW w:w="3224" w:type="dxa"/>
            <w:gridSpan w:val="4"/>
            <w:tcBorders>
              <w:top w:val="single" w:color="000000" w:sz="4" w:space="0"/>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    目</w:t>
            </w:r>
          </w:p>
        </w:tc>
        <w:tc>
          <w:tcPr>
            <w:tcW w:w="1695" w:type="dxa"/>
            <w:vMerge w:val="restart"/>
            <w:tcBorders>
              <w:top w:val="single" w:color="000000" w:sz="4" w:space="0"/>
              <w:left w:val="nil"/>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740" w:type="dxa"/>
            <w:vMerge w:val="restart"/>
            <w:tcBorders>
              <w:top w:val="single" w:color="000000" w:sz="4" w:space="0"/>
              <w:left w:val="nil"/>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20" w:type="dxa"/>
            <w:vMerge w:val="restart"/>
            <w:tcBorders>
              <w:top w:val="single" w:color="000000" w:sz="4" w:space="0"/>
              <w:left w:val="nil"/>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Layout w:type="fixed"/>
          <w:tblCellMar>
            <w:top w:w="0" w:type="dxa"/>
            <w:left w:w="0" w:type="dxa"/>
            <w:bottom w:w="0" w:type="dxa"/>
            <w:right w:w="0" w:type="dxa"/>
          </w:tblCellMar>
        </w:tblPrEx>
        <w:trPr>
          <w:trHeight w:val="312" w:hRule="atLeast"/>
        </w:trPr>
        <w:tc>
          <w:tcPr>
            <w:tcW w:w="1139" w:type="dxa"/>
            <w:gridSpan w:val="3"/>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支出功能分类  科目编码</w:t>
            </w:r>
          </w:p>
        </w:tc>
        <w:tc>
          <w:tcPr>
            <w:tcW w:w="208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95" w:type="dxa"/>
            <w:vMerge w:val="continue"/>
            <w:tcBorders>
              <w:left w:val="nil"/>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40" w:type="dxa"/>
            <w:vMerge w:val="continue"/>
            <w:tcBorders>
              <w:left w:val="nil"/>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20" w:type="dxa"/>
            <w:vMerge w:val="continue"/>
            <w:tcBorders>
              <w:left w:val="nil"/>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8" w:hRule="atLeast"/>
        </w:trPr>
        <w:tc>
          <w:tcPr>
            <w:tcW w:w="329" w:type="dxa"/>
            <w:vMerge w:val="restart"/>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类</w:t>
            </w:r>
          </w:p>
        </w:tc>
        <w:tc>
          <w:tcPr>
            <w:tcW w:w="375" w:type="dxa"/>
            <w:vMerge w:val="restart"/>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款</w:t>
            </w:r>
          </w:p>
        </w:tc>
        <w:tc>
          <w:tcPr>
            <w:tcW w:w="435" w:type="dxa"/>
            <w:vMerge w:val="restart"/>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208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74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2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Layout w:type="fixed"/>
          <w:tblCellMar>
            <w:top w:w="0" w:type="dxa"/>
            <w:left w:w="0" w:type="dxa"/>
            <w:bottom w:w="0" w:type="dxa"/>
            <w:right w:w="0" w:type="dxa"/>
          </w:tblCellMar>
        </w:tblPrEx>
        <w:trPr>
          <w:trHeight w:val="308" w:hRule="atLeast"/>
        </w:trPr>
        <w:tc>
          <w:tcPr>
            <w:tcW w:w="329" w:type="dxa"/>
            <w:vMerge w:val="continue"/>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5" w:type="dxa"/>
            <w:vMerge w:val="continue"/>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35" w:type="dxa"/>
            <w:vMerge w:val="continue"/>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08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10,737,079.74</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7,335,172.15</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3,401,907.59</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一般公共服务支出</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8,748,770.70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5,379,863.11</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3,368,907.59</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工商行政管理事务</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8,748,770.70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5,379,863.11</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3,368,907.59</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2011501</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行政运行</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5,239,863.11</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5,239,863.11</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2011502</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一般行政管理事务</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140,000.00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140,000.00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2011505</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执法办案专项</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3,368,907.59</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3,368,907.59</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1,034,132.40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1,034,132.40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行政事业单位离退休</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机关事业单位基本养老保险缴费支出</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2080899</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其他优抚支出</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85,248.40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财政对其他社会保险基金的补助</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69,156.00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69,156.00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2082701</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财政对失业保险基金的补助</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31,500.00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31,500.00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2082702</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财政对工伤保险基金的补助</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11,656.00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11,656.00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2082703</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财政对生育保险基金的补助</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26,000.00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26,000.00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医疗卫生与计划生育支出</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954,176.64</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921,176.64</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21010</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食品和药品监督管理事务</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2101099</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其他食品和药品监督管理事务支出</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33,000.00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921,176.64</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921,176.64</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113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20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行政单位医疗</w:t>
            </w:r>
          </w:p>
        </w:tc>
        <w:tc>
          <w:tcPr>
            <w:tcW w:w="16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921,176.64</w:t>
            </w:r>
          </w:p>
        </w:tc>
        <w:tc>
          <w:tcPr>
            <w:tcW w:w="17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921,176.64</w:t>
            </w:r>
          </w:p>
        </w:tc>
        <w:tc>
          <w:tcPr>
            <w:tcW w:w="16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jc w:val="left"/>
        <w:rPr>
          <w:rFonts w:hint="eastAsia" w:ascii="宋体" w:hAnsi="宋体"/>
          <w:b w:val="0"/>
          <w:bCs/>
          <w:sz w:val="21"/>
          <w:szCs w:val="21"/>
          <w:lang w:eastAsia="zh-CN"/>
        </w:rPr>
      </w:pPr>
      <w:r>
        <w:rPr>
          <w:rFonts w:hint="eastAsia" w:ascii="宋体" w:hAnsi="宋体"/>
          <w:b w:val="0"/>
          <w:bCs/>
          <w:sz w:val="21"/>
          <w:szCs w:val="21"/>
          <w:lang w:eastAsia="zh-CN"/>
        </w:rPr>
        <w:t>注：本表反映部门本年度一般公共预算财政拨款支出情况。</w:t>
      </w:r>
    </w:p>
    <w:p>
      <w:pPr>
        <w:jc w:val="left"/>
        <w:rPr>
          <w:rFonts w:hint="eastAsia" w:ascii="宋体" w:hAnsi="宋体"/>
          <w:b w:val="0"/>
          <w:bCs/>
          <w:sz w:val="21"/>
          <w:szCs w:val="21"/>
          <w:lang w:eastAsia="zh-CN"/>
        </w:rPr>
      </w:pPr>
    </w:p>
    <w:p>
      <w:pPr>
        <w:jc w:val="left"/>
        <w:rPr>
          <w:rFonts w:hint="eastAsia" w:ascii="宋体" w:hAnsi="宋体"/>
          <w:b w:val="0"/>
          <w:bCs/>
          <w:sz w:val="21"/>
          <w:szCs w:val="21"/>
          <w:lang w:eastAsia="zh-CN"/>
        </w:rPr>
      </w:pPr>
    </w:p>
    <w:tbl>
      <w:tblPr>
        <w:tblStyle w:val="2"/>
        <w:tblW w:w="8279" w:type="dxa"/>
        <w:tblInd w:w="0" w:type="dxa"/>
        <w:shd w:val="clear" w:color="auto" w:fill="auto"/>
        <w:tblLayout w:type="fixed"/>
        <w:tblCellMar>
          <w:top w:w="0" w:type="dxa"/>
          <w:left w:w="0" w:type="dxa"/>
          <w:bottom w:w="0" w:type="dxa"/>
          <w:right w:w="0" w:type="dxa"/>
        </w:tblCellMar>
      </w:tblPr>
      <w:tblGrid>
        <w:gridCol w:w="734"/>
        <w:gridCol w:w="780"/>
        <w:gridCol w:w="1395"/>
        <w:gridCol w:w="765"/>
        <w:gridCol w:w="1140"/>
        <w:gridCol w:w="1110"/>
        <w:gridCol w:w="600"/>
        <w:gridCol w:w="1020"/>
        <w:gridCol w:w="735"/>
      </w:tblGrid>
      <w:tr>
        <w:tblPrEx>
          <w:shd w:val="clear" w:color="auto" w:fill="auto"/>
          <w:tblLayout w:type="fixed"/>
          <w:tblCellMar>
            <w:top w:w="0" w:type="dxa"/>
            <w:left w:w="0" w:type="dxa"/>
            <w:bottom w:w="0" w:type="dxa"/>
            <w:right w:w="0" w:type="dxa"/>
          </w:tblCellMar>
        </w:tblPrEx>
        <w:trPr>
          <w:trHeight w:val="540" w:hRule="atLeast"/>
        </w:trPr>
        <w:tc>
          <w:tcPr>
            <w:tcW w:w="8279" w:type="dxa"/>
            <w:gridSpan w:val="9"/>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44"/>
                <w:szCs w:val="44"/>
                <w:u w:val="none"/>
                <w:lang w:val="en-US" w:eastAsia="zh-CN" w:bidi="ar"/>
              </w:rPr>
              <w:t>一般公共预算财政拨款基本支出决算表</w:t>
            </w:r>
          </w:p>
        </w:tc>
      </w:tr>
      <w:tr>
        <w:tblPrEx>
          <w:tblLayout w:type="fixed"/>
          <w:tblCellMar>
            <w:top w:w="0" w:type="dxa"/>
            <w:left w:w="0" w:type="dxa"/>
            <w:bottom w:w="0" w:type="dxa"/>
            <w:right w:w="0" w:type="dxa"/>
          </w:tblCellMar>
        </w:tblPrEx>
        <w:trPr>
          <w:trHeight w:val="255" w:hRule="atLeast"/>
        </w:trPr>
        <w:tc>
          <w:tcPr>
            <w:tcW w:w="73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78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39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76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14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11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0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75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公开</w:t>
            </w:r>
            <w:r>
              <w:rPr>
                <w:rFonts w:hint="eastAsia" w:ascii="宋体" w:hAnsi="宋体" w:eastAsia="宋体" w:cs="宋体"/>
                <w:i w:val="0"/>
                <w:color w:val="000000"/>
                <w:kern w:val="0"/>
                <w:sz w:val="20"/>
                <w:szCs w:val="20"/>
                <w:u w:val="none"/>
                <w:lang w:val="en-US" w:eastAsia="zh-CN" w:bidi="ar"/>
              </w:rPr>
              <w:t>06表</w:t>
            </w:r>
          </w:p>
        </w:tc>
      </w:tr>
      <w:tr>
        <w:tblPrEx>
          <w:tblLayout w:type="fixed"/>
          <w:tblCellMar>
            <w:top w:w="0" w:type="dxa"/>
            <w:left w:w="0" w:type="dxa"/>
            <w:bottom w:w="0" w:type="dxa"/>
            <w:right w:w="0" w:type="dxa"/>
          </w:tblCellMar>
        </w:tblPrEx>
        <w:trPr>
          <w:trHeight w:val="255" w:hRule="atLeast"/>
        </w:trPr>
        <w:tc>
          <w:tcPr>
            <w:tcW w:w="2909" w:type="dxa"/>
            <w:gridSpan w:val="3"/>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编制单位：庐山市市场和质量监督管理局</w:t>
            </w:r>
          </w:p>
        </w:tc>
        <w:tc>
          <w:tcPr>
            <w:tcW w:w="76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140"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111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0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75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金额单位：元</w:t>
            </w:r>
          </w:p>
        </w:tc>
      </w:tr>
      <w:tr>
        <w:tblPrEx>
          <w:tblLayout w:type="fixed"/>
          <w:tblCellMar>
            <w:top w:w="0" w:type="dxa"/>
            <w:left w:w="0" w:type="dxa"/>
            <w:bottom w:w="0" w:type="dxa"/>
            <w:right w:w="0" w:type="dxa"/>
          </w:tblCellMar>
        </w:tblPrEx>
        <w:trPr>
          <w:trHeight w:val="308" w:hRule="atLeast"/>
        </w:trPr>
        <w:tc>
          <w:tcPr>
            <w:tcW w:w="2909" w:type="dxa"/>
            <w:gridSpan w:val="3"/>
            <w:tcBorders>
              <w:top w:val="single" w:color="000000" w:sz="4" w:space="0"/>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人员经费</w:t>
            </w:r>
          </w:p>
        </w:tc>
        <w:tc>
          <w:tcPr>
            <w:tcW w:w="5370" w:type="dxa"/>
            <w:gridSpan w:val="6"/>
            <w:tcBorders>
              <w:top w:val="single" w:color="000000" w:sz="4" w:space="0"/>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公用经费</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经济分类科目编码</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39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765"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经济分类科目编码</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1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60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经济分类科目编码</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73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301</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工资福利支出</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7,029,203.75</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302</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商品和服务支出</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60,000.00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307</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债务利息及费用支出</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30101</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基本工资</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3,091,776.00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30201</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办公费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30701</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国内债务付息</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30102</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津贴补贴</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1,900,583.30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30202</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印刷费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30702</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国外债务付息</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30103</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奖金</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30203</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咨询费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30703</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国内债务发行费用</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30106</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伙食补助费</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30204</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手续费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30704</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国外债务发行费用</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30107</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绩效工资</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30205</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水费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310</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资本性支出</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30108</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机关事业单位基本养老保险缴费</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879,728.00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30206</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电费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31001</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房屋建筑物购建</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30109</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职业年金缴费</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30207</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邮电费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31002</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办公设备购置</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30110</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职工基本医疗保险缴费</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921,176.64</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30208</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取暖费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31003</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专用设备购置</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30111</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公务员医疗补助缴款</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37,656.00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30209</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物业管理费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31005</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基础设施建设</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30112</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其他社会保障缴费</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31,500.00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30211</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差旅费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31006</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大型修缮</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30113</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住房公积金</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30212</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因公出国（境）费用</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31007</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信息网络及软件购置更新</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30114</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医疗费</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30213</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维修（护）费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31008</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物资储备</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30199</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其他工资福利支出</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166,783.81</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30214</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租赁费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31009</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土地补偿</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303</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对个人和家庭的补助</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245,968.40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30215</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会议费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31010</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安置补助</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30301</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离休费</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30216</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培训费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31011</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地上附着物和青苗补偿</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30302</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退休费</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30217</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公务接待费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31012</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拆迁补偿</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30303</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退职（役）费</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30218</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专用材料费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31013</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公务用车购置</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30304</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抚恤金</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183,592.40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30224</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被装购置费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31019</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其他交通工具购置</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30305</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生活补贴</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54,466.00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30225</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专用燃料费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31021</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文物和陈列品购置</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30306</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救济费</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30226</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劳务费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31022</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无形资产购置</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30307</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医疗费</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30227</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委托业务费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31099</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其他资本性支出</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30308</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助学金</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30228</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工会经费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312</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对企业补助</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30309</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奖励金</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30229</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福利费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31201</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资本金注入</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30310</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个人农业生产补贴</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30231</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公务用车运行维护费</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31203</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政府投资基金股权投资</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30399</w:t>
            </w: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其他对个人和家庭的补助支出</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7,910.00</w:t>
            </w: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30239</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其他交通费用</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31204</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费用补贴</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8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30240</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税金及附加费用</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31205</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利息补贴</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30299</w:t>
            </w: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其他商品和服务支出</w:t>
            </w: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31299</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其他对企业补助</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399</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其他支出</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39906</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赠与</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39907</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国家赔偿费用支出</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39908</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对民间非营利组织和群众性自治组织补贴</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734"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8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765"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4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60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39999</w:t>
            </w:r>
          </w:p>
        </w:tc>
        <w:tc>
          <w:tcPr>
            <w:tcW w:w="1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其他支出</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62" w:hRule="atLeast"/>
        </w:trPr>
        <w:tc>
          <w:tcPr>
            <w:tcW w:w="1514" w:type="dxa"/>
            <w:gridSpan w:val="2"/>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人员经费合计</w:t>
            </w:r>
          </w:p>
        </w:tc>
        <w:tc>
          <w:tcPr>
            <w:tcW w:w="139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7,275,172.15</w:t>
            </w:r>
          </w:p>
        </w:tc>
        <w:tc>
          <w:tcPr>
            <w:tcW w:w="4635" w:type="dxa"/>
            <w:gridSpan w:val="5"/>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公用支出合计</w:t>
            </w:r>
          </w:p>
        </w:tc>
        <w:tc>
          <w:tcPr>
            <w:tcW w:w="7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60,000.00</w:t>
            </w:r>
          </w:p>
        </w:tc>
      </w:tr>
    </w:tbl>
    <w:p>
      <w:pPr>
        <w:jc w:val="left"/>
        <w:rPr>
          <w:rFonts w:hint="eastAsia" w:ascii="宋体" w:hAnsi="宋体" w:eastAsia="宋体"/>
          <w:b w:val="0"/>
          <w:bCs/>
          <w:sz w:val="21"/>
          <w:szCs w:val="21"/>
          <w:lang w:eastAsia="zh-CN"/>
        </w:rPr>
      </w:pPr>
      <w:r>
        <w:rPr>
          <w:rFonts w:hint="eastAsia" w:ascii="宋体" w:hAnsi="宋体"/>
          <w:b w:val="0"/>
          <w:bCs/>
          <w:sz w:val="21"/>
          <w:szCs w:val="21"/>
          <w:lang w:eastAsia="zh-CN"/>
        </w:rPr>
        <w:t>注：本表反映部门本年度一般公共预算财政拨款基本支出明细情况。</w:t>
      </w: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rPr>
          <w:rFonts w:hint="default" w:eastAsiaTheme="minorEastAsia"/>
          <w:lang w:val="en-US" w:eastAsia="zh-CN"/>
        </w:rPr>
      </w:pPr>
    </w:p>
    <w:tbl>
      <w:tblPr>
        <w:tblStyle w:val="2"/>
        <w:tblW w:w="8279" w:type="dxa"/>
        <w:tblInd w:w="0" w:type="dxa"/>
        <w:shd w:val="clear" w:color="auto" w:fill="auto"/>
        <w:tblLayout w:type="fixed"/>
        <w:tblCellMar>
          <w:top w:w="0" w:type="dxa"/>
          <w:left w:w="0" w:type="dxa"/>
          <w:bottom w:w="0" w:type="dxa"/>
          <w:right w:w="0" w:type="dxa"/>
        </w:tblCellMar>
      </w:tblPr>
      <w:tblGrid>
        <w:gridCol w:w="3630"/>
        <w:gridCol w:w="910"/>
        <w:gridCol w:w="1909"/>
        <w:gridCol w:w="1830"/>
      </w:tblGrid>
      <w:tr>
        <w:tblPrEx>
          <w:shd w:val="clear" w:color="auto" w:fill="auto"/>
          <w:tblLayout w:type="fixed"/>
          <w:tblCellMar>
            <w:top w:w="0" w:type="dxa"/>
            <w:left w:w="0" w:type="dxa"/>
            <w:bottom w:w="0" w:type="dxa"/>
            <w:right w:w="0" w:type="dxa"/>
          </w:tblCellMar>
        </w:tblPrEx>
        <w:trPr>
          <w:trHeight w:val="540" w:hRule="atLeast"/>
        </w:trPr>
        <w:tc>
          <w:tcPr>
            <w:tcW w:w="8279" w:type="dxa"/>
            <w:gridSpan w:val="4"/>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16"/>
                <w:szCs w:val="16"/>
                <w:u w:val="none"/>
              </w:rPr>
            </w:pPr>
            <w:r>
              <w:rPr>
                <w:rFonts w:hint="eastAsia" w:ascii="宋体" w:hAnsi="宋体" w:eastAsia="宋体" w:cs="宋体"/>
                <w:i w:val="0"/>
                <w:color w:val="000000"/>
                <w:kern w:val="0"/>
                <w:sz w:val="36"/>
                <w:szCs w:val="36"/>
                <w:u w:val="none"/>
                <w:lang w:val="en-US" w:eastAsia="zh-CN" w:bidi="ar"/>
              </w:rPr>
              <w:t>一般公共预算财政拨款“三公”经费支出决算表</w:t>
            </w:r>
          </w:p>
        </w:tc>
      </w:tr>
      <w:tr>
        <w:tblPrEx>
          <w:tblLayout w:type="fixed"/>
          <w:tblCellMar>
            <w:top w:w="0" w:type="dxa"/>
            <w:left w:w="0" w:type="dxa"/>
            <w:bottom w:w="0" w:type="dxa"/>
            <w:right w:w="0" w:type="dxa"/>
          </w:tblCellMar>
        </w:tblPrEx>
        <w:trPr>
          <w:trHeight w:val="255" w:hRule="atLeast"/>
        </w:trPr>
        <w:tc>
          <w:tcPr>
            <w:tcW w:w="363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1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90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830"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公开</w:t>
            </w:r>
            <w:r>
              <w:rPr>
                <w:rFonts w:hint="eastAsia" w:ascii="宋体" w:hAnsi="宋体" w:eastAsia="宋体" w:cs="宋体"/>
                <w:i w:val="0"/>
                <w:color w:val="000000"/>
                <w:kern w:val="0"/>
                <w:sz w:val="20"/>
                <w:szCs w:val="20"/>
                <w:u w:val="none"/>
                <w:lang w:val="en-US" w:eastAsia="zh-CN" w:bidi="ar"/>
              </w:rPr>
              <w:t>07表</w:t>
            </w:r>
          </w:p>
        </w:tc>
      </w:tr>
      <w:tr>
        <w:tblPrEx>
          <w:tblLayout w:type="fixed"/>
          <w:tblCellMar>
            <w:top w:w="0" w:type="dxa"/>
            <w:left w:w="0" w:type="dxa"/>
            <w:bottom w:w="0" w:type="dxa"/>
            <w:right w:w="0" w:type="dxa"/>
          </w:tblCellMar>
        </w:tblPrEx>
        <w:trPr>
          <w:trHeight w:val="255" w:hRule="atLeast"/>
        </w:trPr>
        <w:tc>
          <w:tcPr>
            <w:tcW w:w="3630"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编制单位：庐山市市场和质量监督管理局</w:t>
            </w:r>
          </w:p>
        </w:tc>
        <w:tc>
          <w:tcPr>
            <w:tcW w:w="2819" w:type="dxa"/>
            <w:gridSpan w:val="2"/>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201</w:t>
            </w:r>
            <w:r>
              <w:rPr>
                <w:rFonts w:hint="eastAsia" w:ascii="宋体" w:hAnsi="宋体" w:cs="宋体"/>
                <w:i w:val="0"/>
                <w:color w:val="000000"/>
                <w:kern w:val="0"/>
                <w:sz w:val="20"/>
                <w:szCs w:val="20"/>
                <w:u w:val="none"/>
                <w:lang w:val="en-US" w:eastAsia="zh-CN" w:bidi="ar"/>
              </w:rPr>
              <w:t>8</w:t>
            </w:r>
            <w:r>
              <w:rPr>
                <w:rFonts w:hint="eastAsia" w:ascii="宋体" w:hAnsi="宋体" w:eastAsia="宋体" w:cs="宋体"/>
                <w:i w:val="0"/>
                <w:color w:val="000000"/>
                <w:kern w:val="0"/>
                <w:sz w:val="20"/>
                <w:szCs w:val="20"/>
                <w:u w:val="none"/>
                <w:lang w:val="en-US" w:eastAsia="zh-CN" w:bidi="ar"/>
              </w:rPr>
              <w:t>年度</w:t>
            </w:r>
          </w:p>
        </w:tc>
        <w:tc>
          <w:tcPr>
            <w:tcW w:w="1830"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金额单位：元</w:t>
            </w:r>
          </w:p>
        </w:tc>
      </w:tr>
      <w:tr>
        <w:tblPrEx>
          <w:tblLayout w:type="fixed"/>
          <w:tblCellMar>
            <w:top w:w="0" w:type="dxa"/>
            <w:left w:w="0" w:type="dxa"/>
            <w:bottom w:w="0" w:type="dxa"/>
            <w:right w:w="0" w:type="dxa"/>
          </w:tblCellMar>
        </w:tblPrEx>
        <w:trPr>
          <w:trHeight w:val="308" w:hRule="atLeast"/>
        </w:trPr>
        <w:tc>
          <w:tcPr>
            <w:tcW w:w="3630" w:type="dxa"/>
            <w:tcBorders>
              <w:top w:val="single" w:color="000000" w:sz="4" w:space="0"/>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910" w:type="dxa"/>
            <w:tcBorders>
              <w:top w:val="single" w:color="000000" w:sz="4" w:space="0"/>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909" w:type="dxa"/>
            <w:tcBorders>
              <w:top w:val="single" w:color="000000" w:sz="4" w:space="0"/>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年初预算数</w:t>
            </w:r>
          </w:p>
        </w:tc>
        <w:tc>
          <w:tcPr>
            <w:tcW w:w="1830" w:type="dxa"/>
            <w:tcBorders>
              <w:top w:val="single" w:color="000000" w:sz="4" w:space="0"/>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09"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3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一、“三公”经费支出</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160,000.00</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25,431.00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1.因公出国（境）费</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2.公务用车购置及运行维护费</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（1）公务用车购置费</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（2）公务用车运行维护费</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3.公务接待费</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160,000.00</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25,431.00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（1）国内接待费</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160,000.00</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25,431.00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其中：外事接待费</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（2）国（境）外接待费</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二、相关统计数</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1.因公出国（境）团组数（个）</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2.因公出国（境）人次数（人）</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3.公务用车购置数（辆）</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4.公务用车保有量（辆）</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5.国内公务接待批次（个）</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其中：外事接待批次（个）</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6.国内公务接待人次（人）</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509</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其中：外事接待人次（人）</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7.国（境）外公务接待批次（个）</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0" w:type="dxa"/>
            <w:bottom w:w="0" w:type="dxa"/>
            <w:right w:w="0" w:type="dxa"/>
          </w:tblCellMar>
        </w:tblPrEx>
        <w:trPr>
          <w:trHeight w:val="308" w:hRule="atLeast"/>
        </w:trPr>
        <w:tc>
          <w:tcPr>
            <w:tcW w:w="3630" w:type="dxa"/>
            <w:tcBorders>
              <w:top w:val="nil"/>
              <w:left w:val="single" w:color="000000" w:sz="4" w:space="0"/>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8.国（境）外公务接待人次（人）</w:t>
            </w:r>
          </w:p>
        </w:tc>
        <w:tc>
          <w:tcPr>
            <w:tcW w:w="910" w:type="dxa"/>
            <w:tcBorders>
              <w:top w:val="nil"/>
              <w:left w:val="nil"/>
              <w:bottom w:val="single" w:color="000000" w:sz="4" w:space="0"/>
              <w:right w:val="single" w:color="000000" w:sz="4" w:space="0"/>
            </w:tcBorders>
            <w:shd w:val="clear" w:color="FFFFFF" w:fill="C0C0C0"/>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9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8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r>
    </w:tbl>
    <w:p>
      <w:pPr>
        <w:rPr>
          <w:rFonts w:hint="eastAsia" w:eastAsiaTheme="minorEastAsia"/>
          <w:lang w:val="en-US" w:eastAsia="zh-CN"/>
        </w:rPr>
      </w:pPr>
      <w:r>
        <w:rPr>
          <w:rFonts w:hint="eastAsia" w:eastAsiaTheme="minorEastAsia"/>
          <w:lang w:val="en-US" w:eastAsia="zh-CN"/>
        </w:rPr>
        <w:t>注：本表反映部门本年度“三公”经费支出预决算情况。其中，预算数为“三公”经费年初预算数，决算数是包括当年一般公共预算财政拨款和以前年度结转资金安排的实际支出。</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szCs w:val="30"/>
        </w:rPr>
      </w:pPr>
    </w:p>
    <w:p>
      <w:pPr>
        <w:rPr>
          <w:rFonts w:hint="eastAsia" w:eastAsia="宋体"/>
          <w:szCs w:val="30"/>
          <w:lang w:eastAsia="zh-CN"/>
        </w:rPr>
      </w:pPr>
    </w:p>
    <w:p>
      <w:pPr>
        <w:rPr>
          <w:rFonts w:hint="eastAsia"/>
          <w:szCs w:val="30"/>
        </w:rPr>
      </w:pPr>
    </w:p>
    <w:p>
      <w:pPr>
        <w:rPr>
          <w:rFonts w:hint="eastAsia"/>
          <w:szCs w:val="30"/>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第三部分  2018年度部门决算情况说明</w:t>
      </w:r>
    </w:p>
    <w:p>
      <w:pPr>
        <w:ind w:firstLine="630"/>
        <w:jc w:val="left"/>
        <w:rPr>
          <w:rFonts w:hint="eastAsia" w:ascii="仿宋" w:hAnsi="仿宋" w:eastAsia="仿宋"/>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rPr>
          <w:rFonts w:hint="eastAsia" w:ascii="仿宋" w:hAnsi="仿宋" w:eastAsia="仿宋"/>
          <w:sz w:val="30"/>
          <w:szCs w:val="30"/>
        </w:rPr>
      </w:pPr>
      <w:r>
        <w:rPr>
          <w:rFonts w:hint="eastAsia" w:ascii="仿宋" w:hAnsi="仿宋" w:eastAsia="仿宋"/>
          <w:sz w:val="30"/>
          <w:szCs w:val="30"/>
        </w:rPr>
        <w:t>本部门2018年度收入总计 168</w:t>
      </w:r>
      <w:r>
        <w:rPr>
          <w:rFonts w:hint="eastAsia" w:ascii="仿宋" w:hAnsi="仿宋" w:eastAsia="仿宋"/>
          <w:sz w:val="30"/>
          <w:szCs w:val="30"/>
          <w:lang w:val="en-US" w:eastAsia="zh-CN"/>
        </w:rPr>
        <w:t>8</w:t>
      </w:r>
      <w:r>
        <w:rPr>
          <w:rFonts w:hint="eastAsia" w:ascii="仿宋" w:hAnsi="仿宋" w:eastAsia="仿宋"/>
          <w:sz w:val="30"/>
          <w:szCs w:val="30"/>
        </w:rPr>
        <w:t xml:space="preserve"> 万元，其中年初结转和结余470万元，较2017年</w:t>
      </w:r>
      <w:r>
        <w:rPr>
          <w:rFonts w:hint="eastAsia" w:ascii="仿宋" w:hAnsi="仿宋" w:eastAsia="仿宋"/>
          <w:sz w:val="30"/>
          <w:szCs w:val="30"/>
          <w:lang w:eastAsia="zh-CN"/>
        </w:rPr>
        <w:t>增加</w:t>
      </w:r>
      <w:r>
        <w:rPr>
          <w:rFonts w:hint="eastAsia" w:ascii="仿宋" w:hAnsi="仿宋" w:eastAsia="仿宋"/>
          <w:sz w:val="30"/>
          <w:szCs w:val="30"/>
          <w:lang w:val="en-US" w:eastAsia="zh-CN"/>
        </w:rPr>
        <w:t>140</w:t>
      </w:r>
      <w:r>
        <w:rPr>
          <w:rFonts w:hint="eastAsia" w:ascii="仿宋" w:hAnsi="仿宋" w:eastAsia="仿宋"/>
          <w:sz w:val="30"/>
          <w:szCs w:val="30"/>
        </w:rPr>
        <w:t>万元，</w:t>
      </w:r>
      <w:r>
        <w:rPr>
          <w:rFonts w:hint="eastAsia" w:ascii="仿宋" w:hAnsi="仿宋" w:eastAsia="仿宋"/>
          <w:sz w:val="30"/>
          <w:szCs w:val="30"/>
          <w:lang w:eastAsia="zh-CN"/>
        </w:rPr>
        <w:t>增加</w:t>
      </w:r>
      <w:r>
        <w:rPr>
          <w:rFonts w:hint="eastAsia" w:ascii="仿宋" w:hAnsi="仿宋" w:eastAsia="仿宋"/>
          <w:sz w:val="30"/>
          <w:szCs w:val="30"/>
          <w:lang w:val="en-US" w:eastAsia="zh-CN"/>
        </w:rPr>
        <w:t>42.4</w:t>
      </w:r>
      <w:r>
        <w:rPr>
          <w:rFonts w:hint="eastAsia" w:ascii="仿宋" w:hAnsi="仿宋" w:eastAsia="仿宋"/>
          <w:sz w:val="30"/>
          <w:szCs w:val="30"/>
        </w:rPr>
        <w:t xml:space="preserve">%；本年收入合计 </w:t>
      </w:r>
      <w:r>
        <w:rPr>
          <w:rFonts w:hint="eastAsia" w:ascii="仿宋" w:hAnsi="仿宋" w:eastAsia="仿宋"/>
          <w:sz w:val="30"/>
          <w:szCs w:val="30"/>
          <w:lang w:val="en-US" w:eastAsia="zh-CN"/>
        </w:rPr>
        <w:t>1218</w:t>
      </w:r>
      <w:r>
        <w:rPr>
          <w:rFonts w:hint="eastAsia" w:ascii="仿宋" w:hAnsi="仿宋" w:eastAsia="仿宋"/>
          <w:sz w:val="30"/>
          <w:szCs w:val="30"/>
        </w:rPr>
        <w:t xml:space="preserve"> 万元，较2017年减少</w:t>
      </w:r>
      <w:r>
        <w:rPr>
          <w:rFonts w:hint="eastAsia" w:ascii="仿宋" w:hAnsi="仿宋" w:eastAsia="仿宋"/>
          <w:sz w:val="30"/>
          <w:szCs w:val="30"/>
          <w:lang w:val="en-US" w:eastAsia="zh-CN"/>
        </w:rPr>
        <w:t>233</w:t>
      </w:r>
      <w:r>
        <w:rPr>
          <w:rFonts w:hint="eastAsia" w:ascii="仿宋" w:hAnsi="仿宋" w:eastAsia="仿宋"/>
          <w:sz w:val="30"/>
          <w:szCs w:val="30"/>
        </w:rPr>
        <w:t>万元，下降</w:t>
      </w:r>
      <w:r>
        <w:rPr>
          <w:rFonts w:hint="eastAsia" w:ascii="仿宋" w:hAnsi="仿宋" w:eastAsia="仿宋"/>
          <w:sz w:val="30"/>
          <w:szCs w:val="30"/>
          <w:lang w:val="en-US" w:eastAsia="zh-CN"/>
        </w:rPr>
        <w:t>16.1</w:t>
      </w:r>
      <w:r>
        <w:rPr>
          <w:rFonts w:hint="eastAsia" w:ascii="仿宋" w:hAnsi="仿宋" w:eastAsia="仿宋"/>
          <w:sz w:val="30"/>
          <w:szCs w:val="30"/>
        </w:rPr>
        <w:t xml:space="preserve"> %，主要原因是：</w:t>
      </w:r>
      <w:r>
        <w:rPr>
          <w:rFonts w:hint="eastAsia" w:ascii="仿宋" w:hAnsi="仿宋" w:eastAsia="仿宋"/>
          <w:sz w:val="30"/>
          <w:szCs w:val="30"/>
          <w:lang w:eastAsia="zh-CN"/>
        </w:rPr>
        <w:t>结转增加是</w:t>
      </w:r>
      <w:r>
        <w:rPr>
          <w:rFonts w:hint="eastAsia" w:ascii="仿宋" w:hAnsi="仿宋" w:eastAsia="仿宋"/>
          <w:sz w:val="30"/>
          <w:szCs w:val="30"/>
          <w:lang w:val="en-US" w:eastAsia="zh-CN"/>
        </w:rPr>
        <w:t>2017年的罚没返还没及时拨付，17年的罚没收入转到18年，增加了140万元</w:t>
      </w:r>
      <w:r>
        <w:rPr>
          <w:rFonts w:hint="eastAsia" w:ascii="仿宋" w:hAnsi="仿宋" w:eastAsia="仿宋"/>
          <w:sz w:val="30"/>
          <w:szCs w:val="30"/>
        </w:rPr>
        <w:t>。</w:t>
      </w:r>
      <w:r>
        <w:rPr>
          <w:rFonts w:hint="eastAsia" w:ascii="仿宋" w:hAnsi="仿宋" w:eastAsia="仿宋"/>
          <w:sz w:val="30"/>
          <w:szCs w:val="30"/>
          <w:lang w:val="en-US" w:eastAsia="zh-CN"/>
        </w:rPr>
        <w:t>但2018年总体收入减少了233万元，减少原因是上级拨款减少。</w:t>
      </w:r>
      <w:r>
        <w:rPr>
          <w:rFonts w:hint="eastAsia" w:ascii="仿宋" w:hAnsi="仿宋" w:eastAsia="仿宋"/>
          <w:sz w:val="30"/>
          <w:szCs w:val="30"/>
        </w:rPr>
        <w:t xml:space="preserve"> </w:t>
      </w: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r>
        <w:rPr>
          <w:rFonts w:hint="eastAsia" w:ascii="仿宋" w:hAnsi="仿宋" w:eastAsia="仿宋"/>
          <w:sz w:val="30"/>
          <w:szCs w:val="30"/>
        </w:rPr>
        <w:t xml:space="preserve">本年收入的具体构成为：财政拨款收入 </w:t>
      </w:r>
      <w:r>
        <w:rPr>
          <w:rFonts w:hint="eastAsia" w:ascii="仿宋" w:hAnsi="仿宋" w:eastAsia="仿宋"/>
          <w:sz w:val="30"/>
          <w:szCs w:val="30"/>
          <w:lang w:val="en-US" w:eastAsia="zh-CN"/>
        </w:rPr>
        <w:t>1218</w:t>
      </w:r>
      <w:r>
        <w:rPr>
          <w:rFonts w:hint="eastAsia" w:ascii="仿宋" w:hAnsi="仿宋" w:eastAsia="仿宋"/>
          <w:sz w:val="30"/>
          <w:szCs w:val="30"/>
        </w:rPr>
        <w:t xml:space="preserve"> 万元，占 </w:t>
      </w:r>
      <w:r>
        <w:rPr>
          <w:rFonts w:hint="eastAsia" w:ascii="仿宋" w:hAnsi="仿宋" w:eastAsia="仿宋"/>
          <w:sz w:val="30"/>
          <w:szCs w:val="30"/>
          <w:lang w:val="en-US" w:eastAsia="zh-CN"/>
        </w:rPr>
        <w:t>100</w:t>
      </w:r>
      <w:r>
        <w:rPr>
          <w:rFonts w:hint="eastAsia" w:ascii="仿宋" w:hAnsi="仿宋" w:eastAsia="仿宋"/>
          <w:sz w:val="30"/>
          <w:szCs w:val="30"/>
        </w:rPr>
        <w:t xml:space="preserve"> %；事业收入  </w:t>
      </w:r>
      <w:r>
        <w:rPr>
          <w:rFonts w:hint="eastAsia" w:ascii="仿宋" w:hAnsi="仿宋" w:eastAsia="仿宋"/>
          <w:sz w:val="30"/>
          <w:szCs w:val="30"/>
          <w:lang w:val="en-US" w:eastAsia="zh-CN"/>
        </w:rPr>
        <w:t>0</w:t>
      </w:r>
      <w:r>
        <w:rPr>
          <w:rFonts w:hint="eastAsia" w:ascii="仿宋" w:hAnsi="仿宋" w:eastAsia="仿宋"/>
          <w:sz w:val="30"/>
          <w:szCs w:val="30"/>
        </w:rPr>
        <w:t xml:space="preserve"> 万元，占 </w:t>
      </w:r>
      <w:r>
        <w:rPr>
          <w:rFonts w:hint="eastAsia" w:ascii="仿宋" w:hAnsi="仿宋" w:eastAsia="仿宋"/>
          <w:sz w:val="30"/>
          <w:szCs w:val="30"/>
          <w:lang w:val="en-US" w:eastAsia="zh-CN"/>
        </w:rPr>
        <w:t>0</w:t>
      </w:r>
      <w:r>
        <w:rPr>
          <w:rFonts w:hint="eastAsia" w:ascii="仿宋" w:hAnsi="仿宋" w:eastAsia="仿宋"/>
          <w:sz w:val="30"/>
          <w:szCs w:val="30"/>
        </w:rPr>
        <w:t xml:space="preserve"> %；经营收入 </w:t>
      </w:r>
      <w:r>
        <w:rPr>
          <w:rFonts w:hint="eastAsia" w:ascii="仿宋" w:hAnsi="仿宋" w:eastAsia="仿宋"/>
          <w:sz w:val="30"/>
          <w:szCs w:val="30"/>
          <w:lang w:val="en-US" w:eastAsia="zh-CN"/>
        </w:rPr>
        <w:t>0</w:t>
      </w:r>
      <w:r>
        <w:rPr>
          <w:rFonts w:hint="eastAsia" w:ascii="仿宋" w:hAnsi="仿宋" w:eastAsia="仿宋"/>
          <w:sz w:val="30"/>
          <w:szCs w:val="30"/>
        </w:rPr>
        <w:t xml:space="preserve">  万元，占 </w:t>
      </w:r>
      <w:r>
        <w:rPr>
          <w:rFonts w:hint="eastAsia" w:ascii="仿宋" w:hAnsi="仿宋" w:eastAsia="仿宋"/>
          <w:sz w:val="30"/>
          <w:szCs w:val="30"/>
          <w:lang w:val="en-US" w:eastAsia="zh-CN"/>
        </w:rPr>
        <w:t>0</w:t>
      </w:r>
      <w:r>
        <w:rPr>
          <w:rFonts w:hint="eastAsia" w:ascii="仿宋" w:hAnsi="仿宋" w:eastAsia="仿宋"/>
          <w:sz w:val="30"/>
          <w:szCs w:val="30"/>
        </w:rPr>
        <w:t xml:space="preserve"> %；其他收入  </w:t>
      </w:r>
      <w:r>
        <w:rPr>
          <w:rFonts w:hint="eastAsia" w:ascii="仿宋" w:hAnsi="仿宋" w:eastAsia="仿宋"/>
          <w:sz w:val="30"/>
          <w:szCs w:val="30"/>
          <w:lang w:val="en-US" w:eastAsia="zh-CN"/>
        </w:rPr>
        <w:t>0</w:t>
      </w:r>
      <w:r>
        <w:rPr>
          <w:rFonts w:hint="eastAsia" w:ascii="仿宋" w:hAnsi="仿宋" w:eastAsia="仿宋"/>
          <w:sz w:val="30"/>
          <w:szCs w:val="30"/>
        </w:rPr>
        <w:t xml:space="preserve"> 万元，占 </w:t>
      </w:r>
      <w:r>
        <w:rPr>
          <w:rFonts w:hint="eastAsia" w:ascii="仿宋" w:hAnsi="仿宋" w:eastAsia="仿宋"/>
          <w:sz w:val="30"/>
          <w:szCs w:val="30"/>
          <w:lang w:val="en-US" w:eastAsia="zh-CN"/>
        </w:rPr>
        <w:t>0</w:t>
      </w:r>
      <w:r>
        <w:rPr>
          <w:rFonts w:hint="eastAsia" w:ascii="仿宋" w:hAnsi="仿宋" w:eastAsia="仿宋"/>
          <w:sz w:val="30"/>
          <w:szCs w:val="30"/>
        </w:rPr>
        <w:t xml:space="preserve"> %。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本部门2018年度支出总计 </w:t>
      </w:r>
      <w:r>
        <w:rPr>
          <w:rFonts w:hint="eastAsia" w:ascii="仿宋" w:hAnsi="仿宋" w:eastAsia="仿宋"/>
          <w:sz w:val="30"/>
          <w:szCs w:val="30"/>
          <w:lang w:val="en-US" w:eastAsia="zh-CN"/>
        </w:rPr>
        <w:t>1688</w:t>
      </w:r>
      <w:r>
        <w:rPr>
          <w:rFonts w:hint="eastAsia" w:ascii="仿宋" w:hAnsi="仿宋" w:eastAsia="仿宋"/>
          <w:sz w:val="30"/>
          <w:szCs w:val="30"/>
        </w:rPr>
        <w:t xml:space="preserve"> 万元，其中本年支出合计   </w:t>
      </w:r>
      <w:r>
        <w:rPr>
          <w:rFonts w:hint="eastAsia" w:ascii="仿宋" w:hAnsi="仿宋" w:eastAsia="仿宋"/>
          <w:sz w:val="30"/>
          <w:szCs w:val="30"/>
          <w:lang w:val="en-US" w:eastAsia="zh-CN"/>
        </w:rPr>
        <w:t>1074</w:t>
      </w:r>
      <w:r>
        <w:rPr>
          <w:rFonts w:hint="eastAsia" w:ascii="仿宋" w:hAnsi="仿宋" w:eastAsia="仿宋"/>
          <w:sz w:val="30"/>
          <w:szCs w:val="30"/>
        </w:rPr>
        <w:t>万元，较2017年减少</w:t>
      </w:r>
      <w:r>
        <w:rPr>
          <w:rFonts w:hint="eastAsia" w:ascii="仿宋" w:hAnsi="仿宋" w:eastAsia="仿宋"/>
          <w:sz w:val="30"/>
          <w:szCs w:val="30"/>
          <w:lang w:val="en-US" w:eastAsia="zh-CN"/>
        </w:rPr>
        <w:t>237</w:t>
      </w:r>
      <w:r>
        <w:rPr>
          <w:rFonts w:hint="eastAsia" w:ascii="仿宋" w:hAnsi="仿宋" w:eastAsia="仿宋"/>
          <w:sz w:val="30"/>
          <w:szCs w:val="30"/>
        </w:rPr>
        <w:t>万元，下降</w:t>
      </w:r>
      <w:r>
        <w:rPr>
          <w:rFonts w:hint="eastAsia" w:ascii="仿宋" w:hAnsi="仿宋" w:eastAsia="仿宋"/>
          <w:sz w:val="30"/>
          <w:szCs w:val="30"/>
          <w:lang w:val="en-US" w:eastAsia="zh-CN"/>
        </w:rPr>
        <w:t>18.1</w:t>
      </w:r>
      <w:r>
        <w:rPr>
          <w:rFonts w:hint="eastAsia" w:ascii="仿宋" w:hAnsi="仿宋" w:eastAsia="仿宋"/>
          <w:sz w:val="30"/>
          <w:szCs w:val="30"/>
        </w:rPr>
        <w:t xml:space="preserve"> %，主要原因是：</w:t>
      </w:r>
      <w:r>
        <w:rPr>
          <w:rFonts w:hint="eastAsia" w:ascii="仿宋" w:hAnsi="仿宋" w:eastAsia="仿宋"/>
          <w:sz w:val="30"/>
          <w:szCs w:val="30"/>
          <w:lang w:eastAsia="zh-CN"/>
        </w:rPr>
        <w:t>压缩办公经费等</w:t>
      </w:r>
      <w:r>
        <w:rPr>
          <w:rFonts w:hint="eastAsia" w:ascii="仿宋" w:hAnsi="仿宋" w:eastAsia="仿宋"/>
          <w:sz w:val="30"/>
          <w:szCs w:val="30"/>
        </w:rPr>
        <w:t xml:space="preserve">；年末结转和结余 </w:t>
      </w:r>
      <w:r>
        <w:rPr>
          <w:rFonts w:hint="eastAsia" w:ascii="仿宋" w:hAnsi="仿宋" w:eastAsia="仿宋"/>
          <w:sz w:val="30"/>
          <w:szCs w:val="30"/>
          <w:lang w:val="en-US" w:eastAsia="zh-CN"/>
        </w:rPr>
        <w:t>614</w:t>
      </w:r>
      <w:r>
        <w:rPr>
          <w:rFonts w:hint="eastAsia" w:ascii="仿宋" w:hAnsi="仿宋" w:eastAsia="仿宋"/>
          <w:sz w:val="30"/>
          <w:szCs w:val="30"/>
        </w:rPr>
        <w:t xml:space="preserve"> 万元，较2017年增加</w:t>
      </w:r>
      <w:r>
        <w:rPr>
          <w:rFonts w:hint="eastAsia" w:ascii="仿宋" w:hAnsi="仿宋" w:eastAsia="仿宋"/>
          <w:sz w:val="30"/>
          <w:szCs w:val="30"/>
          <w:lang w:val="en-US" w:eastAsia="zh-CN"/>
        </w:rPr>
        <w:t>144</w:t>
      </w:r>
      <w:r>
        <w:rPr>
          <w:rFonts w:hint="eastAsia" w:ascii="仿宋" w:hAnsi="仿宋" w:eastAsia="仿宋"/>
          <w:sz w:val="30"/>
          <w:szCs w:val="30"/>
        </w:rPr>
        <w:t>万元，增长</w:t>
      </w:r>
      <w:r>
        <w:rPr>
          <w:rFonts w:hint="eastAsia" w:ascii="仿宋" w:hAnsi="仿宋" w:eastAsia="仿宋"/>
          <w:sz w:val="30"/>
          <w:szCs w:val="30"/>
          <w:lang w:val="en-US" w:eastAsia="zh-CN"/>
        </w:rPr>
        <w:t>30.6</w:t>
      </w:r>
      <w:r>
        <w:rPr>
          <w:rFonts w:hint="eastAsia" w:ascii="仿宋" w:hAnsi="仿宋" w:eastAsia="仿宋"/>
          <w:sz w:val="30"/>
          <w:szCs w:val="30"/>
        </w:rPr>
        <w:t xml:space="preserve"> %，主要原因是：</w:t>
      </w:r>
      <w:r>
        <w:rPr>
          <w:rFonts w:hint="eastAsia" w:ascii="仿宋" w:hAnsi="仿宋" w:eastAsia="仿宋"/>
          <w:sz w:val="30"/>
          <w:szCs w:val="30"/>
          <w:lang w:eastAsia="zh-CN"/>
        </w:rPr>
        <w:t>开源节流</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734</w:t>
      </w:r>
      <w:r>
        <w:rPr>
          <w:rFonts w:hint="eastAsia" w:ascii="仿宋" w:hAnsi="仿宋" w:eastAsia="仿宋"/>
          <w:sz w:val="30"/>
          <w:szCs w:val="30"/>
        </w:rPr>
        <w:t xml:space="preserve"> 万元，占</w:t>
      </w:r>
      <w:r>
        <w:rPr>
          <w:rFonts w:hint="eastAsia" w:ascii="仿宋" w:hAnsi="仿宋" w:eastAsia="仿宋"/>
          <w:sz w:val="30"/>
          <w:szCs w:val="30"/>
          <w:lang w:val="en-US" w:eastAsia="zh-CN"/>
        </w:rPr>
        <w:t>68.3</w:t>
      </w:r>
      <w:r>
        <w:rPr>
          <w:rFonts w:hint="eastAsia" w:ascii="仿宋" w:hAnsi="仿宋" w:eastAsia="仿宋"/>
          <w:sz w:val="30"/>
          <w:szCs w:val="30"/>
        </w:rPr>
        <w:t xml:space="preserve"> %；项目支出 </w:t>
      </w:r>
      <w:r>
        <w:rPr>
          <w:rFonts w:hint="eastAsia" w:ascii="仿宋" w:hAnsi="仿宋" w:eastAsia="仿宋"/>
          <w:sz w:val="30"/>
          <w:szCs w:val="30"/>
          <w:lang w:val="en-US" w:eastAsia="zh-CN"/>
        </w:rPr>
        <w:t>340</w:t>
      </w:r>
      <w:r>
        <w:rPr>
          <w:rFonts w:hint="eastAsia" w:ascii="仿宋" w:hAnsi="仿宋" w:eastAsia="仿宋"/>
          <w:sz w:val="30"/>
          <w:szCs w:val="30"/>
        </w:rPr>
        <w:t xml:space="preserve">万元，占 </w:t>
      </w:r>
      <w:r>
        <w:rPr>
          <w:rFonts w:hint="eastAsia" w:ascii="仿宋" w:hAnsi="仿宋" w:eastAsia="仿宋"/>
          <w:sz w:val="30"/>
          <w:szCs w:val="30"/>
          <w:lang w:val="en-US" w:eastAsia="zh-CN"/>
        </w:rPr>
        <w:t>31.7</w:t>
      </w:r>
      <w:r>
        <w:rPr>
          <w:rFonts w:hint="eastAsia" w:ascii="仿宋" w:hAnsi="仿宋" w:eastAsia="仿宋"/>
          <w:sz w:val="30"/>
          <w:szCs w:val="30"/>
        </w:rPr>
        <w:t xml:space="preserve"> %；经营支出 </w:t>
      </w:r>
      <w:r>
        <w:rPr>
          <w:rFonts w:hint="eastAsia" w:ascii="仿宋" w:hAnsi="仿宋" w:eastAsia="仿宋"/>
          <w:sz w:val="30"/>
          <w:szCs w:val="30"/>
          <w:lang w:val="en-US" w:eastAsia="zh-CN"/>
        </w:rPr>
        <w:t>0</w:t>
      </w:r>
      <w:r>
        <w:rPr>
          <w:rFonts w:hint="eastAsia" w:ascii="仿宋" w:hAnsi="仿宋" w:eastAsia="仿宋"/>
          <w:sz w:val="30"/>
          <w:szCs w:val="30"/>
        </w:rPr>
        <w:t xml:space="preserve"> 万元，占 </w:t>
      </w:r>
      <w:r>
        <w:rPr>
          <w:rFonts w:hint="eastAsia" w:ascii="仿宋" w:hAnsi="仿宋" w:eastAsia="仿宋"/>
          <w:sz w:val="30"/>
          <w:szCs w:val="30"/>
          <w:lang w:val="en-US" w:eastAsia="zh-CN"/>
        </w:rPr>
        <w:t>0</w:t>
      </w:r>
      <w:r>
        <w:rPr>
          <w:rFonts w:hint="eastAsia" w:ascii="仿宋" w:hAnsi="仿宋" w:eastAsia="仿宋"/>
          <w:sz w:val="30"/>
          <w:szCs w:val="30"/>
        </w:rPr>
        <w:t xml:space="preserve"> %；其他支出（对附属单位补助支出、上缴上级支出）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 xml:space="preserve"> 万元，占</w:t>
      </w:r>
      <w:r>
        <w:rPr>
          <w:rFonts w:hint="eastAsia" w:ascii="仿宋" w:hAnsi="仿宋" w:eastAsia="仿宋"/>
          <w:sz w:val="30"/>
          <w:szCs w:val="30"/>
          <w:lang w:val="en-US" w:eastAsia="zh-CN"/>
        </w:rPr>
        <w:t>0</w:t>
      </w: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color w:val="auto"/>
          <w:sz w:val="30"/>
          <w:szCs w:val="30"/>
          <w:lang w:val="en-US" w:eastAsia="zh-CN"/>
        </w:rPr>
        <w:t>1261</w:t>
      </w:r>
      <w:r>
        <w:rPr>
          <w:rFonts w:hint="eastAsia" w:ascii="仿宋" w:hAnsi="仿宋" w:eastAsia="仿宋"/>
          <w:sz w:val="30"/>
          <w:szCs w:val="30"/>
        </w:rPr>
        <w:t xml:space="preserve">   万元，决算数为</w:t>
      </w:r>
      <w:r>
        <w:rPr>
          <w:rFonts w:hint="eastAsia" w:ascii="仿宋" w:hAnsi="仿宋" w:eastAsia="仿宋"/>
          <w:color w:val="auto"/>
          <w:sz w:val="30"/>
          <w:szCs w:val="30"/>
          <w:lang w:val="en-US" w:eastAsia="zh-CN"/>
        </w:rPr>
        <w:t>1074</w:t>
      </w:r>
      <w:r>
        <w:rPr>
          <w:rFonts w:hint="eastAsia" w:ascii="仿宋" w:hAnsi="仿宋" w:eastAsia="仿宋"/>
          <w:color w:val="FF0000"/>
          <w:sz w:val="30"/>
          <w:szCs w:val="30"/>
        </w:rPr>
        <w:t xml:space="preserve"> </w:t>
      </w:r>
      <w:r>
        <w:rPr>
          <w:rFonts w:hint="eastAsia" w:ascii="仿宋" w:hAnsi="仿宋" w:eastAsia="仿宋"/>
          <w:sz w:val="30"/>
          <w:szCs w:val="30"/>
        </w:rPr>
        <w:t>万元，完成年初预算的</w:t>
      </w:r>
      <w:r>
        <w:rPr>
          <w:rFonts w:hint="eastAsia" w:ascii="仿宋" w:hAnsi="仿宋" w:eastAsia="仿宋"/>
          <w:color w:val="auto"/>
          <w:sz w:val="30"/>
          <w:szCs w:val="30"/>
        </w:rPr>
        <w:t xml:space="preserve"> </w:t>
      </w:r>
      <w:r>
        <w:rPr>
          <w:rFonts w:hint="eastAsia" w:ascii="仿宋" w:hAnsi="仿宋" w:eastAsia="仿宋"/>
          <w:color w:val="auto"/>
          <w:sz w:val="30"/>
          <w:szCs w:val="30"/>
          <w:lang w:val="en-US" w:eastAsia="zh-CN"/>
        </w:rPr>
        <w:t>85.2</w:t>
      </w:r>
      <w:r>
        <w:rPr>
          <w:rFonts w:hint="eastAsia" w:ascii="仿宋" w:hAnsi="仿宋" w:eastAsia="仿宋"/>
          <w:color w:val="auto"/>
          <w:sz w:val="30"/>
          <w:szCs w:val="30"/>
        </w:rPr>
        <w:t xml:space="preserve"> %</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 xml:space="preserve">（一）一般公共服务支出年初预算数为 </w:t>
      </w:r>
      <w:r>
        <w:rPr>
          <w:rFonts w:hint="eastAsia" w:ascii="仿宋" w:hAnsi="仿宋" w:eastAsia="仿宋"/>
          <w:sz w:val="30"/>
          <w:szCs w:val="30"/>
          <w:lang w:val="en-US" w:eastAsia="zh-CN"/>
        </w:rPr>
        <w:t>1063</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875</w:t>
      </w:r>
      <w:r>
        <w:rPr>
          <w:rFonts w:hint="eastAsia" w:ascii="仿宋" w:hAnsi="仿宋" w:eastAsia="仿宋"/>
          <w:sz w:val="30"/>
          <w:szCs w:val="30"/>
        </w:rPr>
        <w:t xml:space="preserve"> 万元，完成年初预算的 </w:t>
      </w:r>
      <w:r>
        <w:rPr>
          <w:rFonts w:hint="eastAsia" w:ascii="仿宋" w:hAnsi="仿宋" w:eastAsia="仿宋"/>
          <w:sz w:val="30"/>
          <w:szCs w:val="30"/>
          <w:lang w:val="en-US" w:eastAsia="zh-CN"/>
        </w:rPr>
        <w:t>82.3</w:t>
      </w:r>
      <w:r>
        <w:rPr>
          <w:rFonts w:hint="eastAsia" w:ascii="仿宋" w:hAnsi="仿宋" w:eastAsia="仿宋"/>
          <w:sz w:val="30"/>
          <w:szCs w:val="30"/>
        </w:rPr>
        <w:t xml:space="preserve"> %，主要原因是：</w:t>
      </w:r>
      <w:r>
        <w:rPr>
          <w:rFonts w:hint="eastAsia" w:ascii="仿宋" w:hAnsi="仿宋" w:eastAsia="仿宋"/>
          <w:sz w:val="30"/>
          <w:szCs w:val="30"/>
          <w:lang w:eastAsia="zh-CN"/>
        </w:rPr>
        <w:t>压缩办公经费等</w:t>
      </w:r>
      <w:r>
        <w:rPr>
          <w:rFonts w:hint="eastAsia" w:ascii="仿宋" w:hAnsi="仿宋" w:eastAsia="仿宋"/>
          <w:sz w:val="30"/>
          <w:szCs w:val="30"/>
        </w:rPr>
        <w:t>。</w:t>
      </w:r>
    </w:p>
    <w:p>
      <w:pPr>
        <w:ind w:firstLine="630"/>
        <w:jc w:val="left"/>
        <w:rPr>
          <w:rFonts w:hint="eastAsia" w:ascii="仿宋" w:hAnsi="仿宋" w:eastAsia="仿宋"/>
          <w:sz w:val="30"/>
          <w:szCs w:val="30"/>
          <w:lang w:eastAsia="zh-CN"/>
        </w:rPr>
      </w:pPr>
      <w:r>
        <w:rPr>
          <w:rFonts w:hint="eastAsia" w:ascii="仿宋" w:hAnsi="仿宋" w:eastAsia="仿宋"/>
          <w:sz w:val="30"/>
          <w:szCs w:val="30"/>
        </w:rPr>
        <w:t>（二）公共安全支出年初预算数为</w:t>
      </w:r>
      <w:r>
        <w:rPr>
          <w:rFonts w:hint="eastAsia" w:ascii="仿宋" w:hAnsi="仿宋" w:eastAsia="仿宋"/>
          <w:sz w:val="30"/>
          <w:szCs w:val="30"/>
          <w:lang w:val="en-US" w:eastAsia="zh-CN"/>
        </w:rPr>
        <w:t>0</w:t>
      </w:r>
      <w:r>
        <w:rPr>
          <w:rFonts w:hint="eastAsia" w:ascii="仿宋" w:hAnsi="仿宋" w:eastAsia="仿宋"/>
          <w:sz w:val="30"/>
          <w:szCs w:val="30"/>
        </w:rPr>
        <w:t xml:space="preserve">   万元，决算数为 </w:t>
      </w:r>
      <w:r>
        <w:rPr>
          <w:rFonts w:hint="eastAsia" w:ascii="仿宋" w:hAnsi="仿宋" w:eastAsia="仿宋"/>
          <w:sz w:val="30"/>
          <w:szCs w:val="30"/>
          <w:lang w:val="en-US" w:eastAsia="zh-CN"/>
        </w:rPr>
        <w:t>0</w:t>
      </w:r>
      <w:r>
        <w:rPr>
          <w:rFonts w:hint="eastAsia" w:ascii="仿宋" w:hAnsi="仿宋" w:eastAsia="仿宋"/>
          <w:sz w:val="30"/>
          <w:szCs w:val="30"/>
        </w:rPr>
        <w:t xml:space="preserve"> 万元，完成年初预算的 </w:t>
      </w:r>
      <w:r>
        <w:rPr>
          <w:rFonts w:hint="eastAsia" w:ascii="仿宋" w:hAnsi="仿宋" w:eastAsia="仿宋"/>
          <w:sz w:val="30"/>
          <w:szCs w:val="30"/>
          <w:lang w:val="en-US" w:eastAsia="zh-CN"/>
        </w:rPr>
        <w:t>0</w:t>
      </w:r>
      <w:r>
        <w:rPr>
          <w:rFonts w:hint="eastAsia" w:ascii="仿宋" w:hAnsi="仿宋" w:eastAsia="仿宋"/>
          <w:sz w:val="30"/>
          <w:szCs w:val="30"/>
        </w:rPr>
        <w:t xml:space="preserve"> %</w:t>
      </w:r>
      <w:r>
        <w:rPr>
          <w:rFonts w:hint="eastAsia" w:ascii="仿宋" w:hAnsi="仿宋" w:eastAsia="仿宋"/>
          <w:sz w:val="30"/>
          <w:szCs w:val="30"/>
          <w:lang w:eastAsia="zh-CN"/>
        </w:rPr>
        <w:t>。</w:t>
      </w:r>
    </w:p>
    <w:p>
      <w:pPr>
        <w:ind w:firstLine="630"/>
        <w:jc w:val="left"/>
        <w:rPr>
          <w:rFonts w:hint="eastAsia" w:ascii="仿宋" w:hAnsi="仿宋" w:eastAsia="仿宋"/>
          <w:sz w:val="30"/>
          <w:szCs w:val="30"/>
        </w:rPr>
      </w:pP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734</w:t>
      </w:r>
      <w:r>
        <w:rPr>
          <w:rFonts w:hint="eastAsia" w:ascii="仿宋" w:hAnsi="仿宋" w:eastAsia="仿宋"/>
          <w:sz w:val="30"/>
          <w:szCs w:val="30"/>
        </w:rPr>
        <w:t xml:space="preserve"> 万元，其中：</w:t>
      </w:r>
    </w:p>
    <w:p>
      <w:pPr>
        <w:ind w:firstLine="585"/>
        <w:jc w:val="left"/>
        <w:rPr>
          <w:rFonts w:hint="eastAsia" w:ascii="仿宋" w:hAnsi="仿宋" w:eastAsia="仿宋"/>
          <w:sz w:val="30"/>
          <w:szCs w:val="30"/>
        </w:rPr>
      </w:pPr>
      <w:r>
        <w:rPr>
          <w:rFonts w:hint="eastAsia" w:ascii="仿宋" w:hAnsi="仿宋" w:eastAsia="仿宋"/>
          <w:sz w:val="30"/>
          <w:szCs w:val="30"/>
        </w:rPr>
        <w:t xml:space="preserve">（一）工资福利支出 </w:t>
      </w:r>
      <w:r>
        <w:rPr>
          <w:rFonts w:hint="eastAsia" w:ascii="仿宋" w:hAnsi="仿宋" w:eastAsia="仿宋"/>
          <w:sz w:val="30"/>
          <w:szCs w:val="30"/>
          <w:lang w:val="en-US" w:eastAsia="zh-CN"/>
        </w:rPr>
        <w:t>703</w:t>
      </w:r>
      <w:r>
        <w:rPr>
          <w:rFonts w:hint="eastAsia" w:ascii="仿宋" w:hAnsi="仿宋" w:eastAsia="仿宋"/>
          <w:sz w:val="30"/>
          <w:szCs w:val="30"/>
        </w:rPr>
        <w:t xml:space="preserve"> 万元，较2017年减少</w:t>
      </w:r>
      <w:r>
        <w:rPr>
          <w:rFonts w:hint="eastAsia" w:ascii="仿宋" w:hAnsi="仿宋" w:eastAsia="仿宋"/>
          <w:sz w:val="30"/>
          <w:szCs w:val="30"/>
          <w:lang w:val="en-US" w:eastAsia="zh-CN"/>
        </w:rPr>
        <w:t>356</w:t>
      </w:r>
      <w:r>
        <w:rPr>
          <w:rFonts w:hint="eastAsia" w:ascii="仿宋" w:hAnsi="仿宋" w:eastAsia="仿宋"/>
          <w:sz w:val="30"/>
          <w:szCs w:val="30"/>
        </w:rPr>
        <w:t>万元，下降</w:t>
      </w:r>
      <w:r>
        <w:rPr>
          <w:rFonts w:hint="eastAsia" w:ascii="仿宋" w:hAnsi="仿宋" w:eastAsia="仿宋"/>
          <w:sz w:val="30"/>
          <w:szCs w:val="30"/>
          <w:lang w:val="en-US" w:eastAsia="zh-CN"/>
        </w:rPr>
        <w:t>33.6</w:t>
      </w:r>
      <w:r>
        <w:rPr>
          <w:rFonts w:hint="eastAsia" w:ascii="仿宋" w:hAnsi="仿宋" w:eastAsia="仿宋"/>
          <w:sz w:val="30"/>
          <w:szCs w:val="30"/>
        </w:rPr>
        <w:t>%，主要原因是：</w:t>
      </w:r>
      <w:r>
        <w:rPr>
          <w:rFonts w:hint="eastAsia" w:ascii="仿宋" w:hAnsi="仿宋" w:eastAsia="仿宋"/>
          <w:sz w:val="30"/>
          <w:szCs w:val="30"/>
          <w:lang w:eastAsia="zh-CN"/>
        </w:rPr>
        <w:t>人员减少</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6</w:t>
      </w:r>
      <w:r>
        <w:rPr>
          <w:rFonts w:hint="eastAsia" w:ascii="仿宋" w:hAnsi="仿宋" w:eastAsia="仿宋"/>
          <w:sz w:val="30"/>
          <w:szCs w:val="30"/>
        </w:rPr>
        <w:t xml:space="preserve"> 万元，较2017年减少</w:t>
      </w:r>
      <w:r>
        <w:rPr>
          <w:rFonts w:hint="eastAsia" w:ascii="仿宋" w:hAnsi="仿宋" w:eastAsia="仿宋"/>
          <w:sz w:val="30"/>
          <w:szCs w:val="30"/>
          <w:lang w:val="en-US" w:eastAsia="zh-CN"/>
        </w:rPr>
        <w:t>132</w:t>
      </w:r>
      <w:r>
        <w:rPr>
          <w:rFonts w:hint="eastAsia" w:ascii="仿宋" w:hAnsi="仿宋" w:eastAsia="仿宋"/>
          <w:sz w:val="30"/>
          <w:szCs w:val="30"/>
        </w:rPr>
        <w:t xml:space="preserve">  万元，下降</w:t>
      </w:r>
      <w:r>
        <w:rPr>
          <w:rFonts w:hint="eastAsia" w:ascii="仿宋" w:hAnsi="仿宋" w:eastAsia="仿宋"/>
          <w:sz w:val="30"/>
          <w:szCs w:val="30"/>
          <w:lang w:val="en-US" w:eastAsia="zh-CN"/>
        </w:rPr>
        <w:t>95.7</w:t>
      </w:r>
      <w:r>
        <w:rPr>
          <w:rFonts w:hint="eastAsia" w:ascii="仿宋" w:hAnsi="仿宋" w:eastAsia="仿宋"/>
          <w:sz w:val="30"/>
          <w:szCs w:val="30"/>
        </w:rPr>
        <w:t xml:space="preserve"> %，主要原因是：</w:t>
      </w:r>
      <w:r>
        <w:rPr>
          <w:rFonts w:hint="eastAsia" w:ascii="仿宋" w:hAnsi="仿宋" w:eastAsia="仿宋"/>
          <w:sz w:val="30"/>
          <w:szCs w:val="30"/>
          <w:lang w:eastAsia="zh-CN"/>
        </w:rPr>
        <w:t>压缩办公经费等</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 xml:space="preserve">（三）对个人和家庭补助支出 </w:t>
      </w:r>
      <w:r>
        <w:rPr>
          <w:rFonts w:hint="eastAsia" w:ascii="仿宋" w:hAnsi="仿宋" w:eastAsia="仿宋"/>
          <w:sz w:val="30"/>
          <w:szCs w:val="30"/>
          <w:lang w:val="en-US" w:eastAsia="zh-CN"/>
        </w:rPr>
        <w:t>25</w:t>
      </w:r>
      <w:r>
        <w:rPr>
          <w:rFonts w:hint="eastAsia" w:ascii="仿宋" w:hAnsi="仿宋" w:eastAsia="仿宋"/>
          <w:sz w:val="30"/>
          <w:szCs w:val="30"/>
        </w:rPr>
        <w:t xml:space="preserve">  万元，较2017年减少</w:t>
      </w:r>
      <w:r>
        <w:rPr>
          <w:rFonts w:hint="eastAsia" w:ascii="仿宋" w:hAnsi="仿宋" w:eastAsia="仿宋"/>
          <w:sz w:val="30"/>
          <w:szCs w:val="30"/>
          <w:lang w:val="en-US" w:eastAsia="zh-CN"/>
        </w:rPr>
        <w:t>56</w:t>
      </w:r>
      <w:r>
        <w:rPr>
          <w:rFonts w:hint="eastAsia" w:ascii="仿宋" w:hAnsi="仿宋" w:eastAsia="仿宋"/>
          <w:sz w:val="30"/>
          <w:szCs w:val="30"/>
        </w:rPr>
        <w:t>万元，下降</w:t>
      </w:r>
      <w:r>
        <w:rPr>
          <w:rFonts w:hint="eastAsia" w:ascii="仿宋" w:hAnsi="仿宋" w:eastAsia="仿宋"/>
          <w:sz w:val="30"/>
          <w:szCs w:val="30"/>
          <w:lang w:val="en-US" w:eastAsia="zh-CN"/>
        </w:rPr>
        <w:t>69.1</w:t>
      </w:r>
      <w:r>
        <w:rPr>
          <w:rFonts w:hint="eastAsia" w:ascii="仿宋" w:hAnsi="仿宋" w:eastAsia="仿宋"/>
          <w:sz w:val="30"/>
          <w:szCs w:val="30"/>
        </w:rPr>
        <w:t xml:space="preserve">  %，主要原因是：</w:t>
      </w:r>
      <w:r>
        <w:rPr>
          <w:rFonts w:hint="eastAsia" w:ascii="仿宋" w:hAnsi="仿宋" w:eastAsia="仿宋"/>
          <w:sz w:val="30"/>
          <w:szCs w:val="30"/>
          <w:lang w:eastAsia="zh-CN"/>
        </w:rPr>
        <w:t>住房公积金支出减少</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 xml:space="preserve">（四）资本性支出 </w:t>
      </w:r>
      <w:r>
        <w:rPr>
          <w:rFonts w:hint="eastAsia" w:ascii="仿宋" w:hAnsi="仿宋" w:eastAsia="仿宋"/>
          <w:sz w:val="30"/>
          <w:szCs w:val="30"/>
          <w:lang w:val="en-US" w:eastAsia="zh-CN"/>
        </w:rPr>
        <w:t>0</w:t>
      </w:r>
      <w:r>
        <w:rPr>
          <w:rFonts w:hint="eastAsia" w:ascii="仿宋" w:hAnsi="仿宋" w:eastAsia="仿宋"/>
          <w:sz w:val="30"/>
          <w:szCs w:val="30"/>
        </w:rPr>
        <w:t xml:space="preserve">  万元，较2017年增加（减少）</w:t>
      </w:r>
      <w:r>
        <w:rPr>
          <w:rFonts w:hint="eastAsia" w:ascii="仿宋" w:hAnsi="仿宋" w:eastAsia="仿宋"/>
          <w:sz w:val="30"/>
          <w:szCs w:val="30"/>
          <w:lang w:val="en-US" w:eastAsia="zh-CN"/>
        </w:rPr>
        <w:t>0</w:t>
      </w:r>
      <w:r>
        <w:rPr>
          <w:rFonts w:hint="eastAsia" w:ascii="仿宋" w:hAnsi="仿宋" w:eastAsia="仿宋"/>
          <w:sz w:val="30"/>
          <w:szCs w:val="30"/>
        </w:rPr>
        <w:t xml:space="preserve">  万元，增长（下降） </w:t>
      </w:r>
      <w:r>
        <w:rPr>
          <w:rFonts w:hint="eastAsia" w:ascii="仿宋" w:hAnsi="仿宋" w:eastAsia="仿宋"/>
          <w:sz w:val="30"/>
          <w:szCs w:val="30"/>
          <w:lang w:val="en-US" w:eastAsia="zh-CN"/>
        </w:rPr>
        <w:t>0</w:t>
      </w: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本部门2018年度一般公共预算财政拨款“三公”经费支出年初预算数为 </w:t>
      </w:r>
      <w:r>
        <w:rPr>
          <w:rFonts w:hint="eastAsia" w:ascii="仿宋" w:hAnsi="仿宋" w:eastAsia="仿宋"/>
          <w:sz w:val="30"/>
          <w:szCs w:val="30"/>
          <w:lang w:val="en-US" w:eastAsia="zh-CN"/>
        </w:rPr>
        <w:t>16</w:t>
      </w:r>
      <w:r>
        <w:rPr>
          <w:rFonts w:hint="eastAsia" w:ascii="仿宋" w:hAnsi="仿宋" w:eastAsia="仿宋"/>
          <w:sz w:val="30"/>
          <w:szCs w:val="30"/>
        </w:rPr>
        <w:t xml:space="preserve">  万元，决算数为 </w:t>
      </w:r>
      <w:r>
        <w:rPr>
          <w:rFonts w:hint="eastAsia" w:ascii="仿宋" w:hAnsi="仿宋" w:eastAsia="仿宋"/>
          <w:sz w:val="30"/>
          <w:szCs w:val="30"/>
          <w:lang w:val="en-US" w:eastAsia="zh-CN"/>
        </w:rPr>
        <w:t>2.5</w:t>
      </w:r>
      <w:r>
        <w:rPr>
          <w:rFonts w:hint="eastAsia" w:ascii="仿宋" w:hAnsi="仿宋" w:eastAsia="仿宋"/>
          <w:sz w:val="30"/>
          <w:szCs w:val="30"/>
        </w:rPr>
        <w:t xml:space="preserve"> 万元，完成预算的 </w:t>
      </w:r>
      <w:r>
        <w:rPr>
          <w:rFonts w:hint="eastAsia" w:ascii="仿宋" w:hAnsi="仿宋" w:eastAsia="仿宋"/>
          <w:sz w:val="30"/>
          <w:szCs w:val="30"/>
          <w:lang w:val="en-US" w:eastAsia="zh-CN"/>
        </w:rPr>
        <w:t>15.6</w:t>
      </w:r>
      <w:r>
        <w:rPr>
          <w:rFonts w:hint="eastAsia" w:ascii="仿宋" w:hAnsi="仿宋" w:eastAsia="仿宋"/>
          <w:sz w:val="30"/>
          <w:szCs w:val="30"/>
        </w:rPr>
        <w:t xml:space="preserve"> %，决算数较2017年减少 </w:t>
      </w:r>
      <w:r>
        <w:rPr>
          <w:rFonts w:hint="eastAsia" w:ascii="仿宋" w:hAnsi="仿宋" w:eastAsia="仿宋"/>
          <w:sz w:val="30"/>
          <w:szCs w:val="30"/>
          <w:lang w:val="en-US" w:eastAsia="zh-CN"/>
        </w:rPr>
        <w:t>0.2</w:t>
      </w:r>
      <w:r>
        <w:rPr>
          <w:rFonts w:hint="eastAsia" w:ascii="仿宋" w:hAnsi="仿宋" w:eastAsia="仿宋"/>
          <w:sz w:val="30"/>
          <w:szCs w:val="30"/>
        </w:rPr>
        <w:t xml:space="preserve"> 万元，下降 </w:t>
      </w:r>
      <w:r>
        <w:rPr>
          <w:rFonts w:hint="eastAsia" w:ascii="仿宋" w:hAnsi="仿宋" w:eastAsia="仿宋"/>
          <w:sz w:val="30"/>
          <w:szCs w:val="30"/>
          <w:lang w:val="en-US" w:eastAsia="zh-CN"/>
        </w:rPr>
        <w:t>7.4</w:t>
      </w:r>
      <w:r>
        <w:rPr>
          <w:rFonts w:hint="eastAsia" w:ascii="仿宋" w:hAnsi="仿宋" w:eastAsia="仿宋"/>
          <w:sz w:val="30"/>
          <w:szCs w:val="30"/>
        </w:rPr>
        <w:t xml:space="preserve"> %，其中：</w:t>
      </w:r>
    </w:p>
    <w:p>
      <w:pPr>
        <w:numPr>
          <w:ilvl w:val="0"/>
          <w:numId w:val="1"/>
        </w:numPr>
        <w:ind w:firstLine="630"/>
        <w:jc w:val="left"/>
        <w:rPr>
          <w:rFonts w:hint="eastAsia" w:ascii="仿宋" w:hAnsi="仿宋" w:eastAsia="仿宋"/>
          <w:sz w:val="30"/>
          <w:szCs w:val="30"/>
        </w:rPr>
      </w:pPr>
      <w:r>
        <w:rPr>
          <w:rFonts w:hint="eastAsia" w:ascii="仿宋" w:hAnsi="仿宋" w:eastAsia="仿宋"/>
          <w:sz w:val="30"/>
          <w:szCs w:val="30"/>
        </w:rPr>
        <w:t xml:space="preserve">因公出国（境）支出年初预算数为  </w:t>
      </w:r>
      <w:r>
        <w:rPr>
          <w:rFonts w:hint="eastAsia" w:ascii="仿宋" w:hAnsi="仿宋" w:eastAsia="仿宋"/>
          <w:sz w:val="30"/>
          <w:szCs w:val="30"/>
          <w:lang w:val="en-US" w:eastAsia="zh-CN"/>
        </w:rPr>
        <w:t>0</w:t>
      </w:r>
      <w:r>
        <w:rPr>
          <w:rFonts w:hint="eastAsia" w:ascii="仿宋" w:hAnsi="仿宋" w:eastAsia="仿宋"/>
          <w:sz w:val="30"/>
          <w:szCs w:val="30"/>
        </w:rPr>
        <w:t xml:space="preserve"> 万元，决算数为  </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%，决算数较2017年增加（减少） </w:t>
      </w:r>
      <w:r>
        <w:rPr>
          <w:rFonts w:hint="eastAsia" w:ascii="仿宋" w:hAnsi="仿宋" w:eastAsia="仿宋"/>
          <w:sz w:val="30"/>
          <w:szCs w:val="30"/>
          <w:lang w:val="en-US" w:eastAsia="zh-CN"/>
        </w:rPr>
        <w:t>0</w:t>
      </w:r>
      <w:r>
        <w:rPr>
          <w:rFonts w:hint="eastAsia" w:ascii="仿宋" w:hAnsi="仿宋" w:eastAsia="仿宋"/>
          <w:sz w:val="30"/>
          <w:szCs w:val="30"/>
        </w:rPr>
        <w:t xml:space="preserve"> 万元，增长（下降）</w:t>
      </w:r>
      <w:r>
        <w:rPr>
          <w:rFonts w:hint="eastAsia" w:ascii="仿宋" w:hAnsi="仿宋" w:eastAsia="仿宋"/>
          <w:sz w:val="30"/>
          <w:szCs w:val="30"/>
          <w:lang w:val="en-US" w:eastAsia="zh-CN"/>
        </w:rPr>
        <w:t>0</w:t>
      </w:r>
      <w:r>
        <w:rPr>
          <w:rFonts w:hint="eastAsia" w:ascii="仿宋" w:hAnsi="仿宋" w:eastAsia="仿宋"/>
          <w:sz w:val="30"/>
          <w:szCs w:val="30"/>
        </w:rPr>
        <w:t xml:space="preserve">  %。</w:t>
      </w:r>
    </w:p>
    <w:p>
      <w:pPr>
        <w:numPr>
          <w:ilvl w:val="0"/>
          <w:numId w:val="1"/>
        </w:numPr>
        <w:ind w:firstLine="63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16</w:t>
      </w:r>
      <w:r>
        <w:rPr>
          <w:rFonts w:hint="eastAsia" w:ascii="仿宋" w:hAnsi="仿宋" w:eastAsia="仿宋"/>
          <w:sz w:val="30"/>
          <w:szCs w:val="30"/>
        </w:rPr>
        <w:t xml:space="preserve"> 万元，决算数为  </w:t>
      </w:r>
      <w:r>
        <w:rPr>
          <w:rFonts w:hint="eastAsia" w:ascii="仿宋" w:hAnsi="仿宋" w:eastAsia="仿宋"/>
          <w:sz w:val="30"/>
          <w:szCs w:val="30"/>
          <w:lang w:val="en-US" w:eastAsia="zh-CN"/>
        </w:rPr>
        <w:t>2.5</w:t>
      </w:r>
      <w:r>
        <w:rPr>
          <w:rFonts w:hint="eastAsia" w:ascii="仿宋" w:hAnsi="仿宋" w:eastAsia="仿宋"/>
          <w:sz w:val="30"/>
          <w:szCs w:val="30"/>
        </w:rPr>
        <w:t xml:space="preserve">万元，完成预算的 </w:t>
      </w:r>
      <w:r>
        <w:rPr>
          <w:rFonts w:hint="eastAsia" w:ascii="仿宋" w:hAnsi="仿宋" w:eastAsia="仿宋"/>
          <w:sz w:val="30"/>
          <w:szCs w:val="30"/>
          <w:lang w:val="en-US" w:eastAsia="zh-CN"/>
        </w:rPr>
        <w:t>15.6</w:t>
      </w:r>
      <w:r>
        <w:rPr>
          <w:rFonts w:hint="eastAsia" w:ascii="仿宋" w:hAnsi="仿宋" w:eastAsia="仿宋"/>
          <w:sz w:val="30"/>
          <w:szCs w:val="30"/>
        </w:rPr>
        <w:t>%，决算数较2017年减少</w:t>
      </w:r>
      <w:r>
        <w:rPr>
          <w:rFonts w:hint="eastAsia" w:ascii="仿宋" w:hAnsi="仿宋" w:eastAsia="仿宋"/>
          <w:sz w:val="30"/>
          <w:szCs w:val="30"/>
          <w:lang w:val="en-US" w:eastAsia="zh-CN"/>
        </w:rPr>
        <w:t>0.2</w:t>
      </w:r>
      <w:r>
        <w:rPr>
          <w:rFonts w:hint="eastAsia" w:ascii="仿宋" w:hAnsi="仿宋" w:eastAsia="仿宋"/>
          <w:sz w:val="30"/>
          <w:szCs w:val="30"/>
        </w:rPr>
        <w:t xml:space="preserve">  万元，下降</w:t>
      </w:r>
      <w:r>
        <w:rPr>
          <w:rFonts w:hint="eastAsia" w:ascii="仿宋" w:hAnsi="仿宋" w:eastAsia="仿宋"/>
          <w:sz w:val="30"/>
          <w:szCs w:val="30"/>
          <w:lang w:val="en-US" w:eastAsia="zh-CN"/>
        </w:rPr>
        <w:t>7.4</w:t>
      </w:r>
      <w:r>
        <w:rPr>
          <w:rFonts w:hint="eastAsia" w:ascii="仿宋" w:hAnsi="仿宋" w:eastAsia="仿宋"/>
          <w:sz w:val="30"/>
          <w:szCs w:val="30"/>
        </w:rPr>
        <w:t xml:space="preserve">  %。决算数较年初预算数减少的主要原因是：</w:t>
      </w:r>
      <w:r>
        <w:rPr>
          <w:rFonts w:hint="eastAsia" w:ascii="仿宋" w:hAnsi="仿宋" w:eastAsia="仿宋"/>
          <w:sz w:val="30"/>
          <w:szCs w:val="30"/>
          <w:lang w:eastAsia="zh-CN"/>
        </w:rPr>
        <w:t>公务接待次数减少</w:t>
      </w:r>
      <w:r>
        <w:rPr>
          <w:rFonts w:hint="eastAsia" w:ascii="仿宋" w:hAnsi="仿宋" w:eastAsia="仿宋"/>
          <w:sz w:val="30"/>
          <w:szCs w:val="30"/>
        </w:rPr>
        <w:t>。</w:t>
      </w:r>
    </w:p>
    <w:p>
      <w:pPr>
        <w:rPr>
          <w:rFonts w:hint="eastAsia"/>
        </w:rPr>
      </w:pPr>
      <w:r>
        <w:rPr>
          <w:rFonts w:hint="eastAsia" w:ascii="仿宋" w:hAnsi="仿宋" w:eastAsia="仿宋"/>
          <w:sz w:val="30"/>
          <w:szCs w:val="30"/>
        </w:rPr>
        <w:t xml:space="preserve">（三）公务用车购置及运行维护费支出  </w:t>
      </w:r>
      <w:r>
        <w:rPr>
          <w:rFonts w:hint="eastAsia" w:ascii="仿宋" w:hAnsi="仿宋" w:eastAsia="仿宋"/>
          <w:sz w:val="30"/>
          <w:szCs w:val="30"/>
          <w:lang w:val="en-US" w:eastAsia="zh-CN"/>
        </w:rPr>
        <w:t>0</w:t>
      </w:r>
      <w:r>
        <w:rPr>
          <w:rFonts w:hint="eastAsia" w:ascii="仿宋" w:hAnsi="仿宋" w:eastAsia="仿宋"/>
          <w:sz w:val="30"/>
          <w:szCs w:val="30"/>
        </w:rPr>
        <w:t xml:space="preserve"> 万元，其中公务用车购置年初预算数为  </w:t>
      </w:r>
      <w:r>
        <w:rPr>
          <w:rFonts w:hint="eastAsia" w:ascii="仿宋" w:hAnsi="仿宋" w:eastAsia="仿宋"/>
          <w:sz w:val="30"/>
          <w:szCs w:val="30"/>
          <w:lang w:val="en-US" w:eastAsia="zh-CN"/>
        </w:rPr>
        <w:t>0</w:t>
      </w:r>
      <w:r>
        <w:rPr>
          <w:rFonts w:hint="eastAsia" w:ascii="仿宋" w:hAnsi="仿宋" w:eastAsia="仿宋"/>
          <w:sz w:val="30"/>
          <w:szCs w:val="30"/>
        </w:rPr>
        <w:t xml:space="preserve"> 万元，决算数为  </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%，决算数较2017年增加（减少）  </w:t>
      </w:r>
      <w:r>
        <w:rPr>
          <w:rFonts w:hint="eastAsia" w:ascii="仿宋" w:hAnsi="仿宋" w:eastAsia="仿宋"/>
          <w:sz w:val="30"/>
          <w:szCs w:val="30"/>
          <w:lang w:val="en-US" w:eastAsia="zh-CN"/>
        </w:rPr>
        <w:t>0</w:t>
      </w:r>
      <w:r>
        <w:rPr>
          <w:rFonts w:hint="eastAsia" w:ascii="仿宋" w:hAnsi="仿宋" w:eastAsia="仿宋"/>
          <w:sz w:val="30"/>
          <w:szCs w:val="30"/>
        </w:rPr>
        <w:t xml:space="preserve">万元，增长（下降） </w:t>
      </w:r>
      <w:r>
        <w:rPr>
          <w:rFonts w:hint="eastAsia" w:ascii="仿宋" w:hAnsi="仿宋" w:eastAsia="仿宋"/>
          <w:sz w:val="30"/>
          <w:szCs w:val="30"/>
          <w:lang w:val="en-US" w:eastAsia="zh-CN"/>
        </w:rPr>
        <w:t>0</w:t>
      </w:r>
      <w:r>
        <w:rPr>
          <w:rFonts w:hint="eastAsia" w:ascii="仿宋" w:hAnsi="仿宋" w:eastAsia="仿宋"/>
          <w:sz w:val="30"/>
          <w:szCs w:val="30"/>
        </w:rPr>
        <w:t xml:space="preserve"> %。；公务用车运行维护费支出年初预算数为  </w:t>
      </w:r>
      <w:r>
        <w:rPr>
          <w:rFonts w:hint="eastAsia" w:ascii="仿宋" w:hAnsi="仿宋" w:eastAsia="仿宋"/>
          <w:sz w:val="30"/>
          <w:szCs w:val="30"/>
          <w:lang w:val="en-US" w:eastAsia="zh-CN"/>
        </w:rPr>
        <w:t>0</w:t>
      </w:r>
      <w:r>
        <w:rPr>
          <w:rFonts w:hint="eastAsia" w:ascii="仿宋" w:hAnsi="仿宋" w:eastAsia="仿宋"/>
          <w:sz w:val="30"/>
          <w:szCs w:val="30"/>
        </w:rPr>
        <w:t xml:space="preserve"> 万元，决算数为  </w:t>
      </w:r>
      <w:r>
        <w:rPr>
          <w:rFonts w:hint="eastAsia" w:ascii="仿宋" w:hAnsi="仿宋" w:eastAsia="仿宋"/>
          <w:sz w:val="30"/>
          <w:szCs w:val="30"/>
          <w:lang w:val="en-US" w:eastAsia="zh-CN"/>
        </w:rPr>
        <w:t>0</w:t>
      </w:r>
      <w:r>
        <w:rPr>
          <w:rFonts w:hint="eastAsia" w:ascii="仿宋" w:hAnsi="仿宋" w:eastAsia="仿宋"/>
          <w:sz w:val="30"/>
          <w:szCs w:val="30"/>
        </w:rPr>
        <w:t xml:space="preserve">万元，完成预算的 </w:t>
      </w:r>
      <w:r>
        <w:rPr>
          <w:rFonts w:hint="eastAsia" w:ascii="仿宋" w:hAnsi="仿宋" w:eastAsia="仿宋"/>
          <w:sz w:val="30"/>
          <w:szCs w:val="30"/>
          <w:lang w:val="en-US" w:eastAsia="zh-CN"/>
        </w:rPr>
        <w:t>0</w:t>
      </w:r>
      <w:r>
        <w:rPr>
          <w:rFonts w:hint="eastAsia" w:ascii="仿宋" w:hAnsi="仿宋" w:eastAsia="仿宋"/>
          <w:sz w:val="30"/>
          <w:szCs w:val="30"/>
        </w:rPr>
        <w:t xml:space="preserve">%，决算数较2017年增加（减少） </w:t>
      </w:r>
      <w:r>
        <w:rPr>
          <w:rFonts w:hint="eastAsia" w:ascii="仿宋" w:hAnsi="仿宋" w:eastAsia="仿宋"/>
          <w:sz w:val="30"/>
          <w:szCs w:val="30"/>
          <w:lang w:val="en-US" w:eastAsia="zh-CN"/>
        </w:rPr>
        <w:t>0</w:t>
      </w:r>
      <w:r>
        <w:rPr>
          <w:rFonts w:hint="eastAsia" w:ascii="仿宋" w:hAnsi="仿宋" w:eastAsia="仿宋"/>
          <w:sz w:val="30"/>
          <w:szCs w:val="30"/>
        </w:rPr>
        <w:t xml:space="preserve"> 万元，增长（下降） </w:t>
      </w:r>
      <w:r>
        <w:rPr>
          <w:rFonts w:hint="eastAsia" w:ascii="仿宋" w:hAnsi="仿宋" w:eastAsia="仿宋"/>
          <w:sz w:val="30"/>
          <w:szCs w:val="30"/>
          <w:lang w:val="en-US" w:eastAsia="zh-CN"/>
        </w:rPr>
        <w:t>0</w:t>
      </w:r>
      <w:r>
        <w:rPr>
          <w:rFonts w:hint="eastAsia" w:ascii="仿宋" w:hAnsi="仿宋" w:eastAsia="仿宋"/>
          <w:sz w:val="30"/>
          <w:szCs w:val="30"/>
        </w:rPr>
        <w:t xml:space="preserve"> %。</w:t>
      </w:r>
    </w:p>
    <w:p>
      <w:pPr>
        <w:rPr>
          <w:rFonts w:hint="eastAsia"/>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pPr>
        <w:pStyle w:val="4"/>
        <w:spacing w:line="600" w:lineRule="atLeast"/>
        <w:ind w:firstLine="600"/>
        <w:rPr>
          <w:rFonts w:hint="eastAsia" w:ascii="仿宋" w:hAnsi="仿宋" w:eastAsia="仿宋"/>
          <w:sz w:val="30"/>
          <w:szCs w:val="30"/>
        </w:rPr>
      </w:pPr>
    </w:p>
    <w:p>
      <w:pPr>
        <w:widowControl/>
        <w:spacing w:line="580" w:lineRule="exact"/>
        <w:jc w:val="left"/>
        <w:rPr>
          <w:rFonts w:hint="eastAsia" w:ascii="仿宋" w:hAnsi="仿宋" w:eastAsia="仿宋"/>
          <w:kern w:val="0"/>
          <w:sz w:val="30"/>
          <w:szCs w:val="30"/>
        </w:rPr>
      </w:pPr>
      <w:r>
        <w:rPr>
          <w:rFonts w:hint="eastAsia" w:ascii="仿宋" w:hAnsi="仿宋" w:eastAsia="仿宋"/>
          <w:kern w:val="0"/>
          <w:sz w:val="30"/>
          <w:szCs w:val="30"/>
        </w:rPr>
        <w:t xml:space="preserve">    名词解释应以财务会计制度、政府收支分类科目以及部门预算管理等规定为基本说明，可在此基础上结合部门实际情况适当细化。“三公”经费支出和机关运行经费支出口径必需予以说明。</w:t>
      </w:r>
    </w:p>
    <w:p>
      <w:pPr>
        <w:rPr>
          <w:rFonts w:hint="default" w:eastAsiaTheme="minor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仿宋">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6FEF95"/>
    <w:multiLevelType w:val="singleLevel"/>
    <w:tmpl w:val="856FEF9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E85BEA"/>
    <w:rsid w:val="024227CA"/>
    <w:rsid w:val="061157F6"/>
    <w:rsid w:val="076D67A9"/>
    <w:rsid w:val="1A447FC0"/>
    <w:rsid w:val="23A8307D"/>
    <w:rsid w:val="329A1A2F"/>
    <w:rsid w:val="43C3388C"/>
    <w:rsid w:val="45E85BEA"/>
    <w:rsid w:val="46D0595B"/>
    <w:rsid w:val="46D60AA5"/>
    <w:rsid w:val="554720EA"/>
    <w:rsid w:val="569049B5"/>
    <w:rsid w:val="6AEF7423"/>
    <w:rsid w:val="73941E86"/>
    <w:rsid w:val="74675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600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2019-11-07T06:48:00Z</dcterms:created>
  <dc:creator>Administrator</dc:creator>
  <cp:lastModifiedBy>Administrator</cp:lastModifiedBy>
  <dcterms:modified xsi:type="dcterms:W3CDTF">2019-11-14T08:13:28Z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