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农业局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农业局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农业局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1、贯彻落实中央、国务院和省、市、县党委、政府关于发展畜牧业的方针、政策。</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 、参与研究、制定市 畜牧业发展的经济、技术和产业政策。</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 、监督执行国家和有关畜牧业的法律法规，制定我市 畜牧业中长期发展规划，参与制定畜牧业生产和农村经济运行的调控方案，指导畜牧产业结构调整、资源普查、畜牧统计、畜牧投入、资源配置、和保护。</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4、组织推进畜牧业规模化、集约化经营，负责畜牧产业建设项目的立项、报批和组织实施。</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5 、负责全市 畜牧业生产，制定年度生产计划、技术措施，调查掌握畜牧业生产动态，调查反应畜牧业灾害，提出解决意见。</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6、主管畜牧业科技推广工作，指导技术推广体系建设及业务工作。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7、负责畜禽品种资源开发利用、改良与保护 ，组织开展动物疫病及寄生虫病调查、普查、预防，组织实施和管理全市 畜禽产品产地、运输、屠宰 行业监管和屠宰场的 检疫工作。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8、负责兽医行业和兽药饲料市场的管理。</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9、参与组织和引导畜禽及其产品加工、流通，调查畜禽及产品产销信息，做好畜牧业产前、产中、产后的服务工作；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10、负责全市防治重大动物疫病指挥部日常事务 和农业血防综合治理工作 。</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11、完成上级交办的其他工作。</w:t>
      </w:r>
    </w:p>
    <w:p>
      <w:pPr>
        <w:ind w:firstLine="645"/>
        <w:rPr>
          <w:rFonts w:hint="eastAsia" w:ascii="宋体" w:hAnsi="宋体"/>
          <w:b/>
          <w:bCs/>
          <w:sz w:val="32"/>
          <w:szCs w:val="32"/>
          <w:lang w:val="en-US" w:eastAsia="zh-CN"/>
        </w:rPr>
      </w:pPr>
      <w:r>
        <w:rPr>
          <w:rFonts w:hint="eastAsia" w:ascii="宋体" w:hAnsi="宋体"/>
          <w:b/>
          <w:bCs/>
          <w:sz w:val="32"/>
          <w:szCs w:val="32"/>
          <w:lang w:val="en-US" w:eastAsia="zh-CN"/>
        </w:rPr>
        <w:t>二、 主要工作任务：</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1、负责全县畜牧业统计报表、组织指导开展和落实生猪监测与数据采集、上报等相关工作。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2、负责畜牧兽医新技术推广和滨湖黑猪地方品质资源的保种、提纯复壮和开发利用的技术指导和研究。</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3、开展实验室疫病诊断和病理分析、定期和不定期的开展兽药和饲料监管与执法检查、指导全市开展重大动物疫病防控和疫情监测工作。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4、组织指导全县开展家畜血吸虫病的查治工作。组织实施农业血防综合治理项目建设</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5、负责受理卫生合格证的申请、审核、电子出证等相关手续的办理，以及兽医卫生监督综合报表及票证、耳标管理等工作。</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6、负责屠宰行业监管，定期和不定期的，组织开展畜牧兽医综合执法检查与专项整治。</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7、组织开展养殖场畜禽污染防治技术指导。指导实施生猪标准化项目建设。</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8、定期和不定期组织开展畜禽产地检疫和屠宰检疫的监管督导与执法检查。负责养殖场现场考核与网上申报备案管理。</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9、定期和不定期的，组织、指导各乡站对养殖场开展病死畜禽无害化处理及违禁药品与饲料添加剂等违禁品的检测与监管和执法检查。负责收集和统计病死畜禽无害化处理死亡处理相关报表</w:t>
      </w:r>
    </w:p>
    <w:p>
      <w:pPr>
        <w:ind w:firstLine="643" w:firstLineChars="200"/>
        <w:rPr>
          <w:rFonts w:hint="eastAsia" w:ascii="宋体" w:hAnsi="宋体"/>
          <w:b/>
          <w:bCs/>
          <w:sz w:val="32"/>
          <w:szCs w:val="32"/>
          <w:lang w:val="en-US" w:eastAsia="zh-CN"/>
        </w:rPr>
      </w:pPr>
      <w:r>
        <w:rPr>
          <w:rFonts w:hint="eastAsia" w:ascii="宋体" w:hAnsi="宋体"/>
          <w:b/>
          <w:bCs/>
          <w:sz w:val="32"/>
          <w:szCs w:val="32"/>
          <w:lang w:val="en-US" w:eastAsia="zh-CN"/>
        </w:rPr>
        <w:t>三、部门基本情况 </w:t>
      </w:r>
    </w:p>
    <w:p>
      <w:pPr>
        <w:ind w:firstLine="600" w:firstLineChars="200"/>
        <w:rPr>
          <w:rFonts w:hint="eastAsia" w:ascii="仿宋" w:hAnsi="仿宋" w:eastAsia="仿宋" w:cs="Times New Roman"/>
          <w:kern w:val="2"/>
          <w:sz w:val="30"/>
          <w:szCs w:val="30"/>
          <w:lang w:val="en-US" w:eastAsia="zh-CN" w:bidi="ar-SA"/>
        </w:rPr>
      </w:pPr>
      <w:r>
        <w:rPr>
          <w:rFonts w:hint="eastAsia" w:ascii="仿宋" w:hAnsi="仿宋" w:eastAsia="仿宋"/>
          <w:sz w:val="30"/>
          <w:szCs w:val="30"/>
          <w:lang w:val="en-US" w:eastAsia="zh-CN"/>
        </w:rPr>
        <w:t>庐山市畜牧局属庐山市农业局下属独立核算二级局，内设 3个机构 （ 畜牧兽医站 、 动物卫生监督所 、 家畜血吸虫病防治站 ） 。 事业 编制 人数 18个， 实有人数 16人，其中 在编在岗人员10人 ，退休 6人。</w:t>
      </w:r>
      <w:bookmarkStart w:id="0" w:name="_GoBack"/>
      <w:bookmarkEnd w:id="0"/>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208.7373</w:t>
      </w:r>
      <w:r>
        <w:rPr>
          <w:rFonts w:hint="eastAsia" w:ascii="仿宋" w:hAnsi="仿宋" w:eastAsia="仿宋"/>
          <w:sz w:val="30"/>
          <w:szCs w:val="30"/>
        </w:rPr>
        <w:t>万元，较2017年</w:t>
      </w:r>
      <w:r>
        <w:rPr>
          <w:rFonts w:hint="eastAsia" w:ascii="仿宋" w:hAnsi="仿宋" w:eastAsia="仿宋"/>
          <w:sz w:val="30"/>
          <w:szCs w:val="30"/>
          <w:lang w:val="en-US" w:eastAsia="zh-CN"/>
        </w:rPr>
        <w:t>增加68.5602</w:t>
      </w:r>
      <w:r>
        <w:rPr>
          <w:rFonts w:hint="eastAsia" w:ascii="仿宋" w:hAnsi="仿宋" w:eastAsia="仿宋"/>
          <w:sz w:val="30"/>
          <w:szCs w:val="30"/>
        </w:rPr>
        <w:t>万元，</w:t>
      </w:r>
      <w:r>
        <w:rPr>
          <w:rFonts w:hint="eastAsia" w:ascii="仿宋" w:hAnsi="仿宋" w:eastAsia="仿宋"/>
          <w:sz w:val="30"/>
          <w:szCs w:val="30"/>
          <w:lang w:val="en-US" w:eastAsia="zh-CN"/>
        </w:rPr>
        <w:t>增加48.91</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其中一般公共预算财政拨款208.7373万元，</w:t>
      </w:r>
      <w:r>
        <w:rPr>
          <w:rFonts w:hint="eastAsia" w:ascii="仿宋" w:hAnsi="仿宋" w:eastAsia="仿宋"/>
          <w:sz w:val="30"/>
          <w:szCs w:val="30"/>
        </w:rPr>
        <w:t>较2017年</w:t>
      </w:r>
      <w:r>
        <w:rPr>
          <w:rFonts w:hint="eastAsia" w:ascii="仿宋" w:hAnsi="仿宋" w:eastAsia="仿宋"/>
          <w:sz w:val="30"/>
          <w:szCs w:val="30"/>
          <w:lang w:val="en-US" w:eastAsia="zh-CN"/>
        </w:rPr>
        <w:t>增加70.5039</w:t>
      </w:r>
      <w:r>
        <w:rPr>
          <w:rFonts w:hint="eastAsia" w:ascii="仿宋" w:hAnsi="仿宋" w:eastAsia="仿宋"/>
          <w:sz w:val="30"/>
          <w:szCs w:val="30"/>
        </w:rPr>
        <w:t>万元，</w:t>
      </w:r>
      <w:r>
        <w:rPr>
          <w:rFonts w:hint="eastAsia" w:ascii="仿宋" w:hAnsi="仿宋" w:eastAsia="仿宋"/>
          <w:sz w:val="30"/>
          <w:szCs w:val="30"/>
          <w:lang w:val="en-US" w:eastAsia="zh-CN"/>
        </w:rPr>
        <w:t>增加51</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日常公用经费增加。</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208.7373</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198.5029</w:t>
      </w:r>
      <w:r>
        <w:rPr>
          <w:rFonts w:hint="eastAsia" w:ascii="仿宋" w:hAnsi="仿宋" w:eastAsia="仿宋"/>
          <w:sz w:val="30"/>
          <w:szCs w:val="30"/>
        </w:rPr>
        <w:t>万元，较2017年增加</w:t>
      </w:r>
      <w:r>
        <w:rPr>
          <w:rFonts w:hint="eastAsia" w:ascii="仿宋" w:hAnsi="仿宋" w:eastAsia="仿宋"/>
          <w:sz w:val="30"/>
          <w:szCs w:val="30"/>
          <w:lang w:val="en-US" w:eastAsia="zh-CN"/>
        </w:rPr>
        <w:t>64.9596</w:t>
      </w:r>
      <w:r>
        <w:rPr>
          <w:rFonts w:hint="eastAsia" w:ascii="仿宋" w:hAnsi="仿宋" w:eastAsia="仿宋"/>
          <w:sz w:val="30"/>
          <w:szCs w:val="30"/>
        </w:rPr>
        <w:t>万元，增长</w:t>
      </w:r>
      <w:r>
        <w:rPr>
          <w:rFonts w:hint="eastAsia" w:ascii="仿宋" w:hAnsi="仿宋" w:eastAsia="仿宋"/>
          <w:sz w:val="30"/>
          <w:szCs w:val="30"/>
          <w:lang w:val="en-US" w:eastAsia="zh-CN"/>
        </w:rPr>
        <w:t>48.64</w:t>
      </w:r>
      <w:r>
        <w:rPr>
          <w:rFonts w:hint="eastAsia" w:ascii="仿宋" w:hAnsi="仿宋" w:eastAsia="仿宋"/>
          <w:sz w:val="30"/>
          <w:szCs w:val="30"/>
        </w:rPr>
        <w:t>%；</w:t>
      </w:r>
      <w:r>
        <w:rPr>
          <w:rFonts w:hint="eastAsia" w:ascii="仿宋" w:hAnsi="仿宋" w:eastAsia="仿宋"/>
          <w:sz w:val="30"/>
          <w:szCs w:val="30"/>
          <w:lang w:val="en-US" w:eastAsia="zh-CN"/>
        </w:rPr>
        <w:t>其中基本支出198.5029万元，较2017年增加64.9596</w:t>
      </w:r>
      <w:r>
        <w:rPr>
          <w:rFonts w:hint="eastAsia" w:ascii="仿宋" w:hAnsi="仿宋" w:eastAsia="仿宋"/>
          <w:sz w:val="30"/>
          <w:szCs w:val="30"/>
        </w:rPr>
        <w:t>万元，增长</w:t>
      </w:r>
      <w:r>
        <w:rPr>
          <w:rFonts w:hint="eastAsia" w:ascii="仿宋" w:hAnsi="仿宋" w:eastAsia="仿宋"/>
          <w:sz w:val="30"/>
          <w:szCs w:val="30"/>
          <w:lang w:val="en-US" w:eastAsia="zh-CN"/>
        </w:rPr>
        <w:t>48.64%。主要原因是费用增加。</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198.5029</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162.1625</w:t>
      </w:r>
      <w:r>
        <w:rPr>
          <w:rFonts w:hint="eastAsia" w:ascii="仿宋" w:hAnsi="仿宋" w:eastAsia="仿宋"/>
          <w:sz w:val="30"/>
          <w:szCs w:val="30"/>
        </w:rPr>
        <w:t>万元，决算数为</w:t>
      </w:r>
      <w:r>
        <w:rPr>
          <w:rFonts w:hint="eastAsia" w:ascii="仿宋" w:hAnsi="仿宋" w:eastAsia="仿宋"/>
          <w:sz w:val="30"/>
          <w:szCs w:val="30"/>
          <w:lang w:val="en-US" w:eastAsia="zh-CN"/>
        </w:rPr>
        <w:t>198.5029</w:t>
      </w:r>
      <w:r>
        <w:rPr>
          <w:rFonts w:hint="eastAsia" w:ascii="仿宋" w:hAnsi="仿宋" w:eastAsia="仿宋"/>
          <w:sz w:val="30"/>
          <w:szCs w:val="30"/>
        </w:rPr>
        <w:t>万元，完成年初预算的</w:t>
      </w:r>
      <w:r>
        <w:rPr>
          <w:rFonts w:hint="eastAsia" w:ascii="仿宋" w:hAnsi="仿宋" w:eastAsia="仿宋"/>
          <w:sz w:val="30"/>
          <w:szCs w:val="30"/>
          <w:lang w:val="en-US" w:eastAsia="zh-CN"/>
        </w:rPr>
        <w:t>113</w:t>
      </w:r>
      <w:r>
        <w:rPr>
          <w:rFonts w:hint="eastAsia" w:ascii="仿宋" w:hAnsi="仿宋" w:eastAsia="仿宋"/>
          <w:sz w:val="30"/>
          <w:szCs w:val="30"/>
        </w:rPr>
        <w:t>%。其中：</w:t>
      </w:r>
    </w:p>
    <w:p>
      <w:pPr>
        <w:ind w:firstLine="600" w:firstLineChars="200"/>
        <w:rPr>
          <w:rFonts w:hint="eastAsia"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106.2347</w:t>
      </w:r>
      <w:r>
        <w:rPr>
          <w:rFonts w:hint="eastAsia" w:ascii="仿宋" w:hAnsi="仿宋" w:eastAsia="仿宋"/>
          <w:sz w:val="30"/>
          <w:szCs w:val="30"/>
        </w:rPr>
        <w:t>万元，决算数为</w:t>
      </w:r>
      <w:r>
        <w:rPr>
          <w:rFonts w:hint="eastAsia" w:ascii="仿宋" w:hAnsi="仿宋" w:eastAsia="仿宋"/>
          <w:sz w:val="30"/>
          <w:szCs w:val="30"/>
          <w:lang w:val="en-US" w:eastAsia="zh-CN"/>
        </w:rPr>
        <w:t>198.5029</w:t>
      </w:r>
      <w:r>
        <w:rPr>
          <w:rFonts w:hint="eastAsia" w:ascii="仿宋" w:hAnsi="仿宋" w:eastAsia="仿宋"/>
          <w:sz w:val="30"/>
          <w:szCs w:val="30"/>
        </w:rPr>
        <w:t>万元，完成年初预算的</w:t>
      </w:r>
      <w:r>
        <w:rPr>
          <w:rFonts w:hint="eastAsia" w:ascii="仿宋" w:hAnsi="仿宋" w:eastAsia="仿宋"/>
          <w:sz w:val="30"/>
          <w:szCs w:val="30"/>
          <w:lang w:val="en-US" w:eastAsia="zh-CN"/>
        </w:rPr>
        <w:t>115.12</w:t>
      </w:r>
      <w:r>
        <w:rPr>
          <w:rFonts w:hint="eastAsia" w:ascii="仿宋" w:hAnsi="仿宋" w:eastAsia="仿宋"/>
          <w:sz w:val="30"/>
          <w:szCs w:val="30"/>
        </w:rPr>
        <w:t>%</w:t>
      </w:r>
      <w:r>
        <w:rPr>
          <w:rFonts w:hint="eastAsia" w:ascii="仿宋" w:hAnsi="仿宋" w:eastAsia="仿宋"/>
          <w:sz w:val="30"/>
          <w:szCs w:val="30"/>
          <w:lang w:eastAsia="zh-CN"/>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198.5029</w:t>
      </w:r>
      <w:r>
        <w:rPr>
          <w:rFonts w:hint="eastAsia" w:ascii="仿宋" w:hAnsi="仿宋" w:eastAsia="仿宋"/>
          <w:sz w:val="30"/>
          <w:szCs w:val="30"/>
        </w:rPr>
        <w:t>万元，其中：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w:t>
      </w:r>
      <w:r>
        <w:rPr>
          <w:rFonts w:hint="eastAsia" w:ascii="仿宋" w:hAnsi="仿宋" w:eastAsia="仿宋"/>
          <w:sz w:val="30"/>
          <w:szCs w:val="30"/>
          <w:lang w:val="en-US" w:eastAsia="zh-CN"/>
        </w:rPr>
        <w:t>113.7306</w:t>
      </w:r>
      <w:r>
        <w:rPr>
          <w:rFonts w:hint="eastAsia" w:ascii="仿宋" w:hAnsi="仿宋" w:eastAsia="仿宋"/>
          <w:sz w:val="30"/>
          <w:szCs w:val="30"/>
        </w:rPr>
        <w:t>万元，较2017年</w:t>
      </w:r>
      <w:r>
        <w:rPr>
          <w:rFonts w:hint="eastAsia" w:ascii="仿宋" w:hAnsi="仿宋" w:eastAsia="仿宋"/>
          <w:sz w:val="30"/>
          <w:szCs w:val="30"/>
          <w:lang w:val="en-US" w:eastAsia="zh-CN"/>
        </w:rPr>
        <w:t>增加14.3506万元，增加14.44%。主要原因是工资奖金增加。</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w:t>
      </w:r>
      <w:r>
        <w:rPr>
          <w:rFonts w:hint="eastAsia" w:ascii="仿宋" w:hAnsi="仿宋" w:eastAsia="仿宋"/>
          <w:sz w:val="30"/>
          <w:szCs w:val="30"/>
          <w:lang w:val="en-US" w:eastAsia="zh-CN"/>
        </w:rPr>
        <w:t>39.9249</w:t>
      </w:r>
      <w:r>
        <w:rPr>
          <w:rFonts w:hint="eastAsia" w:ascii="仿宋" w:hAnsi="仿宋" w:eastAsia="仿宋"/>
          <w:sz w:val="30"/>
          <w:szCs w:val="30"/>
        </w:rPr>
        <w:t>万元，较2017年</w:t>
      </w:r>
      <w:r>
        <w:rPr>
          <w:rFonts w:hint="eastAsia" w:ascii="仿宋" w:hAnsi="仿宋" w:eastAsia="仿宋"/>
          <w:sz w:val="30"/>
          <w:szCs w:val="30"/>
          <w:lang w:val="en-US" w:eastAsia="zh-CN"/>
        </w:rPr>
        <w:t>增加13.8934万元，增加53.37%，主要原因：费用增加。</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42.4668</w:t>
      </w:r>
      <w:r>
        <w:rPr>
          <w:rFonts w:hint="eastAsia" w:ascii="仿宋" w:hAnsi="仿宋" w:eastAsia="仿宋"/>
          <w:sz w:val="30"/>
          <w:szCs w:val="30"/>
        </w:rPr>
        <w:t>万元，较2017年</w:t>
      </w:r>
      <w:r>
        <w:rPr>
          <w:rFonts w:hint="eastAsia" w:ascii="仿宋" w:hAnsi="仿宋" w:eastAsia="仿宋"/>
          <w:sz w:val="30"/>
          <w:szCs w:val="30"/>
          <w:lang w:val="en-US" w:eastAsia="zh-CN"/>
        </w:rPr>
        <w:t>增加34.903万元，减少461.67%，主要原因是：给予乡村兽医补助。</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2.3806</w:t>
      </w:r>
      <w:r>
        <w:rPr>
          <w:rFonts w:hint="eastAsia" w:ascii="仿宋" w:hAnsi="仿宋" w:eastAsia="仿宋"/>
          <w:sz w:val="30"/>
          <w:szCs w:val="30"/>
        </w:rPr>
        <w:t>万元，较2017年</w:t>
      </w:r>
      <w:r>
        <w:rPr>
          <w:rFonts w:hint="eastAsia" w:ascii="仿宋" w:hAnsi="仿宋" w:eastAsia="仿宋"/>
          <w:sz w:val="30"/>
          <w:szCs w:val="30"/>
          <w:lang w:val="en-US" w:eastAsia="zh-CN"/>
        </w:rPr>
        <w:t>基本持平。</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11.3</w:t>
      </w:r>
      <w:r>
        <w:rPr>
          <w:rFonts w:hint="eastAsia" w:ascii="仿宋" w:hAnsi="仿宋" w:eastAsia="仿宋"/>
          <w:sz w:val="30"/>
          <w:szCs w:val="30"/>
        </w:rPr>
        <w:t>万元，决算数为</w:t>
      </w:r>
      <w:r>
        <w:rPr>
          <w:rFonts w:hint="eastAsia" w:ascii="仿宋" w:hAnsi="仿宋" w:eastAsia="仿宋"/>
          <w:sz w:val="30"/>
          <w:szCs w:val="30"/>
          <w:lang w:val="en-US" w:eastAsia="zh-CN"/>
        </w:rPr>
        <w:t>1.8648</w:t>
      </w:r>
      <w:r>
        <w:rPr>
          <w:rFonts w:hint="eastAsia" w:ascii="仿宋" w:hAnsi="仿宋" w:eastAsia="仿宋"/>
          <w:sz w:val="30"/>
          <w:szCs w:val="30"/>
        </w:rPr>
        <w:t>万元，完成预算的</w:t>
      </w:r>
      <w:r>
        <w:rPr>
          <w:rFonts w:hint="eastAsia" w:ascii="仿宋" w:hAnsi="仿宋" w:eastAsia="仿宋"/>
          <w:sz w:val="30"/>
          <w:szCs w:val="30"/>
          <w:lang w:val="en-US" w:eastAsia="zh-CN"/>
        </w:rPr>
        <w:t>5</w:t>
      </w:r>
      <w:r>
        <w:rPr>
          <w:rFonts w:hint="eastAsia" w:ascii="仿宋" w:hAnsi="仿宋" w:eastAsia="仿宋"/>
          <w:sz w:val="30"/>
          <w:szCs w:val="30"/>
        </w:rPr>
        <w:t>%，决算数较2017年</w:t>
      </w:r>
      <w:r>
        <w:rPr>
          <w:rFonts w:hint="eastAsia" w:ascii="仿宋" w:hAnsi="仿宋" w:eastAsia="仿宋"/>
          <w:sz w:val="30"/>
          <w:szCs w:val="30"/>
          <w:lang w:val="en-US" w:eastAsia="zh-CN"/>
        </w:rPr>
        <w:t>减少0.1818</w:t>
      </w:r>
      <w:r>
        <w:rPr>
          <w:rFonts w:hint="eastAsia" w:ascii="仿宋" w:hAnsi="仿宋" w:eastAsia="仿宋"/>
          <w:sz w:val="30"/>
          <w:szCs w:val="30"/>
        </w:rPr>
        <w:t>万元，</w:t>
      </w:r>
      <w:r>
        <w:rPr>
          <w:rFonts w:hint="eastAsia" w:ascii="仿宋" w:hAnsi="仿宋" w:eastAsia="仿宋"/>
          <w:sz w:val="30"/>
          <w:szCs w:val="30"/>
          <w:lang w:val="en-US" w:eastAsia="zh-CN"/>
        </w:rPr>
        <w:t>减少8.88%。</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default" w:ascii="仿宋" w:hAnsi="仿宋" w:eastAsia="仿宋"/>
          <w:sz w:val="30"/>
          <w:szCs w:val="30"/>
          <w:lang w:val="en-US"/>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7.2</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0.8723</w:t>
      </w:r>
      <w:r>
        <w:rPr>
          <w:rFonts w:hint="eastAsia" w:ascii="仿宋" w:hAnsi="仿宋" w:eastAsia="仿宋"/>
          <w:sz w:val="30"/>
          <w:szCs w:val="30"/>
        </w:rPr>
        <w:t>万元，完成预算的</w:t>
      </w:r>
      <w:r>
        <w:rPr>
          <w:rFonts w:hint="eastAsia" w:ascii="仿宋" w:hAnsi="仿宋" w:eastAsia="仿宋"/>
          <w:sz w:val="30"/>
          <w:szCs w:val="30"/>
          <w:lang w:val="en-US" w:eastAsia="zh-CN"/>
        </w:rPr>
        <w:t>5</w:t>
      </w:r>
      <w:r>
        <w:rPr>
          <w:rFonts w:hint="eastAsia" w:ascii="仿宋" w:hAnsi="仿宋" w:eastAsia="仿宋"/>
          <w:sz w:val="30"/>
          <w:szCs w:val="30"/>
        </w:rPr>
        <w:t xml:space="preserve"> %，决算数较2017年</w:t>
      </w:r>
      <w:r>
        <w:rPr>
          <w:rFonts w:hint="eastAsia" w:ascii="仿宋" w:hAnsi="仿宋" w:eastAsia="仿宋"/>
          <w:sz w:val="30"/>
          <w:szCs w:val="30"/>
          <w:lang w:val="en-US" w:eastAsia="zh-CN"/>
        </w:rPr>
        <w:t>增加0.4563</w:t>
      </w:r>
      <w:r>
        <w:rPr>
          <w:rFonts w:hint="eastAsia" w:ascii="仿宋" w:hAnsi="仿宋" w:eastAsia="仿宋"/>
          <w:sz w:val="30"/>
          <w:szCs w:val="30"/>
        </w:rPr>
        <w:t>万元，</w:t>
      </w:r>
      <w:r>
        <w:rPr>
          <w:rFonts w:hint="eastAsia" w:ascii="仿宋" w:hAnsi="仿宋" w:eastAsia="仿宋"/>
          <w:sz w:val="30"/>
          <w:szCs w:val="30"/>
          <w:lang w:val="en-US" w:eastAsia="zh-CN"/>
        </w:rPr>
        <w:t>增加109.69%。主要原因是：招待人数增加。</w:t>
      </w:r>
    </w:p>
    <w:p>
      <w:pPr>
        <w:ind w:firstLine="630"/>
        <w:jc w:val="left"/>
        <w:rPr>
          <w:rFonts w:hint="default" w:ascii="仿宋" w:hAnsi="仿宋" w:eastAsia="仿宋"/>
          <w:sz w:val="30"/>
          <w:szCs w:val="30"/>
          <w:lang w:val="en-US"/>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4.1</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初预算数为</w:t>
      </w:r>
      <w:r>
        <w:rPr>
          <w:rFonts w:hint="eastAsia" w:ascii="仿宋" w:hAnsi="仿宋" w:eastAsia="仿宋"/>
          <w:sz w:val="30"/>
          <w:szCs w:val="30"/>
          <w:lang w:val="en-US" w:eastAsia="zh-CN"/>
        </w:rPr>
        <w:t>4.1</w:t>
      </w:r>
      <w:r>
        <w:rPr>
          <w:rFonts w:hint="eastAsia" w:ascii="仿宋" w:hAnsi="仿宋" w:eastAsia="仿宋"/>
          <w:sz w:val="30"/>
          <w:szCs w:val="30"/>
        </w:rPr>
        <w:t>万元，决算数为</w:t>
      </w:r>
      <w:r>
        <w:rPr>
          <w:rFonts w:hint="eastAsia" w:ascii="仿宋" w:hAnsi="仿宋" w:eastAsia="仿宋"/>
          <w:sz w:val="30"/>
          <w:szCs w:val="30"/>
          <w:lang w:val="en-US" w:eastAsia="zh-CN"/>
        </w:rPr>
        <w:t>0.9925</w:t>
      </w:r>
      <w:r>
        <w:rPr>
          <w:rFonts w:hint="eastAsia" w:ascii="仿宋" w:hAnsi="仿宋" w:eastAsia="仿宋"/>
          <w:sz w:val="30"/>
          <w:szCs w:val="30"/>
        </w:rPr>
        <w:t>万元，完成预算的</w:t>
      </w:r>
      <w:r>
        <w:rPr>
          <w:rFonts w:hint="eastAsia" w:ascii="仿宋" w:hAnsi="仿宋" w:eastAsia="仿宋"/>
          <w:sz w:val="30"/>
          <w:szCs w:val="30"/>
          <w:lang w:val="en-US" w:eastAsia="zh-CN"/>
        </w:rPr>
        <w:t>8</w:t>
      </w:r>
      <w:r>
        <w:rPr>
          <w:rFonts w:hint="eastAsia" w:ascii="仿宋" w:hAnsi="仿宋" w:eastAsia="仿宋"/>
          <w:sz w:val="30"/>
          <w:szCs w:val="30"/>
        </w:rPr>
        <w:t>%，决算数较2017年</w:t>
      </w:r>
      <w:r>
        <w:rPr>
          <w:rFonts w:hint="eastAsia" w:ascii="仿宋" w:hAnsi="仿宋" w:eastAsia="仿宋"/>
          <w:sz w:val="30"/>
          <w:szCs w:val="30"/>
          <w:lang w:val="en-US" w:eastAsia="zh-CN"/>
        </w:rPr>
        <w:t>减少0.6381</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lang w:val="en-US" w:eastAsia="zh-CN"/>
        </w:rPr>
        <w:t>减少39.13%。主要原因是：费用减少。</w:t>
      </w:r>
    </w:p>
    <w:p>
      <w:pPr>
        <w:ind w:firstLine="630"/>
        <w:jc w:val="left"/>
        <w:rPr>
          <w:rFonts w:hint="eastAsia" w:ascii="黑体" w:hAnsi="黑体" w:eastAsia="黑体"/>
          <w:sz w:val="30"/>
          <w:szCs w:val="30"/>
        </w:rPr>
      </w:pPr>
      <w:r>
        <w:rPr>
          <w:rFonts w:hint="eastAsia" w:ascii="黑体" w:hAnsi="黑体" w:eastAsia="黑体"/>
          <w:sz w:val="30"/>
          <w:szCs w:val="30"/>
          <w:lang w:val="en-US" w:eastAsia="zh-CN"/>
        </w:rPr>
        <w:t>六</w:t>
      </w:r>
      <w:r>
        <w:rPr>
          <w:rFonts w:hint="eastAsia" w:ascii="黑体" w:hAnsi="黑体" w:eastAsia="黑体"/>
          <w:sz w:val="30"/>
          <w:szCs w:val="30"/>
        </w:rPr>
        <w:t>、政府采购支出情况说明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1</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台（套）；单位价值100万元以上专用设备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firstLineChars="200"/>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w:t>
      </w:r>
      <w:r>
        <w:rPr>
          <w:rFonts w:hint="eastAsia" w:ascii="仿宋" w:hAnsi="仿宋" w:eastAsia="仿宋" w:cs="仿宋_GB2312"/>
          <w:kern w:val="0"/>
          <w:sz w:val="30"/>
          <w:szCs w:val="3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9AD24A5"/>
    <w:rsid w:val="19DB4DE6"/>
    <w:rsid w:val="2C395C4C"/>
    <w:rsid w:val="2E062683"/>
    <w:rsid w:val="2E1A3316"/>
    <w:rsid w:val="3C7C6951"/>
    <w:rsid w:val="5FDF7526"/>
    <w:rsid w:val="6ACC00A9"/>
    <w:rsid w:val="7C711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3</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2021-05-21T10:25:35Z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5075171162F0498DB1AFF1BB31EA483B</vt:lpwstr>
  </property>
</Properties>
</file>