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FA1" w:rsidRDefault="008D4FA1" w:rsidP="008D4FA1">
      <w:pPr>
        <w:spacing w:line="600" w:lineRule="exact"/>
        <w:jc w:val="center"/>
        <w:rPr>
          <w:rFonts w:ascii="黑体" w:eastAsia="黑体"/>
          <w:sz w:val="44"/>
          <w:szCs w:val="36"/>
        </w:rPr>
      </w:pPr>
      <w:r>
        <w:rPr>
          <w:rFonts w:ascii="黑体" w:eastAsia="黑体" w:hint="eastAsia"/>
          <w:sz w:val="44"/>
          <w:szCs w:val="36"/>
        </w:rPr>
        <w:t>商务局201</w:t>
      </w:r>
      <w:r w:rsidR="00497A69">
        <w:rPr>
          <w:rFonts w:ascii="黑体" w:eastAsia="黑体" w:hint="eastAsia"/>
          <w:sz w:val="44"/>
          <w:szCs w:val="36"/>
        </w:rPr>
        <w:t>8</w:t>
      </w:r>
      <w:r>
        <w:rPr>
          <w:rFonts w:ascii="黑体" w:eastAsia="黑体" w:hint="eastAsia"/>
          <w:sz w:val="44"/>
          <w:szCs w:val="36"/>
        </w:rPr>
        <w:t>年度部门决算</w:t>
      </w:r>
      <w:r w:rsidR="00B12398">
        <w:rPr>
          <w:rFonts w:ascii="黑体" w:eastAsia="黑体" w:hint="eastAsia"/>
          <w:sz w:val="44"/>
          <w:szCs w:val="36"/>
        </w:rPr>
        <w:t>编制说明</w:t>
      </w:r>
    </w:p>
    <w:p w:rsidR="008D4FA1" w:rsidRDefault="008D4FA1" w:rsidP="008D4FA1">
      <w:pPr>
        <w:widowControl/>
        <w:spacing w:line="580" w:lineRule="exact"/>
        <w:jc w:val="center"/>
        <w:rPr>
          <w:rFonts w:ascii="宋体" w:hAnsi="宋体"/>
          <w:b/>
          <w:sz w:val="32"/>
          <w:szCs w:val="30"/>
        </w:rPr>
      </w:pPr>
      <w:r>
        <w:rPr>
          <w:rFonts w:ascii="宋体" w:hAnsi="宋体" w:hint="eastAsia"/>
          <w:b/>
          <w:sz w:val="32"/>
          <w:szCs w:val="30"/>
        </w:rPr>
        <w:t xml:space="preserve">第一部分 </w:t>
      </w:r>
      <w:r>
        <w:rPr>
          <w:rFonts w:ascii="宋体" w:hAnsi="宋体" w:hint="eastAsia"/>
          <w:b/>
          <w:sz w:val="32"/>
          <w:szCs w:val="32"/>
        </w:rPr>
        <w:t>商务局</w:t>
      </w:r>
      <w:r>
        <w:rPr>
          <w:rFonts w:ascii="宋体" w:hAnsi="宋体" w:hint="eastAsia"/>
          <w:b/>
          <w:sz w:val="32"/>
          <w:szCs w:val="30"/>
        </w:rPr>
        <w:t>概况</w:t>
      </w:r>
    </w:p>
    <w:p w:rsidR="008D4FA1" w:rsidRDefault="008D4FA1" w:rsidP="008D4FA1">
      <w:pPr>
        <w:ind w:firstLine="630"/>
        <w:jc w:val="left"/>
        <w:rPr>
          <w:rFonts w:ascii="黑体" w:eastAsia="黑体" w:hAnsi="黑体"/>
          <w:sz w:val="30"/>
          <w:szCs w:val="30"/>
        </w:rPr>
      </w:pPr>
      <w:r>
        <w:rPr>
          <w:rFonts w:ascii="黑体" w:eastAsia="黑体" w:hAnsi="黑体" w:hint="eastAsia"/>
          <w:sz w:val="30"/>
          <w:szCs w:val="30"/>
        </w:rPr>
        <w:t>一、部门主要职能</w:t>
      </w:r>
    </w:p>
    <w:p w:rsidR="008D4FA1" w:rsidRPr="004D509B" w:rsidRDefault="008D4FA1" w:rsidP="008D4FA1">
      <w:pPr>
        <w:widowControl/>
        <w:spacing w:line="600" w:lineRule="exact"/>
        <w:ind w:firstLineChars="200" w:firstLine="600"/>
        <w:jc w:val="left"/>
        <w:rPr>
          <w:rFonts w:ascii="仿宋" w:eastAsia="仿宋" w:hAnsi="仿宋"/>
          <w:sz w:val="30"/>
          <w:szCs w:val="30"/>
        </w:rPr>
      </w:pPr>
      <w:r w:rsidRPr="004D509B">
        <w:rPr>
          <w:rFonts w:ascii="仿宋" w:eastAsia="仿宋" w:hAnsi="仿宋" w:hint="eastAsia"/>
          <w:sz w:val="30"/>
          <w:szCs w:val="30"/>
        </w:rPr>
        <w:t>市商务局是贯彻执行国家、省关于外贸、外经、外资、商品流通和商贸服务业的法律、法规和方针政策，组织实施利用外资、引进内资、国内外贸易、对外经济合作相关统计、考核和奖惩工作；负责指导、协调、管理全市外资、外贸、外经工作；负责统筹全市招商引资工作</w:t>
      </w:r>
      <w:r w:rsidR="004678D2">
        <w:rPr>
          <w:rFonts w:ascii="仿宋" w:eastAsia="仿宋" w:hAnsi="仿宋" w:hint="eastAsia"/>
          <w:sz w:val="30"/>
          <w:szCs w:val="30"/>
        </w:rPr>
        <w:t>,</w:t>
      </w:r>
      <w:r w:rsidRPr="004D509B">
        <w:rPr>
          <w:rFonts w:ascii="仿宋" w:eastAsia="仿宋" w:hAnsi="仿宋" w:hint="eastAsia"/>
          <w:sz w:val="30"/>
          <w:szCs w:val="30"/>
        </w:rPr>
        <w:t>完成市委、市政府交办的其他任务。</w:t>
      </w:r>
    </w:p>
    <w:p w:rsidR="008D4FA1" w:rsidRPr="004D509B" w:rsidRDefault="008D4FA1" w:rsidP="008D4FA1">
      <w:pPr>
        <w:widowControl/>
        <w:snapToGrid w:val="0"/>
        <w:spacing w:line="520" w:lineRule="exact"/>
        <w:ind w:left="640"/>
        <w:jc w:val="left"/>
        <w:rPr>
          <w:rFonts w:ascii="仿宋" w:eastAsia="仿宋" w:hAnsi="仿宋"/>
          <w:sz w:val="30"/>
          <w:szCs w:val="30"/>
        </w:rPr>
      </w:pPr>
      <w:r w:rsidRPr="004D509B">
        <w:rPr>
          <w:rFonts w:ascii="仿宋" w:eastAsia="仿宋" w:hAnsi="仿宋" w:hint="eastAsia"/>
          <w:sz w:val="30"/>
          <w:szCs w:val="30"/>
        </w:rPr>
        <w:t>二、部门基本情况。</w:t>
      </w:r>
    </w:p>
    <w:p w:rsidR="008D4FA1" w:rsidRPr="004D509B" w:rsidRDefault="008D4FA1" w:rsidP="004D509B">
      <w:pPr>
        <w:widowControl/>
        <w:snapToGrid w:val="0"/>
        <w:spacing w:line="520" w:lineRule="exact"/>
        <w:ind w:firstLineChars="200" w:firstLine="600"/>
        <w:jc w:val="left"/>
        <w:rPr>
          <w:rFonts w:ascii="仿宋" w:eastAsia="仿宋" w:hAnsi="仿宋"/>
          <w:sz w:val="30"/>
          <w:szCs w:val="30"/>
        </w:rPr>
      </w:pPr>
      <w:r w:rsidRPr="004D509B">
        <w:rPr>
          <w:rFonts w:ascii="仿宋" w:eastAsia="仿宋" w:hAnsi="仿宋" w:hint="eastAsia"/>
          <w:sz w:val="30"/>
          <w:szCs w:val="30"/>
        </w:rPr>
        <w:t>纳入本套部门决算汇编范围的单位共有1个，包括局本级和下属副科级事业单位一个，事业单位未独立核算。</w:t>
      </w:r>
    </w:p>
    <w:p w:rsidR="008D4FA1" w:rsidRPr="004D509B" w:rsidRDefault="008D4FA1" w:rsidP="004D509B">
      <w:pPr>
        <w:widowControl/>
        <w:snapToGrid w:val="0"/>
        <w:spacing w:line="520" w:lineRule="exact"/>
        <w:ind w:firstLineChars="200" w:firstLine="600"/>
        <w:jc w:val="left"/>
        <w:rPr>
          <w:rFonts w:ascii="仿宋" w:eastAsia="仿宋" w:hAnsi="仿宋"/>
          <w:sz w:val="30"/>
          <w:szCs w:val="30"/>
        </w:rPr>
      </w:pPr>
      <w:r w:rsidRPr="004D509B">
        <w:rPr>
          <w:rFonts w:ascii="仿宋" w:eastAsia="仿宋" w:hAnsi="仿宋" w:hint="eastAsia"/>
          <w:sz w:val="30"/>
          <w:szCs w:val="30"/>
        </w:rPr>
        <w:t>本部门201</w:t>
      </w:r>
      <w:r w:rsidR="004678D2">
        <w:rPr>
          <w:rFonts w:ascii="仿宋" w:eastAsia="仿宋" w:hAnsi="仿宋" w:hint="eastAsia"/>
          <w:sz w:val="30"/>
          <w:szCs w:val="30"/>
        </w:rPr>
        <w:t>8</w:t>
      </w:r>
      <w:r w:rsidRPr="004D509B">
        <w:rPr>
          <w:rFonts w:ascii="仿宋" w:eastAsia="仿宋" w:hAnsi="仿宋" w:hint="eastAsia"/>
          <w:sz w:val="30"/>
          <w:szCs w:val="30"/>
        </w:rPr>
        <w:t>年年末实有人数19人，其中：在职人数14人，包括行政人员10人、全部补助事业人员4人，离休人员1人；退休人员4人。</w:t>
      </w:r>
    </w:p>
    <w:p w:rsidR="008D4FA1" w:rsidRDefault="008D4FA1" w:rsidP="008D4FA1">
      <w:pPr>
        <w:ind w:firstLine="630"/>
        <w:jc w:val="left"/>
        <w:rPr>
          <w:rFonts w:ascii="仿宋" w:eastAsia="仿宋" w:hAnsi="仿宋"/>
          <w:sz w:val="30"/>
          <w:szCs w:val="30"/>
        </w:rPr>
      </w:pPr>
    </w:p>
    <w:p w:rsidR="008D4FA1" w:rsidRPr="004D509B" w:rsidRDefault="008D4FA1" w:rsidP="008D4FA1">
      <w:pPr>
        <w:widowControl/>
        <w:spacing w:line="600" w:lineRule="exact"/>
        <w:ind w:firstLine="640"/>
        <w:jc w:val="center"/>
        <w:rPr>
          <w:rFonts w:ascii="仿宋" w:eastAsia="仿宋" w:hAnsi="仿宋"/>
          <w:sz w:val="30"/>
          <w:szCs w:val="30"/>
        </w:rPr>
      </w:pPr>
    </w:p>
    <w:p w:rsidR="008D4FA1" w:rsidRDefault="008D4FA1" w:rsidP="008D4FA1">
      <w:pPr>
        <w:widowControl/>
        <w:spacing w:line="600" w:lineRule="exact"/>
        <w:ind w:firstLine="640"/>
        <w:jc w:val="center"/>
        <w:rPr>
          <w:rFonts w:ascii="宋体" w:hAnsi="宋体"/>
          <w:b/>
          <w:sz w:val="32"/>
          <w:szCs w:val="32"/>
        </w:rPr>
      </w:pPr>
      <w:r>
        <w:rPr>
          <w:rFonts w:ascii="宋体" w:hAnsi="宋体" w:hint="eastAsia"/>
          <w:b/>
          <w:sz w:val="32"/>
          <w:szCs w:val="32"/>
        </w:rPr>
        <w:t>第二部分  201</w:t>
      </w:r>
      <w:r w:rsidR="004678D2">
        <w:rPr>
          <w:rFonts w:ascii="宋体" w:hAnsi="宋体" w:hint="eastAsia"/>
          <w:b/>
          <w:sz w:val="32"/>
          <w:szCs w:val="32"/>
        </w:rPr>
        <w:t>8</w:t>
      </w:r>
      <w:r>
        <w:rPr>
          <w:rFonts w:ascii="宋体" w:hAnsi="宋体" w:hint="eastAsia"/>
          <w:b/>
          <w:sz w:val="32"/>
          <w:szCs w:val="32"/>
        </w:rPr>
        <w:t>年度部门决算表</w:t>
      </w:r>
    </w:p>
    <w:p w:rsidR="008D4FA1" w:rsidRDefault="008D4FA1" w:rsidP="008D4FA1">
      <w:pPr>
        <w:autoSpaceDE w:val="0"/>
        <w:autoSpaceDN w:val="0"/>
        <w:adjustRightInd w:val="0"/>
        <w:spacing w:line="360" w:lineRule="auto"/>
        <w:jc w:val="left"/>
        <w:rPr>
          <w:szCs w:val="30"/>
        </w:rPr>
      </w:pPr>
    </w:p>
    <w:p w:rsidR="008D4FA1" w:rsidRDefault="008D4FA1" w:rsidP="00BF3FF2">
      <w:pPr>
        <w:rPr>
          <w:szCs w:val="30"/>
        </w:rPr>
      </w:pPr>
    </w:p>
    <w:p w:rsidR="008D4FA1" w:rsidRDefault="008D4FA1" w:rsidP="008D4FA1">
      <w:pPr>
        <w:autoSpaceDE w:val="0"/>
        <w:autoSpaceDN w:val="0"/>
        <w:adjustRightInd w:val="0"/>
        <w:spacing w:line="360" w:lineRule="auto"/>
        <w:jc w:val="left"/>
        <w:rPr>
          <w:rFonts w:ascii="仿宋" w:eastAsia="仿宋" w:hAnsi="仿宋" w:cs="仿宋_GB2312"/>
          <w:kern w:val="0"/>
          <w:sz w:val="30"/>
          <w:szCs w:val="30"/>
        </w:rPr>
      </w:pPr>
    </w:p>
    <w:p w:rsidR="007F38B6" w:rsidRDefault="007F38B6" w:rsidP="008D4FA1">
      <w:pPr>
        <w:autoSpaceDE w:val="0"/>
        <w:autoSpaceDN w:val="0"/>
        <w:adjustRightInd w:val="0"/>
        <w:spacing w:line="360" w:lineRule="auto"/>
        <w:jc w:val="left"/>
        <w:rPr>
          <w:rFonts w:ascii="仿宋" w:eastAsia="仿宋" w:hAnsi="仿宋" w:cs="仿宋_GB2312"/>
          <w:kern w:val="0"/>
          <w:sz w:val="30"/>
          <w:szCs w:val="30"/>
        </w:rPr>
      </w:pPr>
    </w:p>
    <w:p w:rsidR="007F38B6" w:rsidRDefault="004678D2" w:rsidP="008D4FA1">
      <w:pPr>
        <w:autoSpaceDE w:val="0"/>
        <w:autoSpaceDN w:val="0"/>
        <w:adjustRightInd w:val="0"/>
        <w:spacing w:line="360" w:lineRule="auto"/>
        <w:jc w:val="left"/>
        <w:rPr>
          <w:rFonts w:ascii="仿宋" w:eastAsia="仿宋" w:hAnsi="仿宋" w:cs="仿宋_GB2312"/>
          <w:kern w:val="0"/>
          <w:sz w:val="30"/>
          <w:szCs w:val="30"/>
        </w:rPr>
      </w:pPr>
      <w:r>
        <w:rPr>
          <w:rFonts w:ascii="仿宋" w:eastAsia="仿宋" w:hAnsi="仿宋" w:cs="仿宋_GB2312"/>
          <w:noProof/>
          <w:kern w:val="0"/>
          <w:sz w:val="30"/>
          <w:szCs w:val="30"/>
        </w:rPr>
        <w:lastRenderedPageBreak/>
        <w:drawing>
          <wp:inline distT="0" distB="0" distL="0" distR="0">
            <wp:extent cx="5617088" cy="4238625"/>
            <wp:effectExtent l="19050" t="0" r="2662" b="0"/>
            <wp:docPr id="1" name="图片 1" descr="C:\Users\ADMINI~1\AppData\Local\Temp\162156540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1621565408(1).jpg"/>
                    <pic:cNvPicPr>
                      <a:picLocks noChangeAspect="1" noChangeArrowheads="1"/>
                    </pic:cNvPicPr>
                  </pic:nvPicPr>
                  <pic:blipFill>
                    <a:blip r:embed="rId7" cstate="print"/>
                    <a:srcRect/>
                    <a:stretch>
                      <a:fillRect/>
                    </a:stretch>
                  </pic:blipFill>
                  <pic:spPr bwMode="auto">
                    <a:xfrm>
                      <a:off x="0" y="0"/>
                      <a:ext cx="5628499" cy="4247236"/>
                    </a:xfrm>
                    <a:prstGeom prst="rect">
                      <a:avLst/>
                    </a:prstGeom>
                    <a:noFill/>
                    <a:ln w="9525">
                      <a:noFill/>
                      <a:miter lim="800000"/>
                      <a:headEnd/>
                      <a:tailEnd/>
                    </a:ln>
                  </pic:spPr>
                </pic:pic>
              </a:graphicData>
            </a:graphic>
          </wp:inline>
        </w:drawing>
      </w:r>
    </w:p>
    <w:p w:rsidR="007F38B6" w:rsidRDefault="004678D2" w:rsidP="008D4FA1">
      <w:pPr>
        <w:autoSpaceDE w:val="0"/>
        <w:autoSpaceDN w:val="0"/>
        <w:adjustRightInd w:val="0"/>
        <w:spacing w:line="360" w:lineRule="auto"/>
        <w:jc w:val="left"/>
        <w:rPr>
          <w:rFonts w:ascii="仿宋" w:eastAsia="仿宋" w:hAnsi="仿宋" w:cs="仿宋_GB2312"/>
          <w:kern w:val="0"/>
          <w:sz w:val="30"/>
          <w:szCs w:val="30"/>
        </w:rPr>
      </w:pPr>
      <w:r>
        <w:rPr>
          <w:rFonts w:ascii="仿宋" w:eastAsia="仿宋" w:hAnsi="仿宋" w:cs="仿宋_GB2312"/>
          <w:noProof/>
          <w:kern w:val="0"/>
          <w:sz w:val="30"/>
          <w:szCs w:val="30"/>
        </w:rPr>
        <w:drawing>
          <wp:inline distT="0" distB="0" distL="0" distR="0">
            <wp:extent cx="5274310" cy="3489488"/>
            <wp:effectExtent l="19050" t="0" r="2540" b="0"/>
            <wp:docPr id="2" name="图片 2" descr="C:\Users\ADMINI~1\AppData\Local\Temp\162156550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1621565509(1).jpg"/>
                    <pic:cNvPicPr>
                      <a:picLocks noChangeAspect="1" noChangeArrowheads="1"/>
                    </pic:cNvPicPr>
                  </pic:nvPicPr>
                  <pic:blipFill>
                    <a:blip r:embed="rId8" cstate="print"/>
                    <a:srcRect/>
                    <a:stretch>
                      <a:fillRect/>
                    </a:stretch>
                  </pic:blipFill>
                  <pic:spPr bwMode="auto">
                    <a:xfrm>
                      <a:off x="0" y="0"/>
                      <a:ext cx="5274310" cy="3489488"/>
                    </a:xfrm>
                    <a:prstGeom prst="rect">
                      <a:avLst/>
                    </a:prstGeom>
                    <a:noFill/>
                    <a:ln w="9525">
                      <a:noFill/>
                      <a:miter lim="800000"/>
                      <a:headEnd/>
                      <a:tailEnd/>
                    </a:ln>
                  </pic:spPr>
                </pic:pic>
              </a:graphicData>
            </a:graphic>
          </wp:inline>
        </w:drawing>
      </w:r>
    </w:p>
    <w:p w:rsidR="008D4FA1" w:rsidRDefault="008D4FA1" w:rsidP="008D4FA1">
      <w:pPr>
        <w:autoSpaceDE w:val="0"/>
        <w:autoSpaceDN w:val="0"/>
        <w:adjustRightInd w:val="0"/>
        <w:spacing w:line="360" w:lineRule="auto"/>
        <w:jc w:val="left"/>
      </w:pPr>
      <w:r>
        <w:rPr>
          <w:rFonts w:ascii="仿宋" w:eastAsia="仿宋" w:hAnsi="仿宋" w:cs="仿宋_GB2312" w:hint="eastAsia"/>
          <w:kern w:val="0"/>
          <w:sz w:val="30"/>
          <w:szCs w:val="30"/>
        </w:rPr>
        <w:t xml:space="preserve"> </w:t>
      </w:r>
    </w:p>
    <w:p w:rsidR="008D4FA1" w:rsidRDefault="008D4FA1" w:rsidP="008D4FA1">
      <w:pPr>
        <w:autoSpaceDE w:val="0"/>
        <w:autoSpaceDN w:val="0"/>
        <w:adjustRightInd w:val="0"/>
        <w:spacing w:line="360" w:lineRule="auto"/>
        <w:jc w:val="left"/>
      </w:pPr>
    </w:p>
    <w:p w:rsidR="004678D2" w:rsidRDefault="004678D2" w:rsidP="008D4FA1">
      <w:pPr>
        <w:autoSpaceDE w:val="0"/>
        <w:autoSpaceDN w:val="0"/>
        <w:adjustRightInd w:val="0"/>
        <w:spacing w:line="360" w:lineRule="auto"/>
        <w:jc w:val="left"/>
      </w:pPr>
    </w:p>
    <w:p w:rsidR="004678D2" w:rsidRDefault="004678D2" w:rsidP="008D4FA1">
      <w:pPr>
        <w:autoSpaceDE w:val="0"/>
        <w:autoSpaceDN w:val="0"/>
        <w:adjustRightInd w:val="0"/>
        <w:spacing w:line="360" w:lineRule="auto"/>
        <w:jc w:val="left"/>
      </w:pPr>
      <w:r>
        <w:rPr>
          <w:noProof/>
        </w:rPr>
        <w:lastRenderedPageBreak/>
        <w:drawing>
          <wp:inline distT="0" distB="0" distL="0" distR="0">
            <wp:extent cx="5274310" cy="3166593"/>
            <wp:effectExtent l="19050" t="0" r="2540" b="0"/>
            <wp:docPr id="3" name="图片 3" descr="C:\Users\ADMINI~1\AppData\Local\Temp\162156558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1\AppData\Local\Temp\1621565581(1).jpg"/>
                    <pic:cNvPicPr>
                      <a:picLocks noChangeAspect="1" noChangeArrowheads="1"/>
                    </pic:cNvPicPr>
                  </pic:nvPicPr>
                  <pic:blipFill>
                    <a:blip r:embed="rId9" cstate="print"/>
                    <a:srcRect/>
                    <a:stretch>
                      <a:fillRect/>
                    </a:stretch>
                  </pic:blipFill>
                  <pic:spPr bwMode="auto">
                    <a:xfrm>
                      <a:off x="0" y="0"/>
                      <a:ext cx="5274310" cy="3166593"/>
                    </a:xfrm>
                    <a:prstGeom prst="rect">
                      <a:avLst/>
                    </a:prstGeom>
                    <a:noFill/>
                    <a:ln w="9525">
                      <a:noFill/>
                      <a:miter lim="800000"/>
                      <a:headEnd/>
                      <a:tailEnd/>
                    </a:ln>
                  </pic:spPr>
                </pic:pic>
              </a:graphicData>
            </a:graphic>
          </wp:inline>
        </w:drawing>
      </w:r>
    </w:p>
    <w:p w:rsidR="00D002CF" w:rsidRDefault="00D002CF" w:rsidP="008D4FA1">
      <w:pPr>
        <w:autoSpaceDE w:val="0"/>
        <w:autoSpaceDN w:val="0"/>
        <w:adjustRightInd w:val="0"/>
        <w:spacing w:line="360" w:lineRule="auto"/>
        <w:jc w:val="left"/>
      </w:pPr>
    </w:p>
    <w:p w:rsidR="004678D2" w:rsidRDefault="004678D2" w:rsidP="008D4FA1">
      <w:pPr>
        <w:autoSpaceDE w:val="0"/>
        <w:autoSpaceDN w:val="0"/>
        <w:adjustRightInd w:val="0"/>
        <w:spacing w:line="360" w:lineRule="auto"/>
        <w:jc w:val="left"/>
      </w:pPr>
    </w:p>
    <w:p w:rsidR="004678D2" w:rsidRDefault="004678D2" w:rsidP="008D4FA1">
      <w:pPr>
        <w:autoSpaceDE w:val="0"/>
        <w:autoSpaceDN w:val="0"/>
        <w:adjustRightInd w:val="0"/>
        <w:spacing w:line="360" w:lineRule="auto"/>
        <w:jc w:val="left"/>
      </w:pPr>
      <w:r>
        <w:rPr>
          <w:noProof/>
        </w:rPr>
        <w:drawing>
          <wp:inline distT="0" distB="0" distL="0" distR="0">
            <wp:extent cx="5271418" cy="4810125"/>
            <wp:effectExtent l="19050" t="0" r="5432" b="0"/>
            <wp:docPr id="4" name="图片 4" descr="C:\Users\ADMINI~1\AppData\Local\Temp\162156561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1\AppData\Local\Temp\1621565613(1).jpg"/>
                    <pic:cNvPicPr>
                      <a:picLocks noChangeAspect="1" noChangeArrowheads="1"/>
                    </pic:cNvPicPr>
                  </pic:nvPicPr>
                  <pic:blipFill>
                    <a:blip r:embed="rId10" cstate="print"/>
                    <a:srcRect/>
                    <a:stretch>
                      <a:fillRect/>
                    </a:stretch>
                  </pic:blipFill>
                  <pic:spPr bwMode="auto">
                    <a:xfrm>
                      <a:off x="0" y="0"/>
                      <a:ext cx="5271418" cy="4810125"/>
                    </a:xfrm>
                    <a:prstGeom prst="rect">
                      <a:avLst/>
                    </a:prstGeom>
                    <a:noFill/>
                    <a:ln w="9525">
                      <a:noFill/>
                      <a:miter lim="800000"/>
                      <a:headEnd/>
                      <a:tailEnd/>
                    </a:ln>
                  </pic:spPr>
                </pic:pic>
              </a:graphicData>
            </a:graphic>
          </wp:inline>
        </w:drawing>
      </w:r>
    </w:p>
    <w:tbl>
      <w:tblPr>
        <w:tblW w:w="10130" w:type="dxa"/>
        <w:tblInd w:w="-902" w:type="dxa"/>
        <w:tblLook w:val="04A0"/>
      </w:tblPr>
      <w:tblGrid>
        <w:gridCol w:w="436"/>
        <w:gridCol w:w="436"/>
        <w:gridCol w:w="436"/>
        <w:gridCol w:w="4319"/>
        <w:gridCol w:w="1547"/>
        <w:gridCol w:w="1547"/>
        <w:gridCol w:w="1409"/>
      </w:tblGrid>
      <w:tr w:rsidR="004678D2" w:rsidRPr="004678D2" w:rsidTr="004678D2">
        <w:trPr>
          <w:trHeight w:val="540"/>
        </w:trPr>
        <w:tc>
          <w:tcPr>
            <w:tcW w:w="10130" w:type="dxa"/>
            <w:gridSpan w:val="7"/>
            <w:tcBorders>
              <w:top w:val="nil"/>
              <w:left w:val="nil"/>
              <w:bottom w:val="nil"/>
              <w:right w:val="nil"/>
            </w:tcBorders>
            <w:shd w:val="clear" w:color="auto" w:fill="auto"/>
            <w:noWrap/>
            <w:vAlign w:val="bottom"/>
            <w:hideMark/>
          </w:tcPr>
          <w:p w:rsidR="004678D2" w:rsidRPr="004678D2" w:rsidRDefault="004678D2" w:rsidP="004678D2">
            <w:pPr>
              <w:widowControl/>
              <w:jc w:val="center"/>
              <w:rPr>
                <w:rFonts w:ascii="宋体" w:hAnsi="宋体" w:cs="Arial"/>
                <w:color w:val="000000"/>
                <w:kern w:val="0"/>
                <w:sz w:val="44"/>
                <w:szCs w:val="44"/>
              </w:rPr>
            </w:pPr>
            <w:r w:rsidRPr="004678D2">
              <w:rPr>
                <w:rFonts w:ascii="宋体" w:hAnsi="宋体" w:cs="Arial" w:hint="eastAsia"/>
                <w:color w:val="000000"/>
                <w:kern w:val="0"/>
                <w:sz w:val="44"/>
                <w:szCs w:val="44"/>
              </w:rPr>
              <w:lastRenderedPageBreak/>
              <w:t>一般公共预算财政拨款支出决算表</w:t>
            </w:r>
          </w:p>
        </w:tc>
      </w:tr>
      <w:tr w:rsidR="004678D2" w:rsidRPr="004678D2" w:rsidTr="004678D2">
        <w:trPr>
          <w:trHeight w:val="255"/>
        </w:trPr>
        <w:tc>
          <w:tcPr>
            <w:tcW w:w="436" w:type="dxa"/>
            <w:tcBorders>
              <w:top w:val="nil"/>
              <w:left w:val="nil"/>
              <w:bottom w:val="nil"/>
              <w:right w:val="nil"/>
            </w:tcBorders>
            <w:shd w:val="clear" w:color="auto" w:fill="auto"/>
            <w:noWrap/>
            <w:vAlign w:val="bottom"/>
            <w:hideMark/>
          </w:tcPr>
          <w:p w:rsidR="004678D2" w:rsidRPr="004678D2" w:rsidRDefault="004678D2" w:rsidP="004678D2">
            <w:pPr>
              <w:widowControl/>
              <w:jc w:val="left"/>
              <w:rPr>
                <w:rFonts w:ascii="Arial" w:hAnsi="Arial" w:cs="Arial"/>
                <w:color w:val="000000"/>
                <w:kern w:val="0"/>
                <w:sz w:val="20"/>
              </w:rPr>
            </w:pPr>
          </w:p>
        </w:tc>
        <w:tc>
          <w:tcPr>
            <w:tcW w:w="436" w:type="dxa"/>
            <w:tcBorders>
              <w:top w:val="nil"/>
              <w:left w:val="nil"/>
              <w:bottom w:val="nil"/>
              <w:right w:val="nil"/>
            </w:tcBorders>
            <w:shd w:val="clear" w:color="auto" w:fill="auto"/>
            <w:noWrap/>
            <w:vAlign w:val="bottom"/>
            <w:hideMark/>
          </w:tcPr>
          <w:p w:rsidR="004678D2" w:rsidRPr="004678D2" w:rsidRDefault="004678D2" w:rsidP="004678D2">
            <w:pPr>
              <w:widowControl/>
              <w:jc w:val="left"/>
              <w:rPr>
                <w:rFonts w:ascii="Arial" w:hAnsi="Arial" w:cs="Arial"/>
                <w:color w:val="000000"/>
                <w:kern w:val="0"/>
                <w:sz w:val="20"/>
              </w:rPr>
            </w:pPr>
          </w:p>
        </w:tc>
        <w:tc>
          <w:tcPr>
            <w:tcW w:w="436" w:type="dxa"/>
            <w:tcBorders>
              <w:top w:val="nil"/>
              <w:left w:val="nil"/>
              <w:bottom w:val="nil"/>
              <w:right w:val="nil"/>
            </w:tcBorders>
            <w:shd w:val="clear" w:color="auto" w:fill="auto"/>
            <w:noWrap/>
            <w:vAlign w:val="bottom"/>
            <w:hideMark/>
          </w:tcPr>
          <w:p w:rsidR="004678D2" w:rsidRPr="004678D2" w:rsidRDefault="004678D2" w:rsidP="004678D2">
            <w:pPr>
              <w:widowControl/>
              <w:jc w:val="left"/>
              <w:rPr>
                <w:rFonts w:ascii="Arial" w:hAnsi="Arial" w:cs="Arial"/>
                <w:color w:val="000000"/>
                <w:kern w:val="0"/>
                <w:sz w:val="20"/>
              </w:rPr>
            </w:pPr>
          </w:p>
        </w:tc>
        <w:tc>
          <w:tcPr>
            <w:tcW w:w="4319" w:type="dxa"/>
            <w:tcBorders>
              <w:top w:val="nil"/>
              <w:left w:val="nil"/>
              <w:bottom w:val="nil"/>
              <w:right w:val="nil"/>
            </w:tcBorders>
            <w:shd w:val="clear" w:color="auto" w:fill="auto"/>
            <w:noWrap/>
            <w:vAlign w:val="bottom"/>
            <w:hideMark/>
          </w:tcPr>
          <w:p w:rsidR="004678D2" w:rsidRPr="004678D2" w:rsidRDefault="004678D2" w:rsidP="004678D2">
            <w:pPr>
              <w:widowControl/>
              <w:jc w:val="left"/>
              <w:rPr>
                <w:rFonts w:ascii="Arial" w:hAnsi="Arial" w:cs="Arial"/>
                <w:color w:val="000000"/>
                <w:kern w:val="0"/>
                <w:sz w:val="20"/>
              </w:rPr>
            </w:pPr>
          </w:p>
        </w:tc>
        <w:tc>
          <w:tcPr>
            <w:tcW w:w="1547" w:type="dxa"/>
            <w:tcBorders>
              <w:top w:val="nil"/>
              <w:left w:val="nil"/>
              <w:bottom w:val="nil"/>
              <w:right w:val="nil"/>
            </w:tcBorders>
            <w:shd w:val="clear" w:color="auto" w:fill="auto"/>
            <w:noWrap/>
            <w:vAlign w:val="bottom"/>
            <w:hideMark/>
          </w:tcPr>
          <w:p w:rsidR="004678D2" w:rsidRPr="004678D2" w:rsidRDefault="004678D2" w:rsidP="004678D2">
            <w:pPr>
              <w:widowControl/>
              <w:jc w:val="left"/>
              <w:rPr>
                <w:rFonts w:ascii="Arial" w:hAnsi="Arial" w:cs="Arial"/>
                <w:color w:val="000000"/>
                <w:kern w:val="0"/>
                <w:sz w:val="20"/>
              </w:rPr>
            </w:pPr>
          </w:p>
        </w:tc>
        <w:tc>
          <w:tcPr>
            <w:tcW w:w="1547" w:type="dxa"/>
            <w:tcBorders>
              <w:top w:val="nil"/>
              <w:left w:val="nil"/>
              <w:bottom w:val="nil"/>
              <w:right w:val="nil"/>
            </w:tcBorders>
            <w:shd w:val="clear" w:color="auto" w:fill="auto"/>
            <w:noWrap/>
            <w:vAlign w:val="bottom"/>
            <w:hideMark/>
          </w:tcPr>
          <w:p w:rsidR="004678D2" w:rsidRPr="004678D2" w:rsidRDefault="004678D2" w:rsidP="004678D2">
            <w:pPr>
              <w:widowControl/>
              <w:jc w:val="left"/>
              <w:rPr>
                <w:rFonts w:ascii="Arial" w:hAnsi="Arial" w:cs="Arial"/>
                <w:color w:val="000000"/>
                <w:kern w:val="0"/>
                <w:sz w:val="20"/>
              </w:rPr>
            </w:pPr>
          </w:p>
        </w:tc>
        <w:tc>
          <w:tcPr>
            <w:tcW w:w="1409" w:type="dxa"/>
            <w:tcBorders>
              <w:top w:val="nil"/>
              <w:left w:val="nil"/>
              <w:bottom w:val="nil"/>
              <w:right w:val="nil"/>
            </w:tcBorders>
            <w:shd w:val="clear" w:color="auto" w:fill="auto"/>
            <w:noWrap/>
            <w:vAlign w:val="bottom"/>
            <w:hideMark/>
          </w:tcPr>
          <w:p w:rsidR="004678D2" w:rsidRPr="004678D2" w:rsidRDefault="004678D2" w:rsidP="004678D2">
            <w:pPr>
              <w:widowControl/>
              <w:jc w:val="right"/>
              <w:rPr>
                <w:rFonts w:ascii="宋体" w:hAnsi="宋体" w:cs="Arial"/>
                <w:color w:val="000000"/>
                <w:kern w:val="0"/>
                <w:sz w:val="20"/>
              </w:rPr>
            </w:pPr>
            <w:r w:rsidRPr="004678D2">
              <w:rPr>
                <w:rFonts w:ascii="宋体" w:hAnsi="宋体" w:cs="Arial" w:hint="eastAsia"/>
                <w:color w:val="000000"/>
                <w:kern w:val="0"/>
                <w:sz w:val="20"/>
              </w:rPr>
              <w:t>批复05表</w:t>
            </w:r>
          </w:p>
        </w:tc>
      </w:tr>
      <w:tr w:rsidR="004678D2" w:rsidRPr="004678D2" w:rsidTr="004678D2">
        <w:trPr>
          <w:trHeight w:val="255"/>
        </w:trPr>
        <w:tc>
          <w:tcPr>
            <w:tcW w:w="5627" w:type="dxa"/>
            <w:gridSpan w:val="4"/>
            <w:tcBorders>
              <w:top w:val="nil"/>
              <w:left w:val="nil"/>
              <w:bottom w:val="nil"/>
              <w:right w:val="nil"/>
            </w:tcBorders>
            <w:shd w:val="clear" w:color="auto" w:fill="auto"/>
            <w:noWrap/>
            <w:vAlign w:val="bottom"/>
            <w:hideMark/>
          </w:tcPr>
          <w:p w:rsidR="004678D2" w:rsidRPr="004678D2" w:rsidRDefault="004678D2" w:rsidP="004678D2">
            <w:pPr>
              <w:widowControl/>
              <w:jc w:val="left"/>
              <w:rPr>
                <w:rFonts w:ascii="宋体" w:hAnsi="宋体" w:cs="Arial"/>
                <w:color w:val="000000"/>
                <w:kern w:val="0"/>
                <w:sz w:val="20"/>
              </w:rPr>
            </w:pPr>
            <w:r w:rsidRPr="004678D2">
              <w:rPr>
                <w:rFonts w:ascii="宋体" w:hAnsi="宋体" w:cs="Arial" w:hint="eastAsia"/>
                <w:color w:val="000000"/>
                <w:kern w:val="0"/>
                <w:sz w:val="20"/>
              </w:rPr>
              <w:t>编制单位：庐山市商务局（本级）</w:t>
            </w:r>
          </w:p>
        </w:tc>
        <w:tc>
          <w:tcPr>
            <w:tcW w:w="1547" w:type="dxa"/>
            <w:tcBorders>
              <w:top w:val="nil"/>
              <w:left w:val="nil"/>
              <w:bottom w:val="nil"/>
              <w:right w:val="nil"/>
            </w:tcBorders>
            <w:shd w:val="clear" w:color="auto" w:fill="auto"/>
            <w:noWrap/>
            <w:vAlign w:val="bottom"/>
            <w:hideMark/>
          </w:tcPr>
          <w:p w:rsidR="004678D2" w:rsidRPr="004678D2" w:rsidRDefault="004678D2" w:rsidP="004678D2">
            <w:pPr>
              <w:widowControl/>
              <w:jc w:val="center"/>
              <w:rPr>
                <w:rFonts w:ascii="宋体" w:hAnsi="宋体" w:cs="Arial"/>
                <w:color w:val="000000"/>
                <w:kern w:val="0"/>
                <w:sz w:val="20"/>
              </w:rPr>
            </w:pPr>
            <w:r w:rsidRPr="004678D2">
              <w:rPr>
                <w:rFonts w:ascii="宋体" w:hAnsi="宋体" w:cs="Arial" w:hint="eastAsia"/>
                <w:color w:val="000000"/>
                <w:kern w:val="0"/>
                <w:sz w:val="20"/>
              </w:rPr>
              <w:t>2018年度</w:t>
            </w:r>
          </w:p>
        </w:tc>
        <w:tc>
          <w:tcPr>
            <w:tcW w:w="1547" w:type="dxa"/>
            <w:tcBorders>
              <w:top w:val="nil"/>
              <w:left w:val="nil"/>
              <w:bottom w:val="nil"/>
              <w:right w:val="nil"/>
            </w:tcBorders>
            <w:shd w:val="clear" w:color="auto" w:fill="auto"/>
            <w:noWrap/>
            <w:vAlign w:val="bottom"/>
            <w:hideMark/>
          </w:tcPr>
          <w:p w:rsidR="004678D2" w:rsidRPr="004678D2" w:rsidRDefault="004678D2" w:rsidP="004678D2">
            <w:pPr>
              <w:widowControl/>
              <w:jc w:val="left"/>
              <w:rPr>
                <w:rFonts w:ascii="Arial" w:hAnsi="Arial" w:cs="Arial"/>
                <w:color w:val="000000"/>
                <w:kern w:val="0"/>
                <w:sz w:val="20"/>
              </w:rPr>
            </w:pPr>
          </w:p>
        </w:tc>
        <w:tc>
          <w:tcPr>
            <w:tcW w:w="1409" w:type="dxa"/>
            <w:tcBorders>
              <w:top w:val="nil"/>
              <w:left w:val="nil"/>
              <w:bottom w:val="nil"/>
              <w:right w:val="nil"/>
            </w:tcBorders>
            <w:shd w:val="clear" w:color="auto" w:fill="auto"/>
            <w:noWrap/>
            <w:vAlign w:val="bottom"/>
            <w:hideMark/>
          </w:tcPr>
          <w:p w:rsidR="004678D2" w:rsidRPr="004678D2" w:rsidRDefault="004678D2" w:rsidP="004678D2">
            <w:pPr>
              <w:widowControl/>
              <w:jc w:val="right"/>
              <w:rPr>
                <w:rFonts w:ascii="宋体" w:hAnsi="宋体" w:cs="Arial"/>
                <w:color w:val="000000"/>
                <w:kern w:val="0"/>
                <w:sz w:val="20"/>
              </w:rPr>
            </w:pPr>
            <w:r w:rsidRPr="004678D2">
              <w:rPr>
                <w:rFonts w:ascii="宋体" w:hAnsi="宋体" w:cs="Arial" w:hint="eastAsia"/>
                <w:color w:val="000000"/>
                <w:kern w:val="0"/>
                <w:sz w:val="20"/>
              </w:rPr>
              <w:t>金额单位：元</w:t>
            </w:r>
          </w:p>
        </w:tc>
      </w:tr>
      <w:tr w:rsidR="004678D2" w:rsidRPr="004678D2" w:rsidTr="004678D2">
        <w:trPr>
          <w:trHeight w:val="308"/>
        </w:trPr>
        <w:tc>
          <w:tcPr>
            <w:tcW w:w="5627" w:type="dxa"/>
            <w:gridSpan w:val="4"/>
            <w:tcBorders>
              <w:top w:val="single" w:sz="4" w:space="0" w:color="000000"/>
              <w:left w:val="single" w:sz="4" w:space="0" w:color="000000"/>
              <w:bottom w:val="single" w:sz="4" w:space="0" w:color="000000"/>
              <w:right w:val="single" w:sz="4" w:space="0" w:color="000000"/>
            </w:tcBorders>
            <w:shd w:val="clear" w:color="FFFFFF" w:fill="C0C0C0"/>
            <w:noWrap/>
            <w:vAlign w:val="center"/>
            <w:hideMark/>
          </w:tcPr>
          <w:p w:rsidR="004678D2" w:rsidRPr="004678D2" w:rsidRDefault="004678D2" w:rsidP="004678D2">
            <w:pPr>
              <w:widowControl/>
              <w:jc w:val="center"/>
              <w:rPr>
                <w:rFonts w:ascii="宋体" w:hAnsi="宋体" w:cs="Arial"/>
                <w:color w:val="000000"/>
                <w:kern w:val="0"/>
                <w:sz w:val="22"/>
                <w:szCs w:val="22"/>
              </w:rPr>
            </w:pPr>
            <w:r w:rsidRPr="004678D2">
              <w:rPr>
                <w:rFonts w:ascii="宋体" w:hAnsi="宋体" w:cs="Arial" w:hint="eastAsia"/>
                <w:color w:val="000000"/>
                <w:kern w:val="0"/>
                <w:sz w:val="22"/>
                <w:szCs w:val="22"/>
              </w:rPr>
              <w:t>项    目</w:t>
            </w:r>
          </w:p>
        </w:tc>
        <w:tc>
          <w:tcPr>
            <w:tcW w:w="1547" w:type="dxa"/>
            <w:vMerge w:val="restart"/>
            <w:tcBorders>
              <w:top w:val="single" w:sz="4" w:space="0" w:color="000000"/>
              <w:left w:val="nil"/>
              <w:bottom w:val="single" w:sz="4" w:space="0" w:color="000000"/>
              <w:right w:val="single" w:sz="4" w:space="0" w:color="000000"/>
            </w:tcBorders>
            <w:shd w:val="clear" w:color="FFFFFF" w:fill="C0C0C0"/>
            <w:noWrap/>
            <w:vAlign w:val="center"/>
            <w:hideMark/>
          </w:tcPr>
          <w:p w:rsidR="004678D2" w:rsidRPr="004678D2" w:rsidRDefault="004678D2" w:rsidP="004678D2">
            <w:pPr>
              <w:widowControl/>
              <w:jc w:val="center"/>
              <w:rPr>
                <w:rFonts w:ascii="宋体" w:hAnsi="宋体" w:cs="Arial"/>
                <w:color w:val="000000"/>
                <w:kern w:val="0"/>
                <w:sz w:val="22"/>
                <w:szCs w:val="22"/>
              </w:rPr>
            </w:pPr>
            <w:r w:rsidRPr="004678D2">
              <w:rPr>
                <w:rFonts w:ascii="宋体" w:hAnsi="宋体" w:cs="Arial" w:hint="eastAsia"/>
                <w:color w:val="000000"/>
                <w:kern w:val="0"/>
                <w:sz w:val="22"/>
                <w:szCs w:val="22"/>
              </w:rPr>
              <w:t>本年支出合计</w:t>
            </w:r>
          </w:p>
        </w:tc>
        <w:tc>
          <w:tcPr>
            <w:tcW w:w="1547" w:type="dxa"/>
            <w:vMerge w:val="restart"/>
            <w:tcBorders>
              <w:top w:val="single" w:sz="4" w:space="0" w:color="000000"/>
              <w:left w:val="nil"/>
              <w:bottom w:val="single" w:sz="4" w:space="0" w:color="000000"/>
              <w:right w:val="single" w:sz="4" w:space="0" w:color="000000"/>
            </w:tcBorders>
            <w:shd w:val="clear" w:color="FFFFFF" w:fill="C0C0C0"/>
            <w:noWrap/>
            <w:vAlign w:val="center"/>
            <w:hideMark/>
          </w:tcPr>
          <w:p w:rsidR="004678D2" w:rsidRPr="004678D2" w:rsidRDefault="004678D2" w:rsidP="004678D2">
            <w:pPr>
              <w:widowControl/>
              <w:jc w:val="center"/>
              <w:rPr>
                <w:rFonts w:ascii="宋体" w:hAnsi="宋体" w:cs="Arial"/>
                <w:color w:val="000000"/>
                <w:kern w:val="0"/>
                <w:sz w:val="22"/>
                <w:szCs w:val="22"/>
              </w:rPr>
            </w:pPr>
            <w:r w:rsidRPr="004678D2">
              <w:rPr>
                <w:rFonts w:ascii="宋体" w:hAnsi="宋体" w:cs="Arial" w:hint="eastAsia"/>
                <w:color w:val="000000"/>
                <w:kern w:val="0"/>
                <w:sz w:val="22"/>
                <w:szCs w:val="22"/>
              </w:rPr>
              <w:t>基本支出</w:t>
            </w:r>
          </w:p>
        </w:tc>
        <w:tc>
          <w:tcPr>
            <w:tcW w:w="1409" w:type="dxa"/>
            <w:vMerge w:val="restart"/>
            <w:tcBorders>
              <w:top w:val="single" w:sz="4" w:space="0" w:color="000000"/>
              <w:left w:val="nil"/>
              <w:bottom w:val="single" w:sz="4" w:space="0" w:color="000000"/>
              <w:right w:val="single" w:sz="4" w:space="0" w:color="000000"/>
            </w:tcBorders>
            <w:shd w:val="clear" w:color="FFFFFF" w:fill="C0C0C0"/>
            <w:noWrap/>
            <w:vAlign w:val="center"/>
            <w:hideMark/>
          </w:tcPr>
          <w:p w:rsidR="004678D2" w:rsidRPr="004678D2" w:rsidRDefault="004678D2" w:rsidP="004678D2">
            <w:pPr>
              <w:widowControl/>
              <w:jc w:val="center"/>
              <w:rPr>
                <w:rFonts w:ascii="宋体" w:hAnsi="宋体" w:cs="Arial"/>
                <w:color w:val="000000"/>
                <w:kern w:val="0"/>
                <w:sz w:val="22"/>
                <w:szCs w:val="22"/>
              </w:rPr>
            </w:pPr>
            <w:r w:rsidRPr="004678D2">
              <w:rPr>
                <w:rFonts w:ascii="宋体" w:hAnsi="宋体" w:cs="Arial" w:hint="eastAsia"/>
                <w:color w:val="000000"/>
                <w:kern w:val="0"/>
                <w:sz w:val="22"/>
                <w:szCs w:val="22"/>
              </w:rPr>
              <w:t>项目支出</w:t>
            </w:r>
          </w:p>
        </w:tc>
      </w:tr>
      <w:tr w:rsidR="004678D2" w:rsidRPr="004678D2" w:rsidTr="004678D2">
        <w:trPr>
          <w:trHeight w:val="312"/>
        </w:trPr>
        <w:tc>
          <w:tcPr>
            <w:tcW w:w="1308" w:type="dxa"/>
            <w:gridSpan w:val="3"/>
            <w:vMerge w:val="restart"/>
            <w:tcBorders>
              <w:top w:val="nil"/>
              <w:left w:val="single" w:sz="4" w:space="0" w:color="000000"/>
              <w:bottom w:val="single" w:sz="4" w:space="0" w:color="000000"/>
              <w:right w:val="single" w:sz="4" w:space="0" w:color="000000"/>
            </w:tcBorders>
            <w:shd w:val="clear" w:color="FFFFFF" w:fill="C0C0C0"/>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支出功能分类  科目编码</w:t>
            </w:r>
          </w:p>
        </w:tc>
        <w:tc>
          <w:tcPr>
            <w:tcW w:w="4319" w:type="dxa"/>
            <w:vMerge w:val="restart"/>
            <w:tcBorders>
              <w:top w:val="nil"/>
              <w:left w:val="nil"/>
              <w:bottom w:val="single" w:sz="4" w:space="0" w:color="000000"/>
              <w:right w:val="single" w:sz="4" w:space="0" w:color="000000"/>
            </w:tcBorders>
            <w:shd w:val="clear" w:color="FFFFFF" w:fill="C0C0C0"/>
            <w:noWrap/>
            <w:vAlign w:val="center"/>
            <w:hideMark/>
          </w:tcPr>
          <w:p w:rsidR="004678D2" w:rsidRPr="004678D2" w:rsidRDefault="004678D2" w:rsidP="004678D2">
            <w:pPr>
              <w:widowControl/>
              <w:jc w:val="center"/>
              <w:rPr>
                <w:rFonts w:ascii="宋体" w:hAnsi="宋体" w:cs="Arial"/>
                <w:color w:val="000000"/>
                <w:kern w:val="0"/>
                <w:sz w:val="22"/>
                <w:szCs w:val="22"/>
              </w:rPr>
            </w:pPr>
            <w:r w:rsidRPr="004678D2">
              <w:rPr>
                <w:rFonts w:ascii="宋体" w:hAnsi="宋体" w:cs="Arial" w:hint="eastAsia"/>
                <w:color w:val="000000"/>
                <w:kern w:val="0"/>
                <w:sz w:val="22"/>
                <w:szCs w:val="22"/>
              </w:rPr>
              <w:t>科目名称</w:t>
            </w:r>
          </w:p>
        </w:tc>
        <w:tc>
          <w:tcPr>
            <w:tcW w:w="1547" w:type="dxa"/>
            <w:vMerge/>
            <w:tcBorders>
              <w:top w:val="single" w:sz="4" w:space="0" w:color="000000"/>
              <w:left w:val="nil"/>
              <w:bottom w:val="single" w:sz="4" w:space="0" w:color="000000"/>
              <w:right w:val="single" w:sz="4" w:space="0" w:color="000000"/>
            </w:tcBorders>
            <w:vAlign w:val="center"/>
            <w:hideMark/>
          </w:tcPr>
          <w:p w:rsidR="004678D2" w:rsidRPr="004678D2" w:rsidRDefault="004678D2" w:rsidP="004678D2">
            <w:pPr>
              <w:widowControl/>
              <w:jc w:val="left"/>
              <w:rPr>
                <w:rFonts w:ascii="宋体" w:hAnsi="宋体" w:cs="Arial"/>
                <w:color w:val="000000"/>
                <w:kern w:val="0"/>
                <w:sz w:val="22"/>
                <w:szCs w:val="22"/>
              </w:rPr>
            </w:pPr>
          </w:p>
        </w:tc>
        <w:tc>
          <w:tcPr>
            <w:tcW w:w="1547" w:type="dxa"/>
            <w:vMerge/>
            <w:tcBorders>
              <w:top w:val="single" w:sz="4" w:space="0" w:color="000000"/>
              <w:left w:val="nil"/>
              <w:bottom w:val="single" w:sz="4" w:space="0" w:color="000000"/>
              <w:right w:val="single" w:sz="4" w:space="0" w:color="000000"/>
            </w:tcBorders>
            <w:vAlign w:val="center"/>
            <w:hideMark/>
          </w:tcPr>
          <w:p w:rsidR="004678D2" w:rsidRPr="004678D2" w:rsidRDefault="004678D2" w:rsidP="004678D2">
            <w:pPr>
              <w:widowControl/>
              <w:jc w:val="left"/>
              <w:rPr>
                <w:rFonts w:ascii="宋体" w:hAnsi="宋体" w:cs="Arial"/>
                <w:color w:val="000000"/>
                <w:kern w:val="0"/>
                <w:sz w:val="22"/>
                <w:szCs w:val="22"/>
              </w:rPr>
            </w:pPr>
          </w:p>
        </w:tc>
        <w:tc>
          <w:tcPr>
            <w:tcW w:w="1409" w:type="dxa"/>
            <w:vMerge/>
            <w:tcBorders>
              <w:top w:val="single" w:sz="4" w:space="0" w:color="000000"/>
              <w:left w:val="nil"/>
              <w:bottom w:val="single" w:sz="4" w:space="0" w:color="000000"/>
              <w:right w:val="single" w:sz="4" w:space="0" w:color="000000"/>
            </w:tcBorders>
            <w:vAlign w:val="center"/>
            <w:hideMark/>
          </w:tcPr>
          <w:p w:rsidR="004678D2" w:rsidRPr="004678D2" w:rsidRDefault="004678D2" w:rsidP="004678D2">
            <w:pPr>
              <w:widowControl/>
              <w:jc w:val="left"/>
              <w:rPr>
                <w:rFonts w:ascii="宋体" w:hAnsi="宋体" w:cs="Arial"/>
                <w:color w:val="000000"/>
                <w:kern w:val="0"/>
                <w:sz w:val="22"/>
                <w:szCs w:val="22"/>
              </w:rPr>
            </w:pPr>
          </w:p>
        </w:tc>
      </w:tr>
      <w:tr w:rsidR="004678D2" w:rsidRPr="004678D2" w:rsidTr="004678D2">
        <w:trPr>
          <w:trHeight w:val="312"/>
        </w:trPr>
        <w:tc>
          <w:tcPr>
            <w:tcW w:w="1308" w:type="dxa"/>
            <w:gridSpan w:val="3"/>
            <w:vMerge/>
            <w:tcBorders>
              <w:top w:val="nil"/>
              <w:left w:val="single" w:sz="4" w:space="0" w:color="000000"/>
              <w:bottom w:val="single" w:sz="4" w:space="0" w:color="000000"/>
              <w:right w:val="single" w:sz="4" w:space="0" w:color="000000"/>
            </w:tcBorders>
            <w:vAlign w:val="center"/>
            <w:hideMark/>
          </w:tcPr>
          <w:p w:rsidR="004678D2" w:rsidRPr="004678D2" w:rsidRDefault="004678D2" w:rsidP="004678D2">
            <w:pPr>
              <w:widowControl/>
              <w:jc w:val="left"/>
              <w:rPr>
                <w:rFonts w:ascii="宋体" w:hAnsi="宋体" w:cs="Arial"/>
                <w:color w:val="000000"/>
                <w:kern w:val="0"/>
                <w:sz w:val="22"/>
                <w:szCs w:val="22"/>
              </w:rPr>
            </w:pPr>
          </w:p>
        </w:tc>
        <w:tc>
          <w:tcPr>
            <w:tcW w:w="4319" w:type="dxa"/>
            <w:vMerge/>
            <w:tcBorders>
              <w:top w:val="nil"/>
              <w:left w:val="nil"/>
              <w:bottom w:val="single" w:sz="4" w:space="0" w:color="000000"/>
              <w:right w:val="single" w:sz="4" w:space="0" w:color="000000"/>
            </w:tcBorders>
            <w:vAlign w:val="center"/>
            <w:hideMark/>
          </w:tcPr>
          <w:p w:rsidR="004678D2" w:rsidRPr="004678D2" w:rsidRDefault="004678D2" w:rsidP="004678D2">
            <w:pPr>
              <w:widowControl/>
              <w:jc w:val="left"/>
              <w:rPr>
                <w:rFonts w:ascii="宋体" w:hAnsi="宋体" w:cs="Arial"/>
                <w:color w:val="000000"/>
                <w:kern w:val="0"/>
                <w:sz w:val="22"/>
                <w:szCs w:val="22"/>
              </w:rPr>
            </w:pPr>
          </w:p>
        </w:tc>
        <w:tc>
          <w:tcPr>
            <w:tcW w:w="1547" w:type="dxa"/>
            <w:vMerge/>
            <w:tcBorders>
              <w:top w:val="single" w:sz="4" w:space="0" w:color="000000"/>
              <w:left w:val="nil"/>
              <w:bottom w:val="single" w:sz="4" w:space="0" w:color="000000"/>
              <w:right w:val="single" w:sz="4" w:space="0" w:color="000000"/>
            </w:tcBorders>
            <w:vAlign w:val="center"/>
            <w:hideMark/>
          </w:tcPr>
          <w:p w:rsidR="004678D2" w:rsidRPr="004678D2" w:rsidRDefault="004678D2" w:rsidP="004678D2">
            <w:pPr>
              <w:widowControl/>
              <w:jc w:val="left"/>
              <w:rPr>
                <w:rFonts w:ascii="宋体" w:hAnsi="宋体" w:cs="Arial"/>
                <w:color w:val="000000"/>
                <w:kern w:val="0"/>
                <w:sz w:val="22"/>
                <w:szCs w:val="22"/>
              </w:rPr>
            </w:pPr>
          </w:p>
        </w:tc>
        <w:tc>
          <w:tcPr>
            <w:tcW w:w="1547" w:type="dxa"/>
            <w:vMerge/>
            <w:tcBorders>
              <w:top w:val="single" w:sz="4" w:space="0" w:color="000000"/>
              <w:left w:val="nil"/>
              <w:bottom w:val="single" w:sz="4" w:space="0" w:color="000000"/>
              <w:right w:val="single" w:sz="4" w:space="0" w:color="000000"/>
            </w:tcBorders>
            <w:vAlign w:val="center"/>
            <w:hideMark/>
          </w:tcPr>
          <w:p w:rsidR="004678D2" w:rsidRPr="004678D2" w:rsidRDefault="004678D2" w:rsidP="004678D2">
            <w:pPr>
              <w:widowControl/>
              <w:jc w:val="left"/>
              <w:rPr>
                <w:rFonts w:ascii="宋体" w:hAnsi="宋体" w:cs="Arial"/>
                <w:color w:val="000000"/>
                <w:kern w:val="0"/>
                <w:sz w:val="22"/>
                <w:szCs w:val="22"/>
              </w:rPr>
            </w:pPr>
          </w:p>
        </w:tc>
        <w:tc>
          <w:tcPr>
            <w:tcW w:w="1409" w:type="dxa"/>
            <w:vMerge/>
            <w:tcBorders>
              <w:top w:val="single" w:sz="4" w:space="0" w:color="000000"/>
              <w:left w:val="nil"/>
              <w:bottom w:val="single" w:sz="4" w:space="0" w:color="000000"/>
              <w:right w:val="single" w:sz="4" w:space="0" w:color="000000"/>
            </w:tcBorders>
            <w:vAlign w:val="center"/>
            <w:hideMark/>
          </w:tcPr>
          <w:p w:rsidR="004678D2" w:rsidRPr="004678D2" w:rsidRDefault="004678D2" w:rsidP="004678D2">
            <w:pPr>
              <w:widowControl/>
              <w:jc w:val="left"/>
              <w:rPr>
                <w:rFonts w:ascii="宋体" w:hAnsi="宋体" w:cs="Arial"/>
                <w:color w:val="000000"/>
                <w:kern w:val="0"/>
                <w:sz w:val="22"/>
                <w:szCs w:val="22"/>
              </w:rPr>
            </w:pPr>
          </w:p>
        </w:tc>
      </w:tr>
      <w:tr w:rsidR="004678D2" w:rsidRPr="004678D2" w:rsidTr="004678D2">
        <w:trPr>
          <w:trHeight w:val="312"/>
        </w:trPr>
        <w:tc>
          <w:tcPr>
            <w:tcW w:w="1308" w:type="dxa"/>
            <w:gridSpan w:val="3"/>
            <w:vMerge/>
            <w:tcBorders>
              <w:top w:val="nil"/>
              <w:left w:val="single" w:sz="4" w:space="0" w:color="000000"/>
              <w:bottom w:val="single" w:sz="4" w:space="0" w:color="000000"/>
              <w:right w:val="single" w:sz="4" w:space="0" w:color="000000"/>
            </w:tcBorders>
            <w:vAlign w:val="center"/>
            <w:hideMark/>
          </w:tcPr>
          <w:p w:rsidR="004678D2" w:rsidRPr="004678D2" w:rsidRDefault="004678D2" w:rsidP="004678D2">
            <w:pPr>
              <w:widowControl/>
              <w:jc w:val="left"/>
              <w:rPr>
                <w:rFonts w:ascii="宋体" w:hAnsi="宋体" w:cs="Arial"/>
                <w:color w:val="000000"/>
                <w:kern w:val="0"/>
                <w:sz w:val="22"/>
                <w:szCs w:val="22"/>
              </w:rPr>
            </w:pPr>
          </w:p>
        </w:tc>
        <w:tc>
          <w:tcPr>
            <w:tcW w:w="4319" w:type="dxa"/>
            <w:vMerge/>
            <w:tcBorders>
              <w:top w:val="nil"/>
              <w:left w:val="nil"/>
              <w:bottom w:val="single" w:sz="4" w:space="0" w:color="000000"/>
              <w:right w:val="single" w:sz="4" w:space="0" w:color="000000"/>
            </w:tcBorders>
            <w:vAlign w:val="center"/>
            <w:hideMark/>
          </w:tcPr>
          <w:p w:rsidR="004678D2" w:rsidRPr="004678D2" w:rsidRDefault="004678D2" w:rsidP="004678D2">
            <w:pPr>
              <w:widowControl/>
              <w:jc w:val="left"/>
              <w:rPr>
                <w:rFonts w:ascii="宋体" w:hAnsi="宋体" w:cs="Arial"/>
                <w:color w:val="000000"/>
                <w:kern w:val="0"/>
                <w:sz w:val="22"/>
                <w:szCs w:val="22"/>
              </w:rPr>
            </w:pPr>
          </w:p>
        </w:tc>
        <w:tc>
          <w:tcPr>
            <w:tcW w:w="1547" w:type="dxa"/>
            <w:vMerge/>
            <w:tcBorders>
              <w:top w:val="single" w:sz="4" w:space="0" w:color="000000"/>
              <w:left w:val="nil"/>
              <w:bottom w:val="single" w:sz="4" w:space="0" w:color="000000"/>
              <w:right w:val="single" w:sz="4" w:space="0" w:color="000000"/>
            </w:tcBorders>
            <w:vAlign w:val="center"/>
            <w:hideMark/>
          </w:tcPr>
          <w:p w:rsidR="004678D2" w:rsidRPr="004678D2" w:rsidRDefault="004678D2" w:rsidP="004678D2">
            <w:pPr>
              <w:widowControl/>
              <w:jc w:val="left"/>
              <w:rPr>
                <w:rFonts w:ascii="宋体" w:hAnsi="宋体" w:cs="Arial"/>
                <w:color w:val="000000"/>
                <w:kern w:val="0"/>
                <w:sz w:val="22"/>
                <w:szCs w:val="22"/>
              </w:rPr>
            </w:pPr>
          </w:p>
        </w:tc>
        <w:tc>
          <w:tcPr>
            <w:tcW w:w="1547" w:type="dxa"/>
            <w:vMerge/>
            <w:tcBorders>
              <w:top w:val="single" w:sz="4" w:space="0" w:color="000000"/>
              <w:left w:val="nil"/>
              <w:bottom w:val="single" w:sz="4" w:space="0" w:color="000000"/>
              <w:right w:val="single" w:sz="4" w:space="0" w:color="000000"/>
            </w:tcBorders>
            <w:vAlign w:val="center"/>
            <w:hideMark/>
          </w:tcPr>
          <w:p w:rsidR="004678D2" w:rsidRPr="004678D2" w:rsidRDefault="004678D2" w:rsidP="004678D2">
            <w:pPr>
              <w:widowControl/>
              <w:jc w:val="left"/>
              <w:rPr>
                <w:rFonts w:ascii="宋体" w:hAnsi="宋体" w:cs="Arial"/>
                <w:color w:val="000000"/>
                <w:kern w:val="0"/>
                <w:sz w:val="22"/>
                <w:szCs w:val="22"/>
              </w:rPr>
            </w:pPr>
          </w:p>
        </w:tc>
        <w:tc>
          <w:tcPr>
            <w:tcW w:w="1409" w:type="dxa"/>
            <w:vMerge/>
            <w:tcBorders>
              <w:top w:val="single" w:sz="4" w:space="0" w:color="000000"/>
              <w:left w:val="nil"/>
              <w:bottom w:val="single" w:sz="4" w:space="0" w:color="000000"/>
              <w:right w:val="single" w:sz="4" w:space="0" w:color="000000"/>
            </w:tcBorders>
            <w:vAlign w:val="center"/>
            <w:hideMark/>
          </w:tcPr>
          <w:p w:rsidR="004678D2" w:rsidRPr="004678D2" w:rsidRDefault="004678D2" w:rsidP="004678D2">
            <w:pPr>
              <w:widowControl/>
              <w:jc w:val="left"/>
              <w:rPr>
                <w:rFonts w:ascii="宋体" w:hAnsi="宋体" w:cs="Arial"/>
                <w:color w:val="000000"/>
                <w:kern w:val="0"/>
                <w:sz w:val="22"/>
                <w:szCs w:val="22"/>
              </w:rPr>
            </w:pPr>
          </w:p>
        </w:tc>
      </w:tr>
      <w:tr w:rsidR="004678D2" w:rsidRPr="004678D2" w:rsidTr="004678D2">
        <w:trPr>
          <w:trHeight w:val="308"/>
        </w:trPr>
        <w:tc>
          <w:tcPr>
            <w:tcW w:w="436" w:type="dxa"/>
            <w:vMerge w:val="restart"/>
            <w:tcBorders>
              <w:top w:val="nil"/>
              <w:left w:val="single" w:sz="4" w:space="0" w:color="000000"/>
              <w:bottom w:val="single" w:sz="4" w:space="0" w:color="000000"/>
              <w:right w:val="single" w:sz="4" w:space="0" w:color="000000"/>
            </w:tcBorders>
            <w:shd w:val="clear" w:color="FFFFFF" w:fill="C0C0C0"/>
            <w:noWrap/>
            <w:vAlign w:val="center"/>
            <w:hideMark/>
          </w:tcPr>
          <w:p w:rsidR="004678D2" w:rsidRPr="004678D2" w:rsidRDefault="004678D2" w:rsidP="004678D2">
            <w:pPr>
              <w:widowControl/>
              <w:jc w:val="center"/>
              <w:rPr>
                <w:rFonts w:ascii="宋体" w:hAnsi="宋体" w:cs="Arial"/>
                <w:color w:val="000000"/>
                <w:kern w:val="0"/>
                <w:sz w:val="22"/>
                <w:szCs w:val="22"/>
              </w:rPr>
            </w:pPr>
            <w:r w:rsidRPr="004678D2">
              <w:rPr>
                <w:rFonts w:ascii="宋体" w:hAnsi="宋体" w:cs="Arial" w:hint="eastAsia"/>
                <w:color w:val="000000"/>
                <w:kern w:val="0"/>
                <w:sz w:val="22"/>
                <w:szCs w:val="22"/>
              </w:rPr>
              <w:t>类</w:t>
            </w:r>
          </w:p>
        </w:tc>
        <w:tc>
          <w:tcPr>
            <w:tcW w:w="436" w:type="dxa"/>
            <w:vMerge w:val="restart"/>
            <w:tcBorders>
              <w:top w:val="nil"/>
              <w:left w:val="nil"/>
              <w:bottom w:val="single" w:sz="4" w:space="0" w:color="000000"/>
              <w:right w:val="single" w:sz="4" w:space="0" w:color="000000"/>
            </w:tcBorders>
            <w:shd w:val="clear" w:color="FFFFFF" w:fill="C0C0C0"/>
            <w:noWrap/>
            <w:vAlign w:val="center"/>
            <w:hideMark/>
          </w:tcPr>
          <w:p w:rsidR="004678D2" w:rsidRPr="004678D2" w:rsidRDefault="004678D2" w:rsidP="004678D2">
            <w:pPr>
              <w:widowControl/>
              <w:jc w:val="center"/>
              <w:rPr>
                <w:rFonts w:ascii="宋体" w:hAnsi="宋体" w:cs="Arial"/>
                <w:color w:val="000000"/>
                <w:kern w:val="0"/>
                <w:sz w:val="22"/>
                <w:szCs w:val="22"/>
              </w:rPr>
            </w:pPr>
            <w:r w:rsidRPr="004678D2">
              <w:rPr>
                <w:rFonts w:ascii="宋体" w:hAnsi="宋体" w:cs="Arial" w:hint="eastAsia"/>
                <w:color w:val="000000"/>
                <w:kern w:val="0"/>
                <w:sz w:val="22"/>
                <w:szCs w:val="22"/>
              </w:rPr>
              <w:t>款</w:t>
            </w:r>
          </w:p>
        </w:tc>
        <w:tc>
          <w:tcPr>
            <w:tcW w:w="436" w:type="dxa"/>
            <w:vMerge w:val="restart"/>
            <w:tcBorders>
              <w:top w:val="nil"/>
              <w:left w:val="nil"/>
              <w:bottom w:val="single" w:sz="4" w:space="0" w:color="000000"/>
              <w:right w:val="single" w:sz="4" w:space="0" w:color="000000"/>
            </w:tcBorders>
            <w:shd w:val="clear" w:color="FFFFFF" w:fill="C0C0C0"/>
            <w:noWrap/>
            <w:vAlign w:val="center"/>
            <w:hideMark/>
          </w:tcPr>
          <w:p w:rsidR="004678D2" w:rsidRPr="004678D2" w:rsidRDefault="004678D2" w:rsidP="004678D2">
            <w:pPr>
              <w:widowControl/>
              <w:jc w:val="center"/>
              <w:rPr>
                <w:rFonts w:ascii="宋体" w:hAnsi="宋体" w:cs="Arial"/>
                <w:color w:val="000000"/>
                <w:kern w:val="0"/>
                <w:sz w:val="22"/>
                <w:szCs w:val="22"/>
              </w:rPr>
            </w:pPr>
            <w:r w:rsidRPr="004678D2">
              <w:rPr>
                <w:rFonts w:ascii="宋体" w:hAnsi="宋体" w:cs="Arial" w:hint="eastAsia"/>
                <w:color w:val="000000"/>
                <w:kern w:val="0"/>
                <w:sz w:val="22"/>
                <w:szCs w:val="22"/>
              </w:rPr>
              <w:t>项</w:t>
            </w:r>
          </w:p>
        </w:tc>
        <w:tc>
          <w:tcPr>
            <w:tcW w:w="4319" w:type="dxa"/>
            <w:tcBorders>
              <w:top w:val="nil"/>
              <w:left w:val="nil"/>
              <w:bottom w:val="single" w:sz="4" w:space="0" w:color="000000"/>
              <w:right w:val="single" w:sz="4" w:space="0" w:color="000000"/>
            </w:tcBorders>
            <w:shd w:val="clear" w:color="FFFFFF" w:fill="C0C0C0"/>
            <w:noWrap/>
            <w:vAlign w:val="center"/>
            <w:hideMark/>
          </w:tcPr>
          <w:p w:rsidR="004678D2" w:rsidRPr="004678D2" w:rsidRDefault="004678D2" w:rsidP="004678D2">
            <w:pPr>
              <w:widowControl/>
              <w:jc w:val="center"/>
              <w:rPr>
                <w:rFonts w:ascii="宋体" w:hAnsi="宋体" w:cs="Arial"/>
                <w:color w:val="000000"/>
                <w:kern w:val="0"/>
                <w:sz w:val="22"/>
                <w:szCs w:val="22"/>
              </w:rPr>
            </w:pPr>
            <w:r w:rsidRPr="004678D2">
              <w:rPr>
                <w:rFonts w:ascii="宋体" w:hAnsi="宋体" w:cs="Arial" w:hint="eastAsia"/>
                <w:color w:val="000000"/>
                <w:kern w:val="0"/>
                <w:sz w:val="22"/>
                <w:szCs w:val="22"/>
              </w:rPr>
              <w:t>栏次</w:t>
            </w:r>
          </w:p>
        </w:tc>
        <w:tc>
          <w:tcPr>
            <w:tcW w:w="1547" w:type="dxa"/>
            <w:tcBorders>
              <w:top w:val="nil"/>
              <w:left w:val="nil"/>
              <w:bottom w:val="single" w:sz="4" w:space="0" w:color="000000"/>
              <w:right w:val="single" w:sz="4" w:space="0" w:color="000000"/>
            </w:tcBorders>
            <w:shd w:val="clear" w:color="FFFFFF" w:fill="C0C0C0"/>
            <w:noWrap/>
            <w:vAlign w:val="center"/>
            <w:hideMark/>
          </w:tcPr>
          <w:p w:rsidR="004678D2" w:rsidRPr="004678D2" w:rsidRDefault="004678D2" w:rsidP="004678D2">
            <w:pPr>
              <w:widowControl/>
              <w:jc w:val="center"/>
              <w:rPr>
                <w:rFonts w:ascii="宋体" w:hAnsi="宋体" w:cs="Arial"/>
                <w:color w:val="000000"/>
                <w:kern w:val="0"/>
                <w:sz w:val="22"/>
                <w:szCs w:val="22"/>
              </w:rPr>
            </w:pPr>
            <w:r w:rsidRPr="004678D2">
              <w:rPr>
                <w:rFonts w:ascii="宋体" w:hAnsi="宋体" w:cs="Arial" w:hint="eastAsia"/>
                <w:color w:val="000000"/>
                <w:kern w:val="0"/>
                <w:sz w:val="22"/>
                <w:szCs w:val="22"/>
              </w:rPr>
              <w:t>1</w:t>
            </w:r>
          </w:p>
        </w:tc>
        <w:tc>
          <w:tcPr>
            <w:tcW w:w="1547" w:type="dxa"/>
            <w:tcBorders>
              <w:top w:val="nil"/>
              <w:left w:val="nil"/>
              <w:bottom w:val="single" w:sz="4" w:space="0" w:color="000000"/>
              <w:right w:val="single" w:sz="4" w:space="0" w:color="000000"/>
            </w:tcBorders>
            <w:shd w:val="clear" w:color="FFFFFF" w:fill="C0C0C0"/>
            <w:noWrap/>
            <w:vAlign w:val="center"/>
            <w:hideMark/>
          </w:tcPr>
          <w:p w:rsidR="004678D2" w:rsidRPr="004678D2" w:rsidRDefault="004678D2" w:rsidP="004678D2">
            <w:pPr>
              <w:widowControl/>
              <w:jc w:val="center"/>
              <w:rPr>
                <w:rFonts w:ascii="宋体" w:hAnsi="宋体" w:cs="Arial"/>
                <w:color w:val="000000"/>
                <w:kern w:val="0"/>
                <w:sz w:val="22"/>
                <w:szCs w:val="22"/>
              </w:rPr>
            </w:pPr>
            <w:r w:rsidRPr="004678D2">
              <w:rPr>
                <w:rFonts w:ascii="宋体" w:hAnsi="宋体" w:cs="Arial" w:hint="eastAsia"/>
                <w:color w:val="000000"/>
                <w:kern w:val="0"/>
                <w:sz w:val="22"/>
                <w:szCs w:val="22"/>
              </w:rPr>
              <w:t>2</w:t>
            </w:r>
          </w:p>
        </w:tc>
        <w:tc>
          <w:tcPr>
            <w:tcW w:w="1409" w:type="dxa"/>
            <w:tcBorders>
              <w:top w:val="nil"/>
              <w:left w:val="nil"/>
              <w:bottom w:val="single" w:sz="4" w:space="0" w:color="000000"/>
              <w:right w:val="single" w:sz="4" w:space="0" w:color="000000"/>
            </w:tcBorders>
            <w:shd w:val="clear" w:color="FFFFFF" w:fill="C0C0C0"/>
            <w:noWrap/>
            <w:vAlign w:val="center"/>
            <w:hideMark/>
          </w:tcPr>
          <w:p w:rsidR="004678D2" w:rsidRPr="004678D2" w:rsidRDefault="004678D2" w:rsidP="004678D2">
            <w:pPr>
              <w:widowControl/>
              <w:jc w:val="center"/>
              <w:rPr>
                <w:rFonts w:ascii="宋体" w:hAnsi="宋体" w:cs="Arial"/>
                <w:color w:val="000000"/>
                <w:kern w:val="0"/>
                <w:sz w:val="22"/>
                <w:szCs w:val="22"/>
              </w:rPr>
            </w:pPr>
            <w:r w:rsidRPr="004678D2">
              <w:rPr>
                <w:rFonts w:ascii="宋体" w:hAnsi="宋体" w:cs="Arial" w:hint="eastAsia"/>
                <w:color w:val="000000"/>
                <w:kern w:val="0"/>
                <w:sz w:val="22"/>
                <w:szCs w:val="22"/>
              </w:rPr>
              <w:t>3</w:t>
            </w:r>
          </w:p>
        </w:tc>
      </w:tr>
      <w:tr w:rsidR="004678D2" w:rsidRPr="004678D2" w:rsidTr="004678D2">
        <w:trPr>
          <w:trHeight w:val="308"/>
        </w:trPr>
        <w:tc>
          <w:tcPr>
            <w:tcW w:w="436" w:type="dxa"/>
            <w:vMerge/>
            <w:tcBorders>
              <w:top w:val="nil"/>
              <w:left w:val="single" w:sz="4" w:space="0" w:color="000000"/>
              <w:bottom w:val="single" w:sz="4" w:space="0" w:color="000000"/>
              <w:right w:val="single" w:sz="4" w:space="0" w:color="000000"/>
            </w:tcBorders>
            <w:vAlign w:val="center"/>
            <w:hideMark/>
          </w:tcPr>
          <w:p w:rsidR="004678D2" w:rsidRPr="004678D2" w:rsidRDefault="004678D2" w:rsidP="004678D2">
            <w:pPr>
              <w:widowControl/>
              <w:jc w:val="left"/>
              <w:rPr>
                <w:rFonts w:ascii="宋体" w:hAnsi="宋体" w:cs="Arial"/>
                <w:color w:val="000000"/>
                <w:kern w:val="0"/>
                <w:sz w:val="22"/>
                <w:szCs w:val="22"/>
              </w:rPr>
            </w:pPr>
          </w:p>
        </w:tc>
        <w:tc>
          <w:tcPr>
            <w:tcW w:w="436" w:type="dxa"/>
            <w:vMerge/>
            <w:tcBorders>
              <w:top w:val="nil"/>
              <w:left w:val="nil"/>
              <w:bottom w:val="single" w:sz="4" w:space="0" w:color="000000"/>
              <w:right w:val="single" w:sz="4" w:space="0" w:color="000000"/>
            </w:tcBorders>
            <w:vAlign w:val="center"/>
            <w:hideMark/>
          </w:tcPr>
          <w:p w:rsidR="004678D2" w:rsidRPr="004678D2" w:rsidRDefault="004678D2" w:rsidP="004678D2">
            <w:pPr>
              <w:widowControl/>
              <w:jc w:val="left"/>
              <w:rPr>
                <w:rFonts w:ascii="宋体" w:hAnsi="宋体" w:cs="Arial"/>
                <w:color w:val="000000"/>
                <w:kern w:val="0"/>
                <w:sz w:val="22"/>
                <w:szCs w:val="22"/>
              </w:rPr>
            </w:pPr>
          </w:p>
        </w:tc>
        <w:tc>
          <w:tcPr>
            <w:tcW w:w="436" w:type="dxa"/>
            <w:vMerge/>
            <w:tcBorders>
              <w:top w:val="nil"/>
              <w:left w:val="nil"/>
              <w:bottom w:val="single" w:sz="4" w:space="0" w:color="000000"/>
              <w:right w:val="single" w:sz="4" w:space="0" w:color="000000"/>
            </w:tcBorders>
            <w:vAlign w:val="center"/>
            <w:hideMark/>
          </w:tcPr>
          <w:p w:rsidR="004678D2" w:rsidRPr="004678D2" w:rsidRDefault="004678D2" w:rsidP="004678D2">
            <w:pPr>
              <w:widowControl/>
              <w:jc w:val="left"/>
              <w:rPr>
                <w:rFonts w:ascii="宋体" w:hAnsi="宋体" w:cs="Arial"/>
                <w:color w:val="000000"/>
                <w:kern w:val="0"/>
                <w:sz w:val="22"/>
                <w:szCs w:val="22"/>
              </w:rPr>
            </w:pPr>
          </w:p>
        </w:tc>
        <w:tc>
          <w:tcPr>
            <w:tcW w:w="4319" w:type="dxa"/>
            <w:tcBorders>
              <w:top w:val="nil"/>
              <w:left w:val="nil"/>
              <w:bottom w:val="single" w:sz="4" w:space="0" w:color="000000"/>
              <w:right w:val="single" w:sz="4" w:space="0" w:color="000000"/>
            </w:tcBorders>
            <w:shd w:val="clear" w:color="FFFFFF" w:fill="C0C0C0"/>
            <w:noWrap/>
            <w:vAlign w:val="center"/>
            <w:hideMark/>
          </w:tcPr>
          <w:p w:rsidR="004678D2" w:rsidRPr="004678D2" w:rsidRDefault="004678D2" w:rsidP="004678D2">
            <w:pPr>
              <w:widowControl/>
              <w:jc w:val="center"/>
              <w:rPr>
                <w:rFonts w:ascii="宋体" w:hAnsi="宋体" w:cs="Arial"/>
                <w:color w:val="000000"/>
                <w:kern w:val="0"/>
                <w:sz w:val="22"/>
                <w:szCs w:val="22"/>
              </w:rPr>
            </w:pPr>
            <w:r w:rsidRPr="004678D2">
              <w:rPr>
                <w:rFonts w:ascii="宋体" w:hAnsi="宋体" w:cs="Arial" w:hint="eastAsia"/>
                <w:color w:val="000000"/>
                <w:kern w:val="0"/>
                <w:sz w:val="22"/>
                <w:szCs w:val="22"/>
              </w:rPr>
              <w:t>合计</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3,027,878.46</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3,027,878.46</w:t>
            </w:r>
          </w:p>
        </w:tc>
        <w:tc>
          <w:tcPr>
            <w:tcW w:w="140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0.00</w:t>
            </w:r>
          </w:p>
        </w:tc>
      </w:tr>
      <w:tr w:rsidR="004678D2" w:rsidRPr="004678D2" w:rsidTr="004678D2">
        <w:trPr>
          <w:trHeight w:val="308"/>
        </w:trPr>
        <w:tc>
          <w:tcPr>
            <w:tcW w:w="130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201</w:t>
            </w:r>
          </w:p>
        </w:tc>
        <w:tc>
          <w:tcPr>
            <w:tcW w:w="431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一般公共服务支出</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1,818,534.34</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1,818,534.34</w:t>
            </w:r>
          </w:p>
        </w:tc>
        <w:tc>
          <w:tcPr>
            <w:tcW w:w="140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0.00</w:t>
            </w:r>
          </w:p>
        </w:tc>
      </w:tr>
      <w:tr w:rsidR="004678D2" w:rsidRPr="004678D2" w:rsidTr="004678D2">
        <w:trPr>
          <w:trHeight w:val="308"/>
        </w:trPr>
        <w:tc>
          <w:tcPr>
            <w:tcW w:w="130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20103</w:t>
            </w:r>
          </w:p>
        </w:tc>
        <w:tc>
          <w:tcPr>
            <w:tcW w:w="431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政府办公厅（室）及相关机构事务</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28,773.24</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28,773.24</w:t>
            </w:r>
          </w:p>
        </w:tc>
        <w:tc>
          <w:tcPr>
            <w:tcW w:w="140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0.00</w:t>
            </w:r>
          </w:p>
        </w:tc>
      </w:tr>
      <w:tr w:rsidR="004678D2" w:rsidRPr="004678D2" w:rsidTr="004678D2">
        <w:trPr>
          <w:trHeight w:val="308"/>
        </w:trPr>
        <w:tc>
          <w:tcPr>
            <w:tcW w:w="130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2010301</w:t>
            </w:r>
          </w:p>
        </w:tc>
        <w:tc>
          <w:tcPr>
            <w:tcW w:w="431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 xml:space="preserve">  行政运行</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24,913.24</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24,913.24</w:t>
            </w:r>
          </w:p>
        </w:tc>
        <w:tc>
          <w:tcPr>
            <w:tcW w:w="140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0.00</w:t>
            </w:r>
          </w:p>
        </w:tc>
      </w:tr>
      <w:tr w:rsidR="004678D2" w:rsidRPr="004678D2" w:rsidTr="004678D2">
        <w:trPr>
          <w:trHeight w:val="308"/>
        </w:trPr>
        <w:tc>
          <w:tcPr>
            <w:tcW w:w="130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2010350</w:t>
            </w:r>
          </w:p>
        </w:tc>
        <w:tc>
          <w:tcPr>
            <w:tcW w:w="431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 xml:space="preserve">  事业运行</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3,860.00</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3,860.00</w:t>
            </w:r>
          </w:p>
        </w:tc>
        <w:tc>
          <w:tcPr>
            <w:tcW w:w="140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0.00</w:t>
            </w:r>
          </w:p>
        </w:tc>
      </w:tr>
      <w:tr w:rsidR="004678D2" w:rsidRPr="004678D2" w:rsidTr="004678D2">
        <w:trPr>
          <w:trHeight w:val="308"/>
        </w:trPr>
        <w:tc>
          <w:tcPr>
            <w:tcW w:w="130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20113</w:t>
            </w:r>
          </w:p>
        </w:tc>
        <w:tc>
          <w:tcPr>
            <w:tcW w:w="431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商贸事务</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1,789,761.10</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1,789,761.10</w:t>
            </w:r>
          </w:p>
        </w:tc>
        <w:tc>
          <w:tcPr>
            <w:tcW w:w="140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0.00</w:t>
            </w:r>
          </w:p>
        </w:tc>
      </w:tr>
      <w:tr w:rsidR="004678D2" w:rsidRPr="004678D2" w:rsidTr="004678D2">
        <w:trPr>
          <w:trHeight w:val="308"/>
        </w:trPr>
        <w:tc>
          <w:tcPr>
            <w:tcW w:w="130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2011301</w:t>
            </w:r>
          </w:p>
        </w:tc>
        <w:tc>
          <w:tcPr>
            <w:tcW w:w="431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 xml:space="preserve">  行政运行</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1,144,867.20</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1,144,867.20</w:t>
            </w:r>
          </w:p>
        </w:tc>
        <w:tc>
          <w:tcPr>
            <w:tcW w:w="140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0.00</w:t>
            </w:r>
          </w:p>
        </w:tc>
      </w:tr>
      <w:tr w:rsidR="004678D2" w:rsidRPr="004678D2" w:rsidTr="004678D2">
        <w:trPr>
          <w:trHeight w:val="308"/>
        </w:trPr>
        <w:tc>
          <w:tcPr>
            <w:tcW w:w="130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2011308</w:t>
            </w:r>
          </w:p>
        </w:tc>
        <w:tc>
          <w:tcPr>
            <w:tcW w:w="431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 xml:space="preserve">  招商引资</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354,886.90</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354,886.90</w:t>
            </w:r>
          </w:p>
        </w:tc>
        <w:tc>
          <w:tcPr>
            <w:tcW w:w="140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0.00</w:t>
            </w:r>
          </w:p>
        </w:tc>
      </w:tr>
      <w:tr w:rsidR="004678D2" w:rsidRPr="004678D2" w:rsidTr="004678D2">
        <w:trPr>
          <w:trHeight w:val="308"/>
        </w:trPr>
        <w:tc>
          <w:tcPr>
            <w:tcW w:w="130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2011350</w:t>
            </w:r>
          </w:p>
        </w:tc>
        <w:tc>
          <w:tcPr>
            <w:tcW w:w="431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 xml:space="preserve">  事业运行</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288,507.00</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288,507.00</w:t>
            </w:r>
          </w:p>
        </w:tc>
        <w:tc>
          <w:tcPr>
            <w:tcW w:w="140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0.00</w:t>
            </w:r>
          </w:p>
        </w:tc>
      </w:tr>
      <w:tr w:rsidR="004678D2" w:rsidRPr="004678D2" w:rsidTr="004678D2">
        <w:trPr>
          <w:trHeight w:val="308"/>
        </w:trPr>
        <w:tc>
          <w:tcPr>
            <w:tcW w:w="130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2011399</w:t>
            </w:r>
          </w:p>
        </w:tc>
        <w:tc>
          <w:tcPr>
            <w:tcW w:w="431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 xml:space="preserve">  其他商贸事务支出</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1,500.00</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1,500.00</w:t>
            </w:r>
          </w:p>
        </w:tc>
        <w:tc>
          <w:tcPr>
            <w:tcW w:w="140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0.00</w:t>
            </w:r>
          </w:p>
        </w:tc>
      </w:tr>
      <w:tr w:rsidR="004678D2" w:rsidRPr="004678D2" w:rsidTr="004678D2">
        <w:trPr>
          <w:trHeight w:val="308"/>
        </w:trPr>
        <w:tc>
          <w:tcPr>
            <w:tcW w:w="130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208</w:t>
            </w:r>
          </w:p>
        </w:tc>
        <w:tc>
          <w:tcPr>
            <w:tcW w:w="431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社会保障和就业支出</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275,368.16</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275,368.16</w:t>
            </w:r>
          </w:p>
        </w:tc>
        <w:tc>
          <w:tcPr>
            <w:tcW w:w="140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0.00</w:t>
            </w:r>
          </w:p>
        </w:tc>
      </w:tr>
      <w:tr w:rsidR="004678D2" w:rsidRPr="004678D2" w:rsidTr="004678D2">
        <w:trPr>
          <w:trHeight w:val="308"/>
        </w:trPr>
        <w:tc>
          <w:tcPr>
            <w:tcW w:w="130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20805</w:t>
            </w:r>
          </w:p>
        </w:tc>
        <w:tc>
          <w:tcPr>
            <w:tcW w:w="431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行政事业单位离退休</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275,368.16</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275,368.16</w:t>
            </w:r>
          </w:p>
        </w:tc>
        <w:tc>
          <w:tcPr>
            <w:tcW w:w="140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0.00</w:t>
            </w:r>
          </w:p>
        </w:tc>
      </w:tr>
      <w:tr w:rsidR="004678D2" w:rsidRPr="004678D2" w:rsidTr="004678D2">
        <w:trPr>
          <w:trHeight w:val="308"/>
        </w:trPr>
        <w:tc>
          <w:tcPr>
            <w:tcW w:w="130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2080501</w:t>
            </w:r>
          </w:p>
        </w:tc>
        <w:tc>
          <w:tcPr>
            <w:tcW w:w="431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 xml:space="preserve">  归口管理的行政单位离退休</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104,763.00</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104,763.00</w:t>
            </w:r>
          </w:p>
        </w:tc>
        <w:tc>
          <w:tcPr>
            <w:tcW w:w="140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0.00</w:t>
            </w:r>
          </w:p>
        </w:tc>
      </w:tr>
      <w:tr w:rsidR="004678D2" w:rsidRPr="004678D2" w:rsidTr="004678D2">
        <w:trPr>
          <w:trHeight w:val="308"/>
        </w:trPr>
        <w:tc>
          <w:tcPr>
            <w:tcW w:w="130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2080505</w:t>
            </w:r>
          </w:p>
        </w:tc>
        <w:tc>
          <w:tcPr>
            <w:tcW w:w="431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 xml:space="preserve">  机关事业单位基本养老保险缴费支出</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169,285.16</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169,285.16</w:t>
            </w:r>
          </w:p>
        </w:tc>
        <w:tc>
          <w:tcPr>
            <w:tcW w:w="140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0.00</w:t>
            </w:r>
          </w:p>
        </w:tc>
      </w:tr>
      <w:tr w:rsidR="004678D2" w:rsidRPr="004678D2" w:rsidTr="004678D2">
        <w:trPr>
          <w:trHeight w:val="308"/>
        </w:trPr>
        <w:tc>
          <w:tcPr>
            <w:tcW w:w="130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2080599</w:t>
            </w:r>
          </w:p>
        </w:tc>
        <w:tc>
          <w:tcPr>
            <w:tcW w:w="431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 xml:space="preserve">  其他行政事业单位离退休支出</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1,320.00</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1,320.00</w:t>
            </w:r>
          </w:p>
        </w:tc>
        <w:tc>
          <w:tcPr>
            <w:tcW w:w="140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0.00</w:t>
            </w:r>
          </w:p>
        </w:tc>
      </w:tr>
      <w:tr w:rsidR="004678D2" w:rsidRPr="004678D2" w:rsidTr="004678D2">
        <w:trPr>
          <w:trHeight w:val="308"/>
        </w:trPr>
        <w:tc>
          <w:tcPr>
            <w:tcW w:w="130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210</w:t>
            </w:r>
          </w:p>
        </w:tc>
        <w:tc>
          <w:tcPr>
            <w:tcW w:w="431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医疗卫生与计划生育支出</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107,893.04</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107,893.04</w:t>
            </w:r>
          </w:p>
        </w:tc>
        <w:tc>
          <w:tcPr>
            <w:tcW w:w="140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0.00</w:t>
            </w:r>
          </w:p>
        </w:tc>
      </w:tr>
      <w:tr w:rsidR="004678D2" w:rsidRPr="004678D2" w:rsidTr="004678D2">
        <w:trPr>
          <w:trHeight w:val="308"/>
        </w:trPr>
        <w:tc>
          <w:tcPr>
            <w:tcW w:w="130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21011</w:t>
            </w:r>
          </w:p>
        </w:tc>
        <w:tc>
          <w:tcPr>
            <w:tcW w:w="431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行政事业单位医疗</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107,893.04</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107,893.04</w:t>
            </w:r>
          </w:p>
        </w:tc>
        <w:tc>
          <w:tcPr>
            <w:tcW w:w="140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0.00</w:t>
            </w:r>
          </w:p>
        </w:tc>
      </w:tr>
      <w:tr w:rsidR="004678D2" w:rsidRPr="004678D2" w:rsidTr="004678D2">
        <w:trPr>
          <w:trHeight w:val="308"/>
        </w:trPr>
        <w:tc>
          <w:tcPr>
            <w:tcW w:w="130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2101101</w:t>
            </w:r>
          </w:p>
        </w:tc>
        <w:tc>
          <w:tcPr>
            <w:tcW w:w="431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 xml:space="preserve">  行政单位医疗</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93,808.18</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93,808.18</w:t>
            </w:r>
          </w:p>
        </w:tc>
        <w:tc>
          <w:tcPr>
            <w:tcW w:w="140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0.00</w:t>
            </w:r>
          </w:p>
        </w:tc>
      </w:tr>
      <w:tr w:rsidR="004678D2" w:rsidRPr="004678D2" w:rsidTr="004678D2">
        <w:trPr>
          <w:trHeight w:val="308"/>
        </w:trPr>
        <w:tc>
          <w:tcPr>
            <w:tcW w:w="130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2101102</w:t>
            </w:r>
          </w:p>
        </w:tc>
        <w:tc>
          <w:tcPr>
            <w:tcW w:w="431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 xml:space="preserve">  事业单位医疗</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14,084.86</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14,084.86</w:t>
            </w:r>
          </w:p>
        </w:tc>
        <w:tc>
          <w:tcPr>
            <w:tcW w:w="140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0.00</w:t>
            </w:r>
          </w:p>
        </w:tc>
      </w:tr>
      <w:tr w:rsidR="004678D2" w:rsidRPr="004678D2" w:rsidTr="004678D2">
        <w:trPr>
          <w:trHeight w:val="308"/>
        </w:trPr>
        <w:tc>
          <w:tcPr>
            <w:tcW w:w="130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216</w:t>
            </w:r>
          </w:p>
        </w:tc>
        <w:tc>
          <w:tcPr>
            <w:tcW w:w="431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商业服务业等支出</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826,082.92</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826,082.92</w:t>
            </w:r>
          </w:p>
        </w:tc>
        <w:tc>
          <w:tcPr>
            <w:tcW w:w="140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0.00</w:t>
            </w:r>
          </w:p>
        </w:tc>
      </w:tr>
      <w:tr w:rsidR="004678D2" w:rsidRPr="004678D2" w:rsidTr="004678D2">
        <w:trPr>
          <w:trHeight w:val="308"/>
        </w:trPr>
        <w:tc>
          <w:tcPr>
            <w:tcW w:w="130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21606</w:t>
            </w:r>
          </w:p>
        </w:tc>
        <w:tc>
          <w:tcPr>
            <w:tcW w:w="431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涉外发展服务支出</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826,082.92</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826,082.92</w:t>
            </w:r>
          </w:p>
        </w:tc>
        <w:tc>
          <w:tcPr>
            <w:tcW w:w="140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0.00</w:t>
            </w:r>
          </w:p>
        </w:tc>
      </w:tr>
      <w:tr w:rsidR="004678D2" w:rsidRPr="004678D2" w:rsidTr="004678D2">
        <w:trPr>
          <w:trHeight w:val="308"/>
        </w:trPr>
        <w:tc>
          <w:tcPr>
            <w:tcW w:w="130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2160699</w:t>
            </w:r>
          </w:p>
        </w:tc>
        <w:tc>
          <w:tcPr>
            <w:tcW w:w="431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left"/>
              <w:rPr>
                <w:rFonts w:ascii="宋体" w:hAnsi="宋体" w:cs="Arial"/>
                <w:color w:val="000000"/>
                <w:kern w:val="0"/>
                <w:sz w:val="22"/>
                <w:szCs w:val="22"/>
              </w:rPr>
            </w:pPr>
            <w:r w:rsidRPr="004678D2">
              <w:rPr>
                <w:rFonts w:ascii="宋体" w:hAnsi="宋体" w:cs="Arial" w:hint="eastAsia"/>
                <w:color w:val="000000"/>
                <w:kern w:val="0"/>
                <w:sz w:val="22"/>
                <w:szCs w:val="22"/>
              </w:rPr>
              <w:t xml:space="preserve">  其他涉外发展服务支出</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826,082.92</w:t>
            </w:r>
          </w:p>
        </w:tc>
        <w:tc>
          <w:tcPr>
            <w:tcW w:w="1547"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826,082.92</w:t>
            </w:r>
          </w:p>
        </w:tc>
        <w:tc>
          <w:tcPr>
            <w:tcW w:w="1409" w:type="dxa"/>
            <w:tcBorders>
              <w:top w:val="nil"/>
              <w:left w:val="nil"/>
              <w:bottom w:val="single" w:sz="4" w:space="0" w:color="000000"/>
              <w:right w:val="single" w:sz="4" w:space="0" w:color="000000"/>
            </w:tcBorders>
            <w:shd w:val="clear" w:color="auto" w:fill="auto"/>
            <w:noWrap/>
            <w:vAlign w:val="center"/>
            <w:hideMark/>
          </w:tcPr>
          <w:p w:rsidR="004678D2" w:rsidRPr="004678D2" w:rsidRDefault="004678D2" w:rsidP="004678D2">
            <w:pPr>
              <w:widowControl/>
              <w:jc w:val="right"/>
              <w:rPr>
                <w:rFonts w:ascii="宋体" w:hAnsi="宋体" w:cs="Arial"/>
                <w:color w:val="000000"/>
                <w:kern w:val="0"/>
                <w:sz w:val="22"/>
                <w:szCs w:val="22"/>
              </w:rPr>
            </w:pPr>
            <w:r w:rsidRPr="004678D2">
              <w:rPr>
                <w:rFonts w:ascii="宋体" w:hAnsi="宋体" w:cs="Arial" w:hint="eastAsia"/>
                <w:color w:val="000000"/>
                <w:kern w:val="0"/>
                <w:sz w:val="22"/>
                <w:szCs w:val="22"/>
              </w:rPr>
              <w:t>0.00</w:t>
            </w:r>
          </w:p>
        </w:tc>
      </w:tr>
      <w:tr w:rsidR="004678D2" w:rsidRPr="004678D2" w:rsidTr="004678D2">
        <w:trPr>
          <w:trHeight w:val="308"/>
        </w:trPr>
        <w:tc>
          <w:tcPr>
            <w:tcW w:w="10130" w:type="dxa"/>
            <w:gridSpan w:val="7"/>
            <w:tcBorders>
              <w:top w:val="nil"/>
              <w:left w:val="nil"/>
              <w:bottom w:val="nil"/>
              <w:right w:val="nil"/>
            </w:tcBorders>
            <w:shd w:val="clear" w:color="auto" w:fill="auto"/>
            <w:noWrap/>
            <w:vAlign w:val="center"/>
            <w:hideMark/>
          </w:tcPr>
          <w:p w:rsidR="004678D2" w:rsidRDefault="004678D2" w:rsidP="004678D2">
            <w:pPr>
              <w:widowControl/>
              <w:jc w:val="left"/>
              <w:rPr>
                <w:rFonts w:ascii="宋体" w:hAnsi="宋体" w:cs="Arial"/>
                <w:color w:val="000000"/>
                <w:kern w:val="0"/>
                <w:sz w:val="20"/>
              </w:rPr>
            </w:pPr>
            <w:r w:rsidRPr="004678D2">
              <w:rPr>
                <w:rFonts w:ascii="宋体" w:hAnsi="宋体" w:cs="Arial" w:hint="eastAsia"/>
                <w:color w:val="000000"/>
                <w:kern w:val="0"/>
                <w:sz w:val="20"/>
              </w:rPr>
              <w:t>注：本表反映部门本年度一般公共预算财政拨款支出情况。</w:t>
            </w:r>
          </w:p>
          <w:p w:rsidR="00394480" w:rsidRDefault="00394480" w:rsidP="004678D2">
            <w:pPr>
              <w:widowControl/>
              <w:jc w:val="left"/>
              <w:rPr>
                <w:rFonts w:ascii="宋体" w:hAnsi="宋体" w:cs="Arial"/>
                <w:color w:val="000000"/>
                <w:kern w:val="0"/>
                <w:sz w:val="20"/>
              </w:rPr>
            </w:pPr>
          </w:p>
          <w:p w:rsidR="00394480" w:rsidRDefault="00394480" w:rsidP="004678D2">
            <w:pPr>
              <w:widowControl/>
              <w:jc w:val="left"/>
              <w:rPr>
                <w:rFonts w:ascii="宋体" w:hAnsi="宋体" w:cs="Arial"/>
                <w:color w:val="000000"/>
                <w:kern w:val="0"/>
                <w:sz w:val="20"/>
              </w:rPr>
            </w:pPr>
          </w:p>
          <w:p w:rsidR="00394480" w:rsidRDefault="00394480" w:rsidP="004678D2">
            <w:pPr>
              <w:widowControl/>
              <w:jc w:val="left"/>
              <w:rPr>
                <w:rFonts w:ascii="宋体" w:hAnsi="宋体" w:cs="Arial"/>
                <w:color w:val="000000"/>
                <w:kern w:val="0"/>
                <w:sz w:val="20"/>
              </w:rPr>
            </w:pPr>
          </w:p>
          <w:p w:rsidR="00394480" w:rsidRDefault="00394480" w:rsidP="004678D2">
            <w:pPr>
              <w:widowControl/>
              <w:jc w:val="left"/>
              <w:rPr>
                <w:rFonts w:ascii="宋体" w:hAnsi="宋体" w:cs="Arial"/>
                <w:color w:val="000000"/>
                <w:kern w:val="0"/>
                <w:sz w:val="20"/>
              </w:rPr>
            </w:pPr>
          </w:p>
          <w:p w:rsidR="00394480" w:rsidRDefault="00394480" w:rsidP="004678D2">
            <w:pPr>
              <w:widowControl/>
              <w:jc w:val="left"/>
              <w:rPr>
                <w:rFonts w:ascii="宋体" w:hAnsi="宋体" w:cs="Arial"/>
                <w:color w:val="000000"/>
                <w:kern w:val="0"/>
                <w:sz w:val="20"/>
              </w:rPr>
            </w:pPr>
          </w:p>
          <w:p w:rsidR="00394480" w:rsidRDefault="00394480" w:rsidP="004678D2">
            <w:pPr>
              <w:widowControl/>
              <w:jc w:val="left"/>
              <w:rPr>
                <w:rFonts w:ascii="宋体" w:hAnsi="宋体" w:cs="Arial"/>
                <w:color w:val="000000"/>
                <w:kern w:val="0"/>
                <w:sz w:val="20"/>
              </w:rPr>
            </w:pPr>
          </w:p>
          <w:p w:rsidR="00394480" w:rsidRDefault="00394480" w:rsidP="004678D2">
            <w:pPr>
              <w:widowControl/>
              <w:jc w:val="left"/>
              <w:rPr>
                <w:rFonts w:ascii="宋体" w:hAnsi="宋体" w:cs="Arial"/>
                <w:color w:val="000000"/>
                <w:kern w:val="0"/>
                <w:sz w:val="20"/>
              </w:rPr>
            </w:pPr>
          </w:p>
          <w:p w:rsidR="00394480" w:rsidRDefault="00394480" w:rsidP="004678D2">
            <w:pPr>
              <w:widowControl/>
              <w:jc w:val="left"/>
              <w:rPr>
                <w:rFonts w:ascii="宋体" w:hAnsi="宋体" w:cs="Arial"/>
                <w:color w:val="000000"/>
                <w:kern w:val="0"/>
                <w:sz w:val="20"/>
              </w:rPr>
            </w:pPr>
          </w:p>
          <w:p w:rsidR="00394480" w:rsidRDefault="00394480" w:rsidP="004678D2">
            <w:pPr>
              <w:widowControl/>
              <w:jc w:val="left"/>
              <w:rPr>
                <w:rFonts w:ascii="宋体" w:hAnsi="宋体" w:cs="Arial"/>
                <w:color w:val="000000"/>
                <w:kern w:val="0"/>
                <w:sz w:val="20"/>
              </w:rPr>
            </w:pPr>
          </w:p>
          <w:p w:rsidR="00394480" w:rsidRDefault="00394480" w:rsidP="004678D2">
            <w:pPr>
              <w:widowControl/>
              <w:jc w:val="left"/>
              <w:rPr>
                <w:rFonts w:ascii="宋体" w:hAnsi="宋体" w:cs="Arial"/>
                <w:color w:val="000000"/>
                <w:kern w:val="0"/>
                <w:sz w:val="20"/>
              </w:rPr>
            </w:pPr>
          </w:p>
          <w:p w:rsidR="00394480" w:rsidRDefault="00394480" w:rsidP="004678D2">
            <w:pPr>
              <w:widowControl/>
              <w:jc w:val="left"/>
              <w:rPr>
                <w:rFonts w:ascii="宋体" w:hAnsi="宋体" w:cs="Arial"/>
                <w:color w:val="000000"/>
                <w:kern w:val="0"/>
                <w:sz w:val="20"/>
              </w:rPr>
            </w:pPr>
          </w:p>
          <w:p w:rsidR="00394480" w:rsidRDefault="00394480" w:rsidP="004678D2">
            <w:pPr>
              <w:widowControl/>
              <w:jc w:val="left"/>
              <w:rPr>
                <w:rFonts w:ascii="宋体" w:hAnsi="宋体" w:cs="Arial"/>
                <w:color w:val="000000"/>
                <w:kern w:val="0"/>
                <w:sz w:val="20"/>
              </w:rPr>
            </w:pPr>
            <w:r>
              <w:rPr>
                <w:rFonts w:ascii="宋体" w:hAnsi="宋体" w:cs="Arial"/>
                <w:noProof/>
                <w:color w:val="000000"/>
                <w:kern w:val="0"/>
                <w:sz w:val="20"/>
              </w:rPr>
              <w:lastRenderedPageBreak/>
              <w:drawing>
                <wp:inline distT="0" distB="0" distL="0" distR="0">
                  <wp:extent cx="5638800" cy="8439867"/>
                  <wp:effectExtent l="19050" t="0" r="0" b="0"/>
                  <wp:docPr id="28" name="图片 15" descr="C:\Users\ADMINI~1\AppData\Local\Temp\162156648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DMINI~1\AppData\Local\Temp\1621566482(1).png"/>
                          <pic:cNvPicPr>
                            <a:picLocks noChangeAspect="1" noChangeArrowheads="1"/>
                          </pic:cNvPicPr>
                        </pic:nvPicPr>
                        <pic:blipFill>
                          <a:blip r:embed="rId11" cstate="print"/>
                          <a:srcRect/>
                          <a:stretch>
                            <a:fillRect/>
                          </a:stretch>
                        </pic:blipFill>
                        <pic:spPr bwMode="auto">
                          <a:xfrm>
                            <a:off x="0" y="0"/>
                            <a:ext cx="5638719" cy="8439746"/>
                          </a:xfrm>
                          <a:prstGeom prst="rect">
                            <a:avLst/>
                          </a:prstGeom>
                          <a:noFill/>
                          <a:ln w="9525">
                            <a:noFill/>
                            <a:miter lim="800000"/>
                            <a:headEnd/>
                            <a:tailEnd/>
                          </a:ln>
                        </pic:spPr>
                      </pic:pic>
                    </a:graphicData>
                  </a:graphic>
                </wp:inline>
              </w:drawing>
            </w:r>
          </w:p>
          <w:p w:rsidR="00394480" w:rsidRDefault="00394480" w:rsidP="004678D2">
            <w:pPr>
              <w:widowControl/>
              <w:jc w:val="left"/>
              <w:rPr>
                <w:rFonts w:ascii="宋体" w:hAnsi="宋体" w:cs="Arial"/>
                <w:color w:val="000000"/>
                <w:kern w:val="0"/>
                <w:sz w:val="20"/>
              </w:rPr>
            </w:pPr>
          </w:p>
          <w:p w:rsidR="00394480" w:rsidRDefault="00394480" w:rsidP="004678D2">
            <w:pPr>
              <w:widowControl/>
              <w:jc w:val="left"/>
              <w:rPr>
                <w:rFonts w:ascii="宋体" w:hAnsi="宋体" w:cs="Arial"/>
                <w:color w:val="000000"/>
                <w:kern w:val="0"/>
                <w:sz w:val="20"/>
              </w:rPr>
            </w:pPr>
          </w:p>
          <w:p w:rsidR="00394480" w:rsidRDefault="00394480" w:rsidP="004678D2">
            <w:pPr>
              <w:widowControl/>
              <w:jc w:val="left"/>
              <w:rPr>
                <w:rFonts w:ascii="宋体" w:hAnsi="宋体" w:cs="Arial"/>
                <w:color w:val="000000"/>
                <w:kern w:val="0"/>
                <w:sz w:val="20"/>
              </w:rPr>
            </w:pPr>
          </w:p>
          <w:p w:rsidR="00394480" w:rsidRDefault="00394480" w:rsidP="004678D2">
            <w:pPr>
              <w:widowControl/>
              <w:jc w:val="left"/>
              <w:rPr>
                <w:rFonts w:ascii="宋体" w:hAnsi="宋体" w:cs="Arial"/>
                <w:color w:val="000000"/>
                <w:kern w:val="0"/>
                <w:sz w:val="20"/>
              </w:rPr>
            </w:pPr>
          </w:p>
          <w:p w:rsidR="00394480" w:rsidRDefault="00394480" w:rsidP="004678D2">
            <w:pPr>
              <w:widowControl/>
              <w:jc w:val="left"/>
              <w:rPr>
                <w:rFonts w:ascii="宋体" w:hAnsi="宋体" w:cs="Arial"/>
                <w:color w:val="000000"/>
                <w:kern w:val="0"/>
                <w:sz w:val="20"/>
              </w:rPr>
            </w:pPr>
            <w:r>
              <w:rPr>
                <w:rFonts w:ascii="宋体" w:hAnsi="宋体" w:cs="Arial"/>
                <w:noProof/>
                <w:color w:val="000000"/>
                <w:kern w:val="0"/>
                <w:sz w:val="20"/>
              </w:rPr>
              <w:drawing>
                <wp:inline distT="0" distB="0" distL="0" distR="0">
                  <wp:extent cx="5133975" cy="5276850"/>
                  <wp:effectExtent l="19050" t="0" r="9525" b="0"/>
                  <wp:docPr id="30" name="图片 17" descr="C:\Users\ADMINI~1\AppData\Local\Temp\162156659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DMINI~1\AppData\Local\Temp\1621566592(1).jpg"/>
                          <pic:cNvPicPr>
                            <a:picLocks noChangeAspect="1" noChangeArrowheads="1"/>
                          </pic:cNvPicPr>
                        </pic:nvPicPr>
                        <pic:blipFill>
                          <a:blip r:embed="rId12" cstate="print"/>
                          <a:srcRect/>
                          <a:stretch>
                            <a:fillRect/>
                          </a:stretch>
                        </pic:blipFill>
                        <pic:spPr bwMode="auto">
                          <a:xfrm>
                            <a:off x="0" y="0"/>
                            <a:ext cx="5133975" cy="5276850"/>
                          </a:xfrm>
                          <a:prstGeom prst="rect">
                            <a:avLst/>
                          </a:prstGeom>
                          <a:noFill/>
                          <a:ln w="9525">
                            <a:noFill/>
                            <a:miter lim="800000"/>
                            <a:headEnd/>
                            <a:tailEnd/>
                          </a:ln>
                        </pic:spPr>
                      </pic:pic>
                    </a:graphicData>
                  </a:graphic>
                </wp:inline>
              </w:drawing>
            </w:r>
          </w:p>
          <w:p w:rsidR="00394480" w:rsidRDefault="00394480" w:rsidP="004678D2">
            <w:pPr>
              <w:widowControl/>
              <w:jc w:val="left"/>
              <w:rPr>
                <w:rFonts w:ascii="宋体" w:hAnsi="宋体" w:cs="Arial"/>
                <w:color w:val="000000"/>
                <w:kern w:val="0"/>
                <w:sz w:val="20"/>
              </w:rPr>
            </w:pPr>
          </w:p>
          <w:p w:rsidR="00394480" w:rsidRDefault="00394480" w:rsidP="004678D2">
            <w:pPr>
              <w:widowControl/>
              <w:jc w:val="left"/>
              <w:rPr>
                <w:rFonts w:ascii="宋体" w:hAnsi="宋体" w:cs="Arial"/>
                <w:color w:val="000000"/>
                <w:kern w:val="0"/>
                <w:sz w:val="20"/>
              </w:rPr>
            </w:pPr>
          </w:p>
          <w:p w:rsidR="00394480" w:rsidRPr="004678D2" w:rsidRDefault="00394480" w:rsidP="004678D2">
            <w:pPr>
              <w:widowControl/>
              <w:jc w:val="left"/>
              <w:rPr>
                <w:rFonts w:ascii="宋体" w:hAnsi="宋体" w:cs="Arial"/>
                <w:color w:val="000000"/>
                <w:kern w:val="0"/>
                <w:sz w:val="20"/>
              </w:rPr>
            </w:pPr>
          </w:p>
        </w:tc>
      </w:tr>
    </w:tbl>
    <w:p w:rsidR="004678D2" w:rsidRPr="00394480" w:rsidRDefault="004678D2" w:rsidP="004678D2">
      <w:pPr>
        <w:widowControl/>
        <w:spacing w:line="600" w:lineRule="exact"/>
        <w:rPr>
          <w:rFonts w:ascii="宋体" w:hAnsi="宋体"/>
          <w:b/>
          <w:sz w:val="18"/>
          <w:szCs w:val="18"/>
        </w:rPr>
      </w:pPr>
    </w:p>
    <w:p w:rsidR="004678D2" w:rsidRDefault="004678D2" w:rsidP="004678D2">
      <w:pPr>
        <w:widowControl/>
        <w:spacing w:line="600" w:lineRule="exact"/>
        <w:rPr>
          <w:rFonts w:ascii="宋体" w:hAnsi="宋体"/>
          <w:b/>
          <w:sz w:val="32"/>
          <w:szCs w:val="32"/>
        </w:rPr>
      </w:pPr>
    </w:p>
    <w:p w:rsidR="004678D2" w:rsidRDefault="004678D2" w:rsidP="004678D2">
      <w:pPr>
        <w:widowControl/>
        <w:spacing w:line="600" w:lineRule="exact"/>
        <w:rPr>
          <w:rFonts w:ascii="宋体" w:hAnsi="宋体"/>
          <w:b/>
          <w:sz w:val="32"/>
          <w:szCs w:val="32"/>
        </w:rPr>
      </w:pPr>
    </w:p>
    <w:p w:rsidR="004678D2" w:rsidRDefault="004678D2" w:rsidP="004678D2">
      <w:pPr>
        <w:widowControl/>
        <w:spacing w:line="600" w:lineRule="exact"/>
        <w:rPr>
          <w:rFonts w:ascii="宋体" w:hAnsi="宋体"/>
          <w:b/>
          <w:sz w:val="32"/>
          <w:szCs w:val="32"/>
        </w:rPr>
      </w:pPr>
    </w:p>
    <w:p w:rsidR="004678D2" w:rsidRDefault="004678D2" w:rsidP="004678D2">
      <w:pPr>
        <w:widowControl/>
        <w:spacing w:line="600" w:lineRule="exact"/>
        <w:rPr>
          <w:rFonts w:ascii="宋体" w:hAnsi="宋体"/>
          <w:b/>
          <w:sz w:val="32"/>
          <w:szCs w:val="32"/>
        </w:rPr>
      </w:pPr>
    </w:p>
    <w:p w:rsidR="004678D2" w:rsidRDefault="004678D2" w:rsidP="004678D2">
      <w:pPr>
        <w:widowControl/>
        <w:spacing w:line="600" w:lineRule="exact"/>
        <w:rPr>
          <w:rFonts w:ascii="宋体" w:hAnsi="宋体"/>
          <w:b/>
          <w:sz w:val="32"/>
          <w:szCs w:val="32"/>
        </w:rPr>
      </w:pPr>
    </w:p>
    <w:p w:rsidR="008D4FA1" w:rsidRDefault="008D4FA1" w:rsidP="008D4FA1">
      <w:pPr>
        <w:widowControl/>
        <w:spacing w:line="600" w:lineRule="exact"/>
        <w:ind w:firstLine="640"/>
        <w:jc w:val="center"/>
        <w:rPr>
          <w:rFonts w:ascii="宋体" w:hAnsi="宋体"/>
          <w:b/>
          <w:sz w:val="32"/>
          <w:szCs w:val="32"/>
        </w:rPr>
      </w:pPr>
      <w:r>
        <w:rPr>
          <w:rFonts w:ascii="宋体" w:hAnsi="宋体" w:hint="eastAsia"/>
          <w:b/>
          <w:sz w:val="32"/>
          <w:szCs w:val="32"/>
        </w:rPr>
        <w:lastRenderedPageBreak/>
        <w:t>第三部分  201</w:t>
      </w:r>
      <w:r w:rsidR="00394480">
        <w:rPr>
          <w:rFonts w:ascii="宋体" w:hAnsi="宋体" w:hint="eastAsia"/>
          <w:b/>
          <w:sz w:val="32"/>
          <w:szCs w:val="32"/>
        </w:rPr>
        <w:t>8</w:t>
      </w:r>
      <w:r>
        <w:rPr>
          <w:rFonts w:ascii="宋体" w:hAnsi="宋体" w:hint="eastAsia"/>
          <w:b/>
          <w:sz w:val="32"/>
          <w:szCs w:val="32"/>
        </w:rPr>
        <w:t>年度部门决算情况说明</w:t>
      </w:r>
    </w:p>
    <w:p w:rsidR="008D4FA1" w:rsidRDefault="008D4FA1" w:rsidP="008D4FA1">
      <w:pPr>
        <w:ind w:firstLine="630"/>
        <w:jc w:val="left"/>
        <w:rPr>
          <w:rFonts w:ascii="仿宋" w:eastAsia="仿宋" w:hAnsi="仿宋"/>
          <w:sz w:val="30"/>
          <w:szCs w:val="30"/>
        </w:rPr>
      </w:pPr>
    </w:p>
    <w:p w:rsidR="00394480" w:rsidRPr="00394480" w:rsidRDefault="008D4FA1" w:rsidP="00394480">
      <w:pPr>
        <w:pStyle w:val="a4"/>
        <w:numPr>
          <w:ilvl w:val="0"/>
          <w:numId w:val="3"/>
        </w:numPr>
        <w:ind w:firstLineChars="0"/>
        <w:jc w:val="left"/>
        <w:rPr>
          <w:rFonts w:ascii="黑体" w:eastAsia="黑体" w:hAnsi="黑体"/>
          <w:sz w:val="30"/>
          <w:szCs w:val="30"/>
        </w:rPr>
      </w:pPr>
      <w:r w:rsidRPr="00394480">
        <w:rPr>
          <w:rFonts w:ascii="黑体" w:eastAsia="黑体" w:hAnsi="黑体" w:hint="eastAsia"/>
          <w:sz w:val="30"/>
          <w:szCs w:val="30"/>
        </w:rPr>
        <w:t>收入决算情况说明</w:t>
      </w:r>
    </w:p>
    <w:p w:rsidR="008D4FA1" w:rsidRDefault="008D4FA1" w:rsidP="008D4FA1">
      <w:pPr>
        <w:ind w:firstLine="630"/>
        <w:jc w:val="left"/>
        <w:rPr>
          <w:rFonts w:ascii="仿宋" w:eastAsia="仿宋" w:hAnsi="仿宋"/>
          <w:sz w:val="30"/>
          <w:szCs w:val="30"/>
        </w:rPr>
      </w:pPr>
      <w:r>
        <w:rPr>
          <w:rFonts w:ascii="仿宋" w:eastAsia="仿宋" w:hAnsi="仿宋" w:hint="eastAsia"/>
          <w:sz w:val="30"/>
          <w:szCs w:val="30"/>
        </w:rPr>
        <w:t>本部门201</w:t>
      </w:r>
      <w:r w:rsidR="00394480">
        <w:rPr>
          <w:rFonts w:ascii="仿宋" w:eastAsia="仿宋" w:hAnsi="仿宋" w:hint="eastAsia"/>
          <w:sz w:val="30"/>
          <w:szCs w:val="30"/>
        </w:rPr>
        <w:t>8</w:t>
      </w:r>
      <w:r>
        <w:rPr>
          <w:rFonts w:ascii="仿宋" w:eastAsia="仿宋" w:hAnsi="仿宋" w:hint="eastAsia"/>
          <w:sz w:val="30"/>
          <w:szCs w:val="30"/>
        </w:rPr>
        <w:t>年度收入总计</w:t>
      </w:r>
      <w:r w:rsidR="00394480">
        <w:rPr>
          <w:rFonts w:ascii="仿宋" w:eastAsia="仿宋" w:hAnsi="仿宋" w:hint="eastAsia"/>
          <w:sz w:val="30"/>
          <w:szCs w:val="30"/>
        </w:rPr>
        <w:t>347.54</w:t>
      </w:r>
      <w:r>
        <w:rPr>
          <w:rFonts w:ascii="仿宋" w:eastAsia="仿宋" w:hAnsi="仿宋" w:hint="eastAsia"/>
          <w:sz w:val="30"/>
          <w:szCs w:val="30"/>
        </w:rPr>
        <w:t>万元，其中年初结转和结余</w:t>
      </w:r>
      <w:r w:rsidR="00394480">
        <w:rPr>
          <w:rFonts w:ascii="仿宋" w:eastAsia="仿宋" w:hAnsi="仿宋" w:hint="eastAsia"/>
          <w:sz w:val="30"/>
          <w:szCs w:val="30"/>
        </w:rPr>
        <w:t>109.84</w:t>
      </w:r>
      <w:r>
        <w:rPr>
          <w:rFonts w:ascii="仿宋" w:eastAsia="仿宋" w:hAnsi="仿宋" w:hint="eastAsia"/>
          <w:sz w:val="30"/>
          <w:szCs w:val="30"/>
        </w:rPr>
        <w:t>万元，较201</w:t>
      </w:r>
      <w:r w:rsidR="00394480">
        <w:rPr>
          <w:rFonts w:ascii="仿宋" w:eastAsia="仿宋" w:hAnsi="仿宋" w:hint="eastAsia"/>
          <w:sz w:val="30"/>
          <w:szCs w:val="30"/>
        </w:rPr>
        <w:t>7</w:t>
      </w:r>
      <w:r>
        <w:rPr>
          <w:rFonts w:ascii="仿宋" w:eastAsia="仿宋" w:hAnsi="仿宋" w:hint="eastAsia"/>
          <w:sz w:val="30"/>
          <w:szCs w:val="30"/>
        </w:rPr>
        <w:t>年</w:t>
      </w:r>
      <w:r w:rsidR="00394480">
        <w:rPr>
          <w:rFonts w:ascii="仿宋" w:eastAsia="仿宋" w:hAnsi="仿宋" w:hint="eastAsia"/>
          <w:sz w:val="30"/>
          <w:szCs w:val="30"/>
        </w:rPr>
        <w:t>减少</w:t>
      </w:r>
      <w:r w:rsidR="00CE02B3">
        <w:rPr>
          <w:rFonts w:ascii="仿宋" w:eastAsia="仿宋" w:hAnsi="仿宋" w:hint="eastAsia"/>
          <w:sz w:val="30"/>
          <w:szCs w:val="30"/>
        </w:rPr>
        <w:t>94.81</w:t>
      </w:r>
      <w:r>
        <w:rPr>
          <w:rFonts w:ascii="仿宋" w:eastAsia="仿宋" w:hAnsi="仿宋" w:hint="eastAsia"/>
          <w:sz w:val="30"/>
          <w:szCs w:val="30"/>
        </w:rPr>
        <w:t>万元，</w:t>
      </w:r>
      <w:r w:rsidR="00CE02B3">
        <w:rPr>
          <w:rFonts w:ascii="仿宋" w:eastAsia="仿宋" w:hAnsi="仿宋" w:hint="eastAsia"/>
          <w:sz w:val="30"/>
          <w:szCs w:val="30"/>
        </w:rPr>
        <w:t>下降28.81</w:t>
      </w:r>
      <w:r>
        <w:rPr>
          <w:rFonts w:ascii="仿宋" w:eastAsia="仿宋" w:hAnsi="仿宋" w:hint="eastAsia"/>
          <w:sz w:val="30"/>
          <w:szCs w:val="30"/>
        </w:rPr>
        <w:t>%；本年收入合计</w:t>
      </w:r>
      <w:r w:rsidR="00394480">
        <w:rPr>
          <w:rFonts w:ascii="仿宋" w:eastAsia="仿宋" w:hAnsi="仿宋" w:hint="eastAsia"/>
          <w:sz w:val="30"/>
          <w:szCs w:val="30"/>
        </w:rPr>
        <w:t>347.22</w:t>
      </w:r>
      <w:r>
        <w:rPr>
          <w:rFonts w:ascii="仿宋" w:eastAsia="仿宋" w:hAnsi="仿宋" w:hint="eastAsia"/>
          <w:sz w:val="30"/>
          <w:szCs w:val="30"/>
        </w:rPr>
        <w:t>万元，较201</w:t>
      </w:r>
      <w:r w:rsidR="00394480">
        <w:rPr>
          <w:rFonts w:ascii="仿宋" w:eastAsia="仿宋" w:hAnsi="仿宋" w:hint="eastAsia"/>
          <w:sz w:val="30"/>
          <w:szCs w:val="30"/>
        </w:rPr>
        <w:t>7</w:t>
      </w:r>
      <w:r>
        <w:rPr>
          <w:rFonts w:ascii="仿宋" w:eastAsia="仿宋" w:hAnsi="仿宋" w:hint="eastAsia"/>
          <w:sz w:val="30"/>
          <w:szCs w:val="30"/>
        </w:rPr>
        <w:t>年</w:t>
      </w:r>
      <w:r w:rsidR="00CE02B3">
        <w:rPr>
          <w:rFonts w:ascii="仿宋" w:eastAsia="仿宋" w:hAnsi="仿宋" w:hint="eastAsia"/>
          <w:sz w:val="30"/>
          <w:szCs w:val="30"/>
        </w:rPr>
        <w:t>下降94.81</w:t>
      </w:r>
      <w:r>
        <w:rPr>
          <w:rFonts w:ascii="仿宋" w:eastAsia="仿宋" w:hAnsi="仿宋" w:hint="eastAsia"/>
          <w:sz w:val="30"/>
          <w:szCs w:val="30"/>
        </w:rPr>
        <w:t>万元，</w:t>
      </w:r>
      <w:r w:rsidR="00CE02B3">
        <w:rPr>
          <w:rFonts w:ascii="仿宋" w:eastAsia="仿宋" w:hAnsi="仿宋" w:hint="eastAsia"/>
          <w:sz w:val="30"/>
          <w:szCs w:val="30"/>
        </w:rPr>
        <w:t>下降28.81</w:t>
      </w:r>
      <w:r>
        <w:rPr>
          <w:rFonts w:ascii="仿宋" w:eastAsia="仿宋" w:hAnsi="仿宋" w:hint="eastAsia"/>
          <w:sz w:val="30"/>
          <w:szCs w:val="30"/>
        </w:rPr>
        <w:t>%，主要原因是：</w:t>
      </w:r>
      <w:r w:rsidR="00CE02B3">
        <w:rPr>
          <w:rFonts w:ascii="仿宋" w:eastAsia="仿宋" w:hAnsi="仿宋" w:hint="eastAsia"/>
          <w:sz w:val="30"/>
          <w:szCs w:val="30"/>
        </w:rPr>
        <w:t>结余减少</w:t>
      </w:r>
      <w:r>
        <w:rPr>
          <w:rFonts w:ascii="仿宋" w:eastAsia="仿宋" w:hAnsi="仿宋" w:hint="eastAsia"/>
          <w:sz w:val="30"/>
          <w:szCs w:val="30"/>
        </w:rPr>
        <w:t>。</w:t>
      </w:r>
    </w:p>
    <w:p w:rsidR="008D4FA1" w:rsidRDefault="008D4FA1" w:rsidP="008D4FA1">
      <w:pPr>
        <w:ind w:firstLine="630"/>
        <w:jc w:val="left"/>
        <w:rPr>
          <w:rFonts w:ascii="仿宋" w:eastAsia="仿宋" w:hAnsi="仿宋"/>
          <w:sz w:val="30"/>
          <w:szCs w:val="30"/>
        </w:rPr>
      </w:pPr>
      <w:r>
        <w:rPr>
          <w:rFonts w:ascii="仿宋" w:eastAsia="仿宋" w:hAnsi="仿宋" w:hint="eastAsia"/>
          <w:sz w:val="30"/>
          <w:szCs w:val="30"/>
        </w:rPr>
        <w:t>本年收入的具体构成为：财政拨款收入</w:t>
      </w:r>
      <w:r w:rsidR="00394480">
        <w:rPr>
          <w:rFonts w:ascii="仿宋" w:eastAsia="仿宋" w:hAnsi="仿宋" w:hint="eastAsia"/>
          <w:sz w:val="30"/>
          <w:szCs w:val="30"/>
        </w:rPr>
        <w:t>237.7</w:t>
      </w:r>
      <w:r>
        <w:rPr>
          <w:rFonts w:ascii="仿宋" w:eastAsia="仿宋" w:hAnsi="仿宋" w:hint="eastAsia"/>
          <w:sz w:val="30"/>
          <w:szCs w:val="30"/>
        </w:rPr>
        <w:t>万元，占</w:t>
      </w:r>
      <w:r w:rsidR="00CE02B3">
        <w:rPr>
          <w:rFonts w:ascii="仿宋" w:eastAsia="仿宋" w:hAnsi="仿宋" w:hint="eastAsia"/>
          <w:sz w:val="30"/>
          <w:szCs w:val="30"/>
        </w:rPr>
        <w:t>68.4</w:t>
      </w:r>
      <w:r>
        <w:rPr>
          <w:rFonts w:ascii="仿宋" w:eastAsia="仿宋" w:hAnsi="仿宋" w:hint="eastAsia"/>
          <w:sz w:val="30"/>
          <w:szCs w:val="30"/>
        </w:rPr>
        <w:t>%；</w:t>
      </w:r>
      <w:r w:rsidR="00394480">
        <w:rPr>
          <w:rFonts w:ascii="仿宋" w:eastAsia="仿宋" w:hAnsi="仿宋" w:hint="eastAsia"/>
          <w:sz w:val="30"/>
          <w:szCs w:val="30"/>
        </w:rPr>
        <w:t>上年结余</w:t>
      </w:r>
      <w:r w:rsidR="00CE02B3">
        <w:rPr>
          <w:rFonts w:ascii="仿宋" w:eastAsia="仿宋" w:hAnsi="仿宋" w:hint="eastAsia"/>
          <w:sz w:val="30"/>
          <w:szCs w:val="30"/>
        </w:rPr>
        <w:t>109.84</w:t>
      </w:r>
      <w:r>
        <w:rPr>
          <w:rFonts w:ascii="仿宋" w:eastAsia="仿宋" w:hAnsi="仿宋" w:hint="eastAsia"/>
          <w:sz w:val="30"/>
          <w:szCs w:val="30"/>
        </w:rPr>
        <w:t>万元，占</w:t>
      </w:r>
      <w:r w:rsidR="00CE02B3">
        <w:rPr>
          <w:rFonts w:ascii="仿宋" w:eastAsia="仿宋" w:hAnsi="仿宋" w:hint="eastAsia"/>
          <w:sz w:val="30"/>
          <w:szCs w:val="30"/>
        </w:rPr>
        <w:t>31.6</w:t>
      </w:r>
      <w:r>
        <w:rPr>
          <w:rFonts w:ascii="仿宋" w:eastAsia="仿宋" w:hAnsi="仿宋" w:hint="eastAsia"/>
          <w:sz w:val="30"/>
          <w:szCs w:val="30"/>
        </w:rPr>
        <w:t xml:space="preserve">%。  </w:t>
      </w:r>
    </w:p>
    <w:p w:rsidR="008D4FA1" w:rsidRDefault="008D4FA1" w:rsidP="008D4FA1">
      <w:pPr>
        <w:ind w:firstLine="630"/>
        <w:jc w:val="left"/>
        <w:rPr>
          <w:rFonts w:ascii="黑体" w:eastAsia="黑体" w:hAnsi="黑体"/>
          <w:sz w:val="30"/>
          <w:szCs w:val="30"/>
        </w:rPr>
      </w:pPr>
      <w:r>
        <w:rPr>
          <w:rFonts w:ascii="黑体" w:eastAsia="黑体" w:hAnsi="黑体" w:hint="eastAsia"/>
          <w:sz w:val="30"/>
          <w:szCs w:val="30"/>
        </w:rPr>
        <w:t>二、支出决算情况说明</w:t>
      </w:r>
    </w:p>
    <w:p w:rsidR="008D4FA1" w:rsidRDefault="008D4FA1" w:rsidP="008D4FA1">
      <w:pPr>
        <w:ind w:firstLine="630"/>
        <w:jc w:val="left"/>
        <w:rPr>
          <w:rFonts w:ascii="仿宋" w:eastAsia="仿宋" w:hAnsi="仿宋"/>
          <w:sz w:val="30"/>
          <w:szCs w:val="30"/>
        </w:rPr>
      </w:pPr>
      <w:r>
        <w:rPr>
          <w:rFonts w:ascii="仿宋" w:eastAsia="仿宋" w:hAnsi="仿宋" w:hint="eastAsia"/>
          <w:sz w:val="30"/>
          <w:szCs w:val="30"/>
        </w:rPr>
        <w:t>本部门201</w:t>
      </w:r>
      <w:r w:rsidR="00CE02B3">
        <w:rPr>
          <w:rFonts w:ascii="仿宋" w:eastAsia="仿宋" w:hAnsi="仿宋" w:hint="eastAsia"/>
          <w:sz w:val="30"/>
          <w:szCs w:val="30"/>
        </w:rPr>
        <w:t>8</w:t>
      </w:r>
      <w:r>
        <w:rPr>
          <w:rFonts w:ascii="仿宋" w:eastAsia="仿宋" w:hAnsi="仿宋" w:hint="eastAsia"/>
          <w:sz w:val="30"/>
          <w:szCs w:val="30"/>
        </w:rPr>
        <w:t>年度支出总计</w:t>
      </w:r>
      <w:r w:rsidR="00CE02B3">
        <w:rPr>
          <w:rFonts w:ascii="仿宋" w:eastAsia="仿宋" w:hAnsi="仿宋" w:hint="eastAsia"/>
          <w:sz w:val="30"/>
          <w:szCs w:val="30"/>
        </w:rPr>
        <w:t>302.78</w:t>
      </w:r>
      <w:r>
        <w:rPr>
          <w:rFonts w:ascii="仿宋" w:eastAsia="仿宋" w:hAnsi="仿宋" w:hint="eastAsia"/>
          <w:sz w:val="30"/>
          <w:szCs w:val="30"/>
        </w:rPr>
        <w:t>万元，较201</w:t>
      </w:r>
      <w:r w:rsidR="00CE02B3">
        <w:rPr>
          <w:rFonts w:ascii="仿宋" w:eastAsia="仿宋" w:hAnsi="仿宋" w:hint="eastAsia"/>
          <w:sz w:val="30"/>
          <w:szCs w:val="30"/>
        </w:rPr>
        <w:t>7</w:t>
      </w:r>
      <w:r>
        <w:rPr>
          <w:rFonts w:ascii="仿宋" w:eastAsia="仿宋" w:hAnsi="仿宋" w:hint="eastAsia"/>
          <w:sz w:val="30"/>
          <w:szCs w:val="30"/>
        </w:rPr>
        <w:t>年增加</w:t>
      </w:r>
      <w:r w:rsidR="00CE02B3">
        <w:rPr>
          <w:rFonts w:ascii="仿宋" w:eastAsia="仿宋" w:hAnsi="仿宋" w:hint="eastAsia"/>
          <w:sz w:val="30"/>
          <w:szCs w:val="30"/>
        </w:rPr>
        <w:t>11.67</w:t>
      </w:r>
      <w:r>
        <w:rPr>
          <w:rFonts w:ascii="仿宋" w:eastAsia="仿宋" w:hAnsi="仿宋" w:hint="eastAsia"/>
          <w:sz w:val="30"/>
          <w:szCs w:val="30"/>
        </w:rPr>
        <w:t>万元，增长</w:t>
      </w:r>
      <w:r w:rsidR="00CE02B3">
        <w:rPr>
          <w:rFonts w:ascii="仿宋" w:eastAsia="仿宋" w:hAnsi="仿宋" w:hint="eastAsia"/>
          <w:sz w:val="30"/>
          <w:szCs w:val="30"/>
        </w:rPr>
        <w:t>4.01</w:t>
      </w:r>
      <w:r>
        <w:rPr>
          <w:rFonts w:ascii="仿宋" w:eastAsia="仿宋" w:hAnsi="仿宋" w:hint="eastAsia"/>
          <w:sz w:val="30"/>
          <w:szCs w:val="30"/>
        </w:rPr>
        <w:t xml:space="preserve"> %，主要原因是：</w:t>
      </w:r>
      <w:r w:rsidR="00A62F04">
        <w:rPr>
          <w:rFonts w:ascii="仿宋" w:eastAsia="仿宋" w:hAnsi="仿宋" w:hint="eastAsia"/>
          <w:sz w:val="30"/>
          <w:szCs w:val="30"/>
        </w:rPr>
        <w:t>人员增加</w:t>
      </w:r>
      <w:r>
        <w:rPr>
          <w:rFonts w:ascii="仿宋" w:eastAsia="仿宋" w:hAnsi="仿宋" w:hint="eastAsia"/>
          <w:sz w:val="30"/>
          <w:szCs w:val="30"/>
        </w:rPr>
        <w:t>；年末结转和结余</w:t>
      </w:r>
      <w:r w:rsidR="00CE02B3">
        <w:rPr>
          <w:rFonts w:ascii="仿宋" w:eastAsia="仿宋" w:hAnsi="仿宋" w:hint="eastAsia"/>
          <w:sz w:val="30"/>
          <w:szCs w:val="30"/>
        </w:rPr>
        <w:t>109.84</w:t>
      </w:r>
      <w:r>
        <w:rPr>
          <w:rFonts w:ascii="仿宋" w:eastAsia="仿宋" w:hAnsi="仿宋" w:hint="eastAsia"/>
          <w:sz w:val="30"/>
          <w:szCs w:val="30"/>
        </w:rPr>
        <w:t>万元，较201</w:t>
      </w:r>
      <w:r w:rsidR="00CE02B3">
        <w:rPr>
          <w:rFonts w:ascii="仿宋" w:eastAsia="仿宋" w:hAnsi="仿宋" w:hint="eastAsia"/>
          <w:sz w:val="30"/>
          <w:szCs w:val="30"/>
        </w:rPr>
        <w:t>7</w:t>
      </w:r>
      <w:r>
        <w:rPr>
          <w:rFonts w:ascii="仿宋" w:eastAsia="仿宋" w:hAnsi="仿宋" w:hint="eastAsia"/>
          <w:sz w:val="30"/>
          <w:szCs w:val="30"/>
        </w:rPr>
        <w:t>年增加</w:t>
      </w:r>
      <w:r w:rsidR="00CE02B3">
        <w:rPr>
          <w:rFonts w:ascii="仿宋" w:eastAsia="仿宋" w:hAnsi="仿宋" w:hint="eastAsia"/>
          <w:sz w:val="30"/>
          <w:szCs w:val="30"/>
        </w:rPr>
        <w:t>41.84</w:t>
      </w:r>
      <w:r>
        <w:rPr>
          <w:rFonts w:ascii="仿宋" w:eastAsia="仿宋" w:hAnsi="仿宋" w:hint="eastAsia"/>
          <w:sz w:val="30"/>
          <w:szCs w:val="30"/>
        </w:rPr>
        <w:t>万元，增长</w:t>
      </w:r>
      <w:r w:rsidR="00CE02B3">
        <w:rPr>
          <w:rFonts w:ascii="仿宋" w:eastAsia="仿宋" w:hAnsi="仿宋" w:hint="eastAsia"/>
          <w:sz w:val="30"/>
          <w:szCs w:val="30"/>
        </w:rPr>
        <w:t>61</w:t>
      </w:r>
      <w:r>
        <w:rPr>
          <w:rFonts w:ascii="仿宋" w:eastAsia="仿宋" w:hAnsi="仿宋" w:hint="eastAsia"/>
          <w:sz w:val="30"/>
          <w:szCs w:val="30"/>
        </w:rPr>
        <w:t xml:space="preserve"> %，主要原因是：</w:t>
      </w:r>
      <w:r w:rsidR="00A62F04">
        <w:rPr>
          <w:rFonts w:ascii="仿宋" w:eastAsia="仿宋" w:hAnsi="仿宋" w:hint="eastAsia"/>
          <w:sz w:val="30"/>
          <w:szCs w:val="30"/>
        </w:rPr>
        <w:t>相关应付款项</w:t>
      </w:r>
      <w:r w:rsidR="00CE02B3">
        <w:rPr>
          <w:rFonts w:ascii="仿宋" w:eastAsia="仿宋" w:hAnsi="仿宋" w:hint="eastAsia"/>
          <w:sz w:val="30"/>
          <w:szCs w:val="30"/>
        </w:rPr>
        <w:t>当年度未</w:t>
      </w:r>
      <w:r w:rsidR="00A62F04">
        <w:rPr>
          <w:rFonts w:ascii="仿宋" w:eastAsia="仿宋" w:hAnsi="仿宋" w:hint="eastAsia"/>
          <w:sz w:val="30"/>
          <w:szCs w:val="30"/>
        </w:rPr>
        <w:t>支付</w:t>
      </w:r>
      <w:r>
        <w:rPr>
          <w:rFonts w:ascii="仿宋" w:eastAsia="仿宋" w:hAnsi="仿宋" w:hint="eastAsia"/>
          <w:sz w:val="30"/>
          <w:szCs w:val="30"/>
        </w:rPr>
        <w:t>。</w:t>
      </w:r>
    </w:p>
    <w:p w:rsidR="008D4FA1" w:rsidRDefault="008D4FA1" w:rsidP="008D4FA1">
      <w:pPr>
        <w:ind w:firstLine="630"/>
        <w:jc w:val="left"/>
        <w:rPr>
          <w:rFonts w:ascii="仿宋" w:eastAsia="仿宋" w:hAnsi="仿宋"/>
          <w:sz w:val="30"/>
          <w:szCs w:val="30"/>
        </w:rPr>
      </w:pPr>
      <w:r>
        <w:rPr>
          <w:rFonts w:ascii="仿宋" w:eastAsia="仿宋" w:hAnsi="仿宋" w:hint="eastAsia"/>
          <w:sz w:val="30"/>
          <w:szCs w:val="30"/>
        </w:rPr>
        <w:t>本年支出的具体构成为：基本支出</w:t>
      </w:r>
      <w:r w:rsidR="00CE02B3">
        <w:rPr>
          <w:rFonts w:ascii="仿宋" w:eastAsia="仿宋" w:hAnsi="仿宋" w:hint="eastAsia"/>
          <w:sz w:val="30"/>
          <w:szCs w:val="30"/>
        </w:rPr>
        <w:t>302.78万元</w:t>
      </w:r>
      <w:r>
        <w:rPr>
          <w:rFonts w:ascii="仿宋" w:eastAsia="仿宋" w:hAnsi="仿宋" w:hint="eastAsia"/>
          <w:sz w:val="30"/>
          <w:szCs w:val="30"/>
        </w:rPr>
        <w:t>。</w:t>
      </w:r>
    </w:p>
    <w:p w:rsidR="008D4FA1" w:rsidRDefault="008D4FA1" w:rsidP="008D4FA1">
      <w:pPr>
        <w:ind w:firstLine="630"/>
        <w:jc w:val="left"/>
        <w:rPr>
          <w:rFonts w:ascii="黑体" w:eastAsia="黑体" w:hAnsi="黑体"/>
          <w:sz w:val="30"/>
          <w:szCs w:val="30"/>
        </w:rPr>
      </w:pPr>
      <w:r>
        <w:rPr>
          <w:rFonts w:ascii="黑体" w:eastAsia="黑体" w:hAnsi="黑体" w:hint="eastAsia"/>
          <w:sz w:val="30"/>
          <w:szCs w:val="30"/>
        </w:rPr>
        <w:t>三、财政拨款支出决算情况说明</w:t>
      </w:r>
    </w:p>
    <w:p w:rsidR="008D4FA1" w:rsidRDefault="008D4FA1" w:rsidP="008D4FA1">
      <w:pPr>
        <w:ind w:firstLine="630"/>
        <w:jc w:val="left"/>
        <w:rPr>
          <w:rFonts w:ascii="仿宋" w:eastAsia="仿宋" w:hAnsi="仿宋"/>
          <w:sz w:val="30"/>
          <w:szCs w:val="30"/>
        </w:rPr>
      </w:pPr>
      <w:r>
        <w:rPr>
          <w:rFonts w:ascii="仿宋" w:eastAsia="仿宋" w:hAnsi="仿宋" w:hint="eastAsia"/>
          <w:sz w:val="30"/>
          <w:szCs w:val="30"/>
        </w:rPr>
        <w:t>本部门201</w:t>
      </w:r>
      <w:r w:rsidR="00CE02B3">
        <w:rPr>
          <w:rFonts w:ascii="仿宋" w:eastAsia="仿宋" w:hAnsi="仿宋" w:hint="eastAsia"/>
          <w:sz w:val="30"/>
          <w:szCs w:val="30"/>
        </w:rPr>
        <w:t>8</w:t>
      </w:r>
      <w:r>
        <w:rPr>
          <w:rFonts w:ascii="仿宋" w:eastAsia="仿宋" w:hAnsi="仿宋" w:hint="eastAsia"/>
          <w:sz w:val="30"/>
          <w:szCs w:val="30"/>
        </w:rPr>
        <w:t>年度财政拨款本年支出年初预算数为</w:t>
      </w:r>
      <w:r w:rsidR="00CE02B3">
        <w:rPr>
          <w:rFonts w:ascii="仿宋" w:eastAsia="仿宋" w:hAnsi="仿宋" w:hint="eastAsia"/>
          <w:sz w:val="30"/>
          <w:szCs w:val="30"/>
        </w:rPr>
        <w:t>446.22</w:t>
      </w:r>
      <w:r>
        <w:rPr>
          <w:rFonts w:ascii="仿宋" w:eastAsia="仿宋" w:hAnsi="仿宋" w:hint="eastAsia"/>
          <w:sz w:val="30"/>
          <w:szCs w:val="30"/>
        </w:rPr>
        <w:t>万元，决算数为</w:t>
      </w:r>
      <w:r w:rsidR="00CE02B3">
        <w:rPr>
          <w:rFonts w:ascii="仿宋" w:eastAsia="仿宋" w:hAnsi="仿宋" w:hint="eastAsia"/>
          <w:sz w:val="30"/>
          <w:szCs w:val="30"/>
        </w:rPr>
        <w:t>237.7</w:t>
      </w:r>
      <w:r>
        <w:rPr>
          <w:rFonts w:ascii="仿宋" w:eastAsia="仿宋" w:hAnsi="仿宋" w:hint="eastAsia"/>
          <w:sz w:val="30"/>
          <w:szCs w:val="30"/>
        </w:rPr>
        <w:t>万元，完成年初预算的</w:t>
      </w:r>
      <w:r w:rsidR="00CE02B3">
        <w:rPr>
          <w:rFonts w:ascii="仿宋" w:eastAsia="仿宋" w:hAnsi="仿宋" w:hint="eastAsia"/>
          <w:sz w:val="30"/>
          <w:szCs w:val="30"/>
        </w:rPr>
        <w:t>53.26</w:t>
      </w:r>
      <w:r>
        <w:rPr>
          <w:rFonts w:ascii="仿宋" w:eastAsia="仿宋" w:hAnsi="仿宋" w:hint="eastAsia"/>
          <w:sz w:val="30"/>
          <w:szCs w:val="30"/>
        </w:rPr>
        <w:t>%。其中：</w:t>
      </w:r>
    </w:p>
    <w:p w:rsidR="008D4FA1" w:rsidRDefault="008D4FA1" w:rsidP="008D4FA1">
      <w:pPr>
        <w:ind w:firstLine="630"/>
        <w:jc w:val="left"/>
        <w:rPr>
          <w:rFonts w:ascii="仿宋" w:eastAsia="仿宋" w:hAnsi="仿宋"/>
          <w:sz w:val="30"/>
          <w:szCs w:val="30"/>
        </w:rPr>
      </w:pPr>
      <w:r>
        <w:rPr>
          <w:rFonts w:ascii="仿宋" w:eastAsia="仿宋" w:hAnsi="仿宋" w:hint="eastAsia"/>
          <w:sz w:val="30"/>
          <w:szCs w:val="30"/>
        </w:rPr>
        <w:t>（一）一般公共服务支出年初预算数为</w:t>
      </w:r>
      <w:r w:rsidR="00CE02B3">
        <w:rPr>
          <w:rFonts w:ascii="仿宋" w:eastAsia="仿宋" w:hAnsi="仿宋" w:hint="eastAsia"/>
          <w:sz w:val="30"/>
          <w:szCs w:val="30"/>
        </w:rPr>
        <w:t>439.63</w:t>
      </w:r>
      <w:r>
        <w:rPr>
          <w:rFonts w:ascii="仿宋" w:eastAsia="仿宋" w:hAnsi="仿宋" w:hint="eastAsia"/>
          <w:sz w:val="30"/>
          <w:szCs w:val="30"/>
        </w:rPr>
        <w:t>万元，决算数为</w:t>
      </w:r>
      <w:r w:rsidR="00CE02B3">
        <w:rPr>
          <w:rFonts w:ascii="仿宋" w:eastAsia="仿宋" w:hAnsi="仿宋" w:hint="eastAsia"/>
          <w:sz w:val="30"/>
          <w:szCs w:val="30"/>
        </w:rPr>
        <w:t>181.19</w:t>
      </w:r>
      <w:r>
        <w:rPr>
          <w:rFonts w:ascii="仿宋" w:eastAsia="仿宋" w:hAnsi="仿宋" w:hint="eastAsia"/>
          <w:sz w:val="30"/>
          <w:szCs w:val="30"/>
        </w:rPr>
        <w:t>万元，完成年初预算的</w:t>
      </w:r>
      <w:r w:rsidR="00CE02B3">
        <w:rPr>
          <w:rFonts w:ascii="仿宋" w:eastAsia="仿宋" w:hAnsi="仿宋" w:hint="eastAsia"/>
          <w:sz w:val="30"/>
          <w:szCs w:val="30"/>
        </w:rPr>
        <w:t>41.21</w:t>
      </w:r>
      <w:r>
        <w:rPr>
          <w:rFonts w:ascii="仿宋" w:eastAsia="仿宋" w:hAnsi="仿宋" w:hint="eastAsia"/>
          <w:sz w:val="30"/>
          <w:szCs w:val="30"/>
        </w:rPr>
        <w:t>%，主要原因是：</w:t>
      </w:r>
      <w:r w:rsidR="00066D33">
        <w:rPr>
          <w:rFonts w:ascii="仿宋" w:eastAsia="仿宋" w:hAnsi="仿宋" w:hint="eastAsia"/>
          <w:sz w:val="30"/>
          <w:szCs w:val="30"/>
        </w:rPr>
        <w:t>招商专项有关资金未到位</w:t>
      </w:r>
      <w:r>
        <w:rPr>
          <w:rFonts w:ascii="仿宋" w:eastAsia="仿宋" w:hAnsi="仿宋" w:hint="eastAsia"/>
          <w:sz w:val="30"/>
          <w:szCs w:val="30"/>
        </w:rPr>
        <w:t>。</w:t>
      </w:r>
    </w:p>
    <w:p w:rsidR="008D4FA1" w:rsidRDefault="008D4FA1" w:rsidP="008D4FA1">
      <w:pPr>
        <w:ind w:firstLine="630"/>
        <w:jc w:val="left"/>
        <w:rPr>
          <w:rFonts w:ascii="仿宋" w:eastAsia="仿宋" w:hAnsi="仿宋"/>
          <w:sz w:val="30"/>
          <w:szCs w:val="30"/>
        </w:rPr>
      </w:pPr>
      <w:r>
        <w:rPr>
          <w:rFonts w:ascii="仿宋" w:eastAsia="仿宋" w:hAnsi="仿宋" w:hint="eastAsia"/>
          <w:sz w:val="30"/>
          <w:szCs w:val="30"/>
        </w:rPr>
        <w:t>（二）</w:t>
      </w:r>
      <w:r w:rsidR="00CE02B3">
        <w:rPr>
          <w:rFonts w:ascii="仿宋" w:eastAsia="仿宋" w:hAnsi="仿宋" w:hint="eastAsia"/>
          <w:sz w:val="30"/>
          <w:szCs w:val="30"/>
        </w:rPr>
        <w:t>社会保障和就业支出</w:t>
      </w:r>
      <w:r w:rsidR="00066D33">
        <w:rPr>
          <w:rFonts w:ascii="仿宋" w:eastAsia="仿宋" w:hAnsi="仿宋" w:hint="eastAsia"/>
          <w:sz w:val="30"/>
          <w:szCs w:val="30"/>
        </w:rPr>
        <w:t>年初预算</w:t>
      </w:r>
      <w:r w:rsidR="00CE02B3">
        <w:rPr>
          <w:rFonts w:ascii="仿宋" w:eastAsia="仿宋" w:hAnsi="仿宋" w:hint="eastAsia"/>
          <w:sz w:val="30"/>
          <w:szCs w:val="30"/>
        </w:rPr>
        <w:t>65892</w:t>
      </w:r>
      <w:r>
        <w:rPr>
          <w:rFonts w:ascii="仿宋" w:eastAsia="仿宋" w:hAnsi="仿宋" w:hint="eastAsia"/>
          <w:sz w:val="30"/>
          <w:szCs w:val="30"/>
        </w:rPr>
        <w:t>元，决算数为</w:t>
      </w:r>
      <w:r w:rsidR="00CE02B3">
        <w:rPr>
          <w:rFonts w:ascii="仿宋" w:eastAsia="仿宋" w:hAnsi="仿宋" w:hint="eastAsia"/>
          <w:sz w:val="30"/>
          <w:szCs w:val="30"/>
        </w:rPr>
        <w:lastRenderedPageBreak/>
        <w:t>275368</w:t>
      </w:r>
      <w:r>
        <w:rPr>
          <w:rFonts w:ascii="仿宋" w:eastAsia="仿宋" w:hAnsi="仿宋" w:hint="eastAsia"/>
          <w:sz w:val="30"/>
          <w:szCs w:val="30"/>
        </w:rPr>
        <w:t>元，完成年初预算的</w:t>
      </w:r>
      <w:r w:rsidR="00CE02B3">
        <w:rPr>
          <w:rFonts w:ascii="仿宋" w:eastAsia="仿宋" w:hAnsi="仿宋" w:hint="eastAsia"/>
          <w:sz w:val="30"/>
          <w:szCs w:val="30"/>
        </w:rPr>
        <w:t>417.91</w:t>
      </w:r>
      <w:r>
        <w:rPr>
          <w:rFonts w:ascii="仿宋" w:eastAsia="仿宋" w:hAnsi="仿宋" w:hint="eastAsia"/>
          <w:sz w:val="30"/>
          <w:szCs w:val="30"/>
        </w:rPr>
        <w:t>%，主要原因是：</w:t>
      </w:r>
      <w:r w:rsidR="00CE02B3">
        <w:rPr>
          <w:rFonts w:ascii="仿宋" w:eastAsia="仿宋" w:hAnsi="仿宋" w:hint="eastAsia"/>
          <w:sz w:val="30"/>
          <w:szCs w:val="30"/>
        </w:rPr>
        <w:t>相关科目调整</w:t>
      </w:r>
      <w:r>
        <w:rPr>
          <w:rFonts w:ascii="仿宋" w:eastAsia="仿宋" w:hAnsi="仿宋" w:hint="eastAsia"/>
          <w:sz w:val="30"/>
          <w:szCs w:val="30"/>
        </w:rPr>
        <w:t>。</w:t>
      </w:r>
    </w:p>
    <w:p w:rsidR="00066D33" w:rsidRDefault="00066D33" w:rsidP="008D4FA1">
      <w:pPr>
        <w:ind w:firstLine="630"/>
        <w:jc w:val="left"/>
        <w:rPr>
          <w:rFonts w:ascii="仿宋" w:eastAsia="仿宋" w:hAnsi="仿宋"/>
          <w:sz w:val="30"/>
          <w:szCs w:val="30"/>
        </w:rPr>
      </w:pPr>
      <w:r>
        <w:rPr>
          <w:rFonts w:ascii="仿宋" w:eastAsia="仿宋" w:hAnsi="仿宋" w:hint="eastAsia"/>
          <w:sz w:val="30"/>
          <w:szCs w:val="30"/>
        </w:rPr>
        <w:t>（四）卫生健康支出年初预算</w:t>
      </w:r>
      <w:r w:rsidR="00E806D4">
        <w:rPr>
          <w:rFonts w:ascii="仿宋" w:eastAsia="仿宋" w:hAnsi="仿宋" w:hint="eastAsia"/>
          <w:sz w:val="30"/>
          <w:szCs w:val="30"/>
        </w:rPr>
        <w:t>0</w:t>
      </w:r>
      <w:r>
        <w:rPr>
          <w:rFonts w:ascii="仿宋" w:eastAsia="仿宋" w:hAnsi="仿宋" w:hint="eastAsia"/>
          <w:sz w:val="30"/>
          <w:szCs w:val="30"/>
        </w:rPr>
        <w:t>万元，决算数为</w:t>
      </w:r>
      <w:r w:rsidR="00E806D4">
        <w:rPr>
          <w:rFonts w:ascii="仿宋" w:eastAsia="仿宋" w:hAnsi="仿宋" w:hint="eastAsia"/>
          <w:sz w:val="30"/>
          <w:szCs w:val="30"/>
        </w:rPr>
        <w:t>10.79</w:t>
      </w:r>
      <w:r>
        <w:rPr>
          <w:rFonts w:ascii="仿宋" w:eastAsia="仿宋" w:hAnsi="仿宋" w:hint="eastAsia"/>
          <w:sz w:val="30"/>
          <w:szCs w:val="30"/>
        </w:rPr>
        <w:t>万元，主要原因是：</w:t>
      </w:r>
      <w:r w:rsidR="00E806D4">
        <w:rPr>
          <w:rFonts w:ascii="仿宋" w:eastAsia="仿宋" w:hAnsi="仿宋" w:hint="eastAsia"/>
          <w:sz w:val="30"/>
          <w:szCs w:val="30"/>
        </w:rPr>
        <w:t>相关科目调整</w:t>
      </w:r>
      <w:r>
        <w:rPr>
          <w:rFonts w:ascii="仿宋" w:eastAsia="仿宋" w:hAnsi="仿宋" w:hint="eastAsia"/>
          <w:sz w:val="30"/>
          <w:szCs w:val="30"/>
        </w:rPr>
        <w:t>。</w:t>
      </w:r>
    </w:p>
    <w:p w:rsidR="00066D33" w:rsidRDefault="00066D33" w:rsidP="008D4FA1">
      <w:pPr>
        <w:ind w:firstLine="630"/>
        <w:jc w:val="left"/>
        <w:rPr>
          <w:rFonts w:ascii="仿宋" w:eastAsia="仿宋" w:hAnsi="仿宋"/>
          <w:sz w:val="30"/>
          <w:szCs w:val="30"/>
        </w:rPr>
      </w:pPr>
      <w:r>
        <w:rPr>
          <w:rFonts w:ascii="仿宋" w:eastAsia="仿宋" w:hAnsi="仿宋" w:hint="eastAsia"/>
          <w:sz w:val="30"/>
          <w:szCs w:val="30"/>
        </w:rPr>
        <w:t>（五）商业服务业支出年初预算为0万元，决算数为</w:t>
      </w:r>
      <w:r w:rsidR="00E806D4">
        <w:rPr>
          <w:rFonts w:ascii="仿宋" w:eastAsia="仿宋" w:hAnsi="仿宋" w:hint="eastAsia"/>
          <w:sz w:val="30"/>
          <w:szCs w:val="30"/>
        </w:rPr>
        <w:t>82.61</w:t>
      </w:r>
      <w:r>
        <w:rPr>
          <w:rFonts w:ascii="仿宋" w:eastAsia="仿宋" w:hAnsi="仿宋" w:hint="eastAsia"/>
          <w:sz w:val="30"/>
          <w:szCs w:val="30"/>
        </w:rPr>
        <w:t>万元，主要原因是：此经费为上级转移资金。</w:t>
      </w:r>
    </w:p>
    <w:p w:rsidR="008D4FA1" w:rsidRDefault="008D4FA1" w:rsidP="008D4FA1">
      <w:pPr>
        <w:ind w:firstLine="585"/>
        <w:jc w:val="left"/>
        <w:rPr>
          <w:rFonts w:ascii="黑体" w:eastAsia="黑体" w:hAnsi="黑体"/>
          <w:sz w:val="30"/>
          <w:szCs w:val="30"/>
        </w:rPr>
      </w:pPr>
      <w:r>
        <w:rPr>
          <w:rFonts w:ascii="黑体" w:eastAsia="黑体" w:hAnsi="黑体" w:hint="eastAsia"/>
          <w:sz w:val="30"/>
          <w:szCs w:val="30"/>
        </w:rPr>
        <w:t>四、一般公共预算财政拨款基本支出决算情况说明</w:t>
      </w:r>
    </w:p>
    <w:p w:rsidR="008D4FA1" w:rsidRDefault="008D4FA1" w:rsidP="008D4FA1">
      <w:pPr>
        <w:ind w:firstLine="585"/>
        <w:jc w:val="left"/>
        <w:rPr>
          <w:rFonts w:ascii="仿宋" w:eastAsia="仿宋" w:hAnsi="仿宋"/>
          <w:sz w:val="30"/>
          <w:szCs w:val="30"/>
        </w:rPr>
      </w:pPr>
      <w:r>
        <w:rPr>
          <w:rFonts w:ascii="仿宋" w:eastAsia="仿宋" w:hAnsi="仿宋" w:hint="eastAsia"/>
          <w:sz w:val="30"/>
          <w:szCs w:val="30"/>
        </w:rPr>
        <w:t>本部门201</w:t>
      </w:r>
      <w:r w:rsidR="00E806D4">
        <w:rPr>
          <w:rFonts w:ascii="仿宋" w:eastAsia="仿宋" w:hAnsi="仿宋" w:hint="eastAsia"/>
          <w:sz w:val="30"/>
          <w:szCs w:val="30"/>
        </w:rPr>
        <w:t>8</w:t>
      </w:r>
      <w:r>
        <w:rPr>
          <w:rFonts w:ascii="仿宋" w:eastAsia="仿宋" w:hAnsi="仿宋" w:hint="eastAsia"/>
          <w:sz w:val="30"/>
          <w:szCs w:val="30"/>
        </w:rPr>
        <w:t>年度一般公共预算财政拨款基本支出</w:t>
      </w:r>
      <w:r w:rsidR="00E806D4">
        <w:rPr>
          <w:rFonts w:ascii="仿宋" w:eastAsia="仿宋" w:hAnsi="仿宋" w:hint="eastAsia"/>
          <w:sz w:val="30"/>
          <w:szCs w:val="30"/>
        </w:rPr>
        <w:t>302.78</w:t>
      </w:r>
      <w:r>
        <w:rPr>
          <w:rFonts w:ascii="仿宋" w:eastAsia="仿宋" w:hAnsi="仿宋" w:hint="eastAsia"/>
          <w:sz w:val="30"/>
          <w:szCs w:val="30"/>
        </w:rPr>
        <w:t>万元，其中：</w:t>
      </w:r>
    </w:p>
    <w:p w:rsidR="008D4FA1" w:rsidRDefault="008D4FA1" w:rsidP="008D4FA1">
      <w:pPr>
        <w:ind w:firstLine="585"/>
        <w:jc w:val="left"/>
        <w:rPr>
          <w:rFonts w:ascii="仿宋" w:eastAsia="仿宋" w:hAnsi="仿宋"/>
          <w:sz w:val="30"/>
          <w:szCs w:val="30"/>
        </w:rPr>
      </w:pPr>
      <w:r>
        <w:rPr>
          <w:rFonts w:ascii="仿宋" w:eastAsia="仿宋" w:hAnsi="仿宋" w:hint="eastAsia"/>
          <w:sz w:val="30"/>
          <w:szCs w:val="30"/>
        </w:rPr>
        <w:t>（一）工资福利支出</w:t>
      </w:r>
      <w:r w:rsidR="00E806D4">
        <w:rPr>
          <w:rFonts w:ascii="仿宋" w:eastAsia="仿宋" w:hAnsi="仿宋" w:hint="eastAsia"/>
          <w:sz w:val="30"/>
          <w:szCs w:val="30"/>
        </w:rPr>
        <w:t>158.81</w:t>
      </w:r>
      <w:r>
        <w:rPr>
          <w:rFonts w:ascii="仿宋" w:eastAsia="仿宋" w:hAnsi="仿宋" w:hint="eastAsia"/>
          <w:sz w:val="30"/>
          <w:szCs w:val="30"/>
        </w:rPr>
        <w:t>万元，较201</w:t>
      </w:r>
      <w:r w:rsidR="00E806D4">
        <w:rPr>
          <w:rFonts w:ascii="仿宋" w:eastAsia="仿宋" w:hAnsi="仿宋" w:hint="eastAsia"/>
          <w:sz w:val="30"/>
          <w:szCs w:val="30"/>
        </w:rPr>
        <w:t>7</w:t>
      </w:r>
      <w:r>
        <w:rPr>
          <w:rFonts w:ascii="仿宋" w:eastAsia="仿宋" w:hAnsi="仿宋" w:hint="eastAsia"/>
          <w:sz w:val="30"/>
          <w:szCs w:val="30"/>
        </w:rPr>
        <w:t>年增加</w:t>
      </w:r>
      <w:r w:rsidR="00E806D4">
        <w:rPr>
          <w:rFonts w:ascii="仿宋" w:eastAsia="仿宋" w:hAnsi="仿宋" w:hint="eastAsia"/>
          <w:sz w:val="30"/>
          <w:szCs w:val="30"/>
        </w:rPr>
        <w:t>22.19</w:t>
      </w:r>
      <w:r>
        <w:rPr>
          <w:rFonts w:ascii="仿宋" w:eastAsia="仿宋" w:hAnsi="仿宋" w:hint="eastAsia"/>
          <w:sz w:val="30"/>
          <w:szCs w:val="30"/>
        </w:rPr>
        <w:t>万元，增长</w:t>
      </w:r>
      <w:r w:rsidR="00E806D4">
        <w:rPr>
          <w:rFonts w:ascii="仿宋" w:eastAsia="仿宋" w:hAnsi="仿宋" w:hint="eastAsia"/>
          <w:sz w:val="30"/>
          <w:szCs w:val="30"/>
        </w:rPr>
        <w:t>16.24</w:t>
      </w:r>
      <w:r>
        <w:rPr>
          <w:rFonts w:ascii="仿宋" w:eastAsia="仿宋" w:hAnsi="仿宋" w:hint="eastAsia"/>
          <w:sz w:val="30"/>
          <w:szCs w:val="30"/>
        </w:rPr>
        <w:t xml:space="preserve"> %，主要原因是：</w:t>
      </w:r>
      <w:r w:rsidR="00D32ABC">
        <w:rPr>
          <w:rFonts w:ascii="仿宋" w:eastAsia="仿宋" w:hAnsi="仿宋" w:hint="eastAsia"/>
          <w:sz w:val="30"/>
          <w:szCs w:val="30"/>
        </w:rPr>
        <w:t>人员工资福利正常增加</w:t>
      </w:r>
      <w:r>
        <w:rPr>
          <w:rFonts w:ascii="仿宋" w:eastAsia="仿宋" w:hAnsi="仿宋" w:hint="eastAsia"/>
          <w:sz w:val="30"/>
          <w:szCs w:val="30"/>
        </w:rPr>
        <w:t>。</w:t>
      </w:r>
    </w:p>
    <w:p w:rsidR="008D4FA1" w:rsidRDefault="008D4FA1" w:rsidP="008D4FA1">
      <w:pPr>
        <w:ind w:firstLine="585"/>
        <w:jc w:val="left"/>
        <w:rPr>
          <w:rFonts w:ascii="仿宋" w:eastAsia="仿宋" w:hAnsi="仿宋"/>
          <w:sz w:val="30"/>
          <w:szCs w:val="30"/>
        </w:rPr>
      </w:pPr>
      <w:r>
        <w:rPr>
          <w:rFonts w:ascii="仿宋" w:eastAsia="仿宋" w:hAnsi="仿宋" w:hint="eastAsia"/>
          <w:sz w:val="30"/>
          <w:szCs w:val="30"/>
        </w:rPr>
        <w:t>（二）商品和服务支出</w:t>
      </w:r>
      <w:r w:rsidR="00E806D4">
        <w:rPr>
          <w:rFonts w:ascii="仿宋" w:eastAsia="仿宋" w:hAnsi="仿宋" w:hint="eastAsia"/>
          <w:sz w:val="30"/>
          <w:szCs w:val="30"/>
        </w:rPr>
        <w:t>131.11</w:t>
      </w:r>
      <w:r>
        <w:rPr>
          <w:rFonts w:ascii="仿宋" w:eastAsia="仿宋" w:hAnsi="仿宋" w:hint="eastAsia"/>
          <w:sz w:val="30"/>
          <w:szCs w:val="30"/>
        </w:rPr>
        <w:t>万元，较201</w:t>
      </w:r>
      <w:r w:rsidR="00E806D4">
        <w:rPr>
          <w:rFonts w:ascii="仿宋" w:eastAsia="仿宋" w:hAnsi="仿宋" w:hint="eastAsia"/>
          <w:sz w:val="30"/>
          <w:szCs w:val="30"/>
        </w:rPr>
        <w:t>7</w:t>
      </w:r>
      <w:r>
        <w:rPr>
          <w:rFonts w:ascii="仿宋" w:eastAsia="仿宋" w:hAnsi="仿宋" w:hint="eastAsia"/>
          <w:sz w:val="30"/>
          <w:szCs w:val="30"/>
        </w:rPr>
        <w:t>年增加</w:t>
      </w:r>
      <w:r w:rsidR="00E806D4">
        <w:rPr>
          <w:rFonts w:ascii="仿宋" w:eastAsia="仿宋" w:hAnsi="仿宋" w:hint="eastAsia"/>
          <w:sz w:val="30"/>
          <w:szCs w:val="30"/>
        </w:rPr>
        <w:t>5.02</w:t>
      </w:r>
      <w:r>
        <w:rPr>
          <w:rFonts w:ascii="仿宋" w:eastAsia="仿宋" w:hAnsi="仿宋" w:hint="eastAsia"/>
          <w:sz w:val="30"/>
          <w:szCs w:val="30"/>
        </w:rPr>
        <w:t>万元，增长</w:t>
      </w:r>
      <w:r w:rsidR="00E806D4">
        <w:rPr>
          <w:rFonts w:ascii="仿宋" w:eastAsia="仿宋" w:hAnsi="仿宋" w:hint="eastAsia"/>
          <w:sz w:val="30"/>
          <w:szCs w:val="30"/>
        </w:rPr>
        <w:t>3.1</w:t>
      </w:r>
      <w:r>
        <w:rPr>
          <w:rFonts w:ascii="仿宋" w:eastAsia="仿宋" w:hAnsi="仿宋" w:hint="eastAsia"/>
          <w:sz w:val="30"/>
          <w:szCs w:val="30"/>
        </w:rPr>
        <w:t xml:space="preserve"> %，主要原因是：</w:t>
      </w:r>
      <w:r w:rsidR="00E806D4">
        <w:rPr>
          <w:rFonts w:ascii="仿宋" w:eastAsia="仿宋" w:hAnsi="仿宋" w:hint="eastAsia"/>
          <w:sz w:val="30"/>
          <w:szCs w:val="30"/>
        </w:rPr>
        <w:t>正常</w:t>
      </w:r>
      <w:r w:rsidR="00D32ABC">
        <w:rPr>
          <w:rFonts w:ascii="仿宋" w:eastAsia="仿宋" w:hAnsi="仿宋" w:hint="eastAsia"/>
          <w:sz w:val="30"/>
          <w:szCs w:val="30"/>
        </w:rPr>
        <w:t>增加</w:t>
      </w:r>
      <w:r>
        <w:rPr>
          <w:rFonts w:ascii="仿宋" w:eastAsia="仿宋" w:hAnsi="仿宋" w:hint="eastAsia"/>
          <w:sz w:val="30"/>
          <w:szCs w:val="30"/>
        </w:rPr>
        <w:t>。</w:t>
      </w:r>
    </w:p>
    <w:p w:rsidR="008D4FA1" w:rsidRDefault="008D4FA1" w:rsidP="008D4FA1">
      <w:pPr>
        <w:ind w:firstLine="585"/>
        <w:jc w:val="left"/>
        <w:rPr>
          <w:rFonts w:ascii="仿宋" w:eastAsia="仿宋" w:hAnsi="仿宋"/>
          <w:sz w:val="30"/>
          <w:szCs w:val="30"/>
        </w:rPr>
      </w:pPr>
      <w:r>
        <w:rPr>
          <w:rFonts w:ascii="仿宋" w:eastAsia="仿宋" w:hAnsi="仿宋" w:hint="eastAsia"/>
          <w:sz w:val="30"/>
          <w:szCs w:val="30"/>
        </w:rPr>
        <w:t>（三）对个人和家庭补助支出</w:t>
      </w:r>
      <w:r w:rsidR="00E806D4">
        <w:rPr>
          <w:rFonts w:ascii="仿宋" w:eastAsia="仿宋" w:hAnsi="仿宋" w:hint="eastAsia"/>
          <w:sz w:val="30"/>
          <w:szCs w:val="30"/>
        </w:rPr>
        <w:t>12.07</w:t>
      </w:r>
      <w:r>
        <w:rPr>
          <w:rFonts w:ascii="仿宋" w:eastAsia="仿宋" w:hAnsi="仿宋" w:hint="eastAsia"/>
          <w:sz w:val="30"/>
          <w:szCs w:val="30"/>
        </w:rPr>
        <w:t>万元，较201</w:t>
      </w:r>
      <w:r w:rsidR="00E806D4">
        <w:rPr>
          <w:rFonts w:ascii="仿宋" w:eastAsia="仿宋" w:hAnsi="仿宋" w:hint="eastAsia"/>
          <w:sz w:val="30"/>
          <w:szCs w:val="30"/>
        </w:rPr>
        <w:t>7</w:t>
      </w:r>
      <w:r>
        <w:rPr>
          <w:rFonts w:ascii="仿宋" w:eastAsia="仿宋" w:hAnsi="仿宋" w:hint="eastAsia"/>
          <w:sz w:val="30"/>
          <w:szCs w:val="30"/>
        </w:rPr>
        <w:t>年</w:t>
      </w:r>
      <w:r w:rsidR="00E806D4">
        <w:rPr>
          <w:rFonts w:ascii="仿宋" w:eastAsia="仿宋" w:hAnsi="仿宋" w:hint="eastAsia"/>
          <w:sz w:val="30"/>
          <w:szCs w:val="30"/>
        </w:rPr>
        <w:t>减少12.77</w:t>
      </w:r>
      <w:r>
        <w:rPr>
          <w:rFonts w:ascii="仿宋" w:eastAsia="仿宋" w:hAnsi="仿宋" w:hint="eastAsia"/>
          <w:sz w:val="30"/>
          <w:szCs w:val="30"/>
        </w:rPr>
        <w:t>万元，</w:t>
      </w:r>
      <w:r w:rsidR="00E806D4">
        <w:rPr>
          <w:rFonts w:ascii="仿宋" w:eastAsia="仿宋" w:hAnsi="仿宋" w:hint="eastAsia"/>
          <w:sz w:val="30"/>
          <w:szCs w:val="30"/>
        </w:rPr>
        <w:t>减少51.4</w:t>
      </w:r>
      <w:r>
        <w:rPr>
          <w:rFonts w:ascii="仿宋" w:eastAsia="仿宋" w:hAnsi="仿宋" w:hint="eastAsia"/>
          <w:sz w:val="30"/>
          <w:szCs w:val="30"/>
        </w:rPr>
        <w:t xml:space="preserve"> %，主要原因是：</w:t>
      </w:r>
      <w:r w:rsidR="00E806D4">
        <w:rPr>
          <w:rFonts w:ascii="仿宋" w:eastAsia="仿宋" w:hAnsi="仿宋" w:hint="eastAsia"/>
          <w:sz w:val="30"/>
          <w:szCs w:val="30"/>
        </w:rPr>
        <w:t>退休费在社保局发放</w:t>
      </w:r>
      <w:r>
        <w:rPr>
          <w:rFonts w:ascii="仿宋" w:eastAsia="仿宋" w:hAnsi="仿宋" w:hint="eastAsia"/>
          <w:sz w:val="30"/>
          <w:szCs w:val="30"/>
        </w:rPr>
        <w:t>。</w:t>
      </w:r>
    </w:p>
    <w:p w:rsidR="008D4FA1" w:rsidRDefault="008D4FA1" w:rsidP="008D4FA1">
      <w:pPr>
        <w:ind w:firstLine="585"/>
        <w:jc w:val="left"/>
        <w:rPr>
          <w:rFonts w:ascii="仿宋" w:eastAsia="仿宋" w:hAnsi="仿宋"/>
          <w:sz w:val="30"/>
          <w:szCs w:val="30"/>
        </w:rPr>
      </w:pPr>
      <w:r>
        <w:rPr>
          <w:rFonts w:ascii="仿宋" w:eastAsia="仿宋" w:hAnsi="仿宋" w:hint="eastAsia"/>
          <w:sz w:val="30"/>
          <w:szCs w:val="30"/>
        </w:rPr>
        <w:t>（四）资本性支出</w:t>
      </w:r>
      <w:r w:rsidR="00E806D4">
        <w:rPr>
          <w:rFonts w:ascii="仿宋" w:eastAsia="仿宋" w:hAnsi="仿宋" w:hint="eastAsia"/>
          <w:sz w:val="30"/>
          <w:szCs w:val="30"/>
        </w:rPr>
        <w:t>0.79</w:t>
      </w:r>
      <w:r>
        <w:rPr>
          <w:rFonts w:ascii="仿宋" w:eastAsia="仿宋" w:hAnsi="仿宋" w:hint="eastAsia"/>
          <w:sz w:val="30"/>
          <w:szCs w:val="30"/>
        </w:rPr>
        <w:t>万元，较201</w:t>
      </w:r>
      <w:r w:rsidR="00E806D4">
        <w:rPr>
          <w:rFonts w:ascii="仿宋" w:eastAsia="仿宋" w:hAnsi="仿宋" w:hint="eastAsia"/>
          <w:sz w:val="30"/>
          <w:szCs w:val="30"/>
        </w:rPr>
        <w:t>7</w:t>
      </w:r>
      <w:r>
        <w:rPr>
          <w:rFonts w:ascii="仿宋" w:eastAsia="仿宋" w:hAnsi="仿宋" w:hint="eastAsia"/>
          <w:sz w:val="30"/>
          <w:szCs w:val="30"/>
        </w:rPr>
        <w:t>年</w:t>
      </w:r>
      <w:r w:rsidR="00E806D4">
        <w:rPr>
          <w:rFonts w:ascii="仿宋" w:eastAsia="仿宋" w:hAnsi="仿宋" w:hint="eastAsia"/>
          <w:sz w:val="30"/>
          <w:szCs w:val="30"/>
        </w:rPr>
        <w:t>减少2.77</w:t>
      </w:r>
      <w:r>
        <w:rPr>
          <w:rFonts w:ascii="仿宋" w:eastAsia="仿宋" w:hAnsi="仿宋" w:hint="eastAsia"/>
          <w:sz w:val="30"/>
          <w:szCs w:val="30"/>
        </w:rPr>
        <w:t>万元，主要原因是：</w:t>
      </w:r>
      <w:r w:rsidR="00D32ABC">
        <w:rPr>
          <w:rFonts w:ascii="仿宋" w:eastAsia="仿宋" w:hAnsi="仿宋" w:hint="eastAsia"/>
          <w:sz w:val="30"/>
          <w:szCs w:val="30"/>
        </w:rPr>
        <w:t>工作需要</w:t>
      </w:r>
      <w:r>
        <w:rPr>
          <w:rFonts w:ascii="仿宋" w:eastAsia="仿宋" w:hAnsi="仿宋" w:hint="eastAsia"/>
          <w:sz w:val="30"/>
          <w:szCs w:val="30"/>
        </w:rPr>
        <w:t>。</w:t>
      </w:r>
    </w:p>
    <w:p w:rsidR="008D4FA1" w:rsidRDefault="008D4FA1" w:rsidP="008D4FA1">
      <w:pPr>
        <w:ind w:firstLine="630"/>
        <w:jc w:val="left"/>
        <w:rPr>
          <w:rFonts w:ascii="黑体" w:eastAsia="黑体" w:hAnsi="黑体"/>
          <w:sz w:val="30"/>
          <w:szCs w:val="30"/>
        </w:rPr>
      </w:pPr>
      <w:r>
        <w:rPr>
          <w:rFonts w:ascii="黑体" w:eastAsia="黑体" w:hAnsi="黑体" w:hint="eastAsia"/>
          <w:sz w:val="30"/>
          <w:szCs w:val="30"/>
        </w:rPr>
        <w:t>五、一般公共预算财政拨款“三公”经费支出决算情况说明</w:t>
      </w:r>
    </w:p>
    <w:p w:rsidR="008D4FA1" w:rsidRDefault="008D4FA1" w:rsidP="008D4FA1">
      <w:pPr>
        <w:ind w:firstLine="630"/>
        <w:jc w:val="left"/>
        <w:rPr>
          <w:rFonts w:ascii="仿宋" w:eastAsia="仿宋" w:hAnsi="仿宋"/>
          <w:sz w:val="30"/>
          <w:szCs w:val="30"/>
        </w:rPr>
      </w:pPr>
      <w:r>
        <w:rPr>
          <w:rFonts w:ascii="仿宋" w:eastAsia="仿宋" w:hAnsi="仿宋" w:hint="eastAsia"/>
          <w:sz w:val="30"/>
          <w:szCs w:val="30"/>
        </w:rPr>
        <w:t>本部门201</w:t>
      </w:r>
      <w:r w:rsidR="00E806D4">
        <w:rPr>
          <w:rFonts w:ascii="仿宋" w:eastAsia="仿宋" w:hAnsi="仿宋" w:hint="eastAsia"/>
          <w:sz w:val="30"/>
          <w:szCs w:val="30"/>
        </w:rPr>
        <w:t>8</w:t>
      </w:r>
      <w:r>
        <w:rPr>
          <w:rFonts w:ascii="仿宋" w:eastAsia="仿宋" w:hAnsi="仿宋" w:hint="eastAsia"/>
          <w:sz w:val="30"/>
          <w:szCs w:val="30"/>
        </w:rPr>
        <w:t>年度一般公共预算财政拨款“三公”经费支出年初预算数为</w:t>
      </w:r>
      <w:r w:rsidR="00E806D4">
        <w:rPr>
          <w:rFonts w:ascii="仿宋" w:eastAsia="仿宋" w:hAnsi="仿宋" w:hint="eastAsia"/>
          <w:sz w:val="30"/>
          <w:szCs w:val="30"/>
        </w:rPr>
        <w:t>50</w:t>
      </w:r>
      <w:r>
        <w:rPr>
          <w:rFonts w:ascii="仿宋" w:eastAsia="仿宋" w:hAnsi="仿宋" w:hint="eastAsia"/>
          <w:sz w:val="30"/>
          <w:szCs w:val="30"/>
        </w:rPr>
        <w:t>万元，决算数为</w:t>
      </w:r>
      <w:r w:rsidR="00E806D4">
        <w:rPr>
          <w:rFonts w:ascii="仿宋" w:eastAsia="仿宋" w:hAnsi="仿宋" w:hint="eastAsia"/>
          <w:sz w:val="30"/>
          <w:szCs w:val="30"/>
        </w:rPr>
        <w:t>40.17</w:t>
      </w:r>
      <w:r>
        <w:rPr>
          <w:rFonts w:ascii="仿宋" w:eastAsia="仿宋" w:hAnsi="仿宋" w:hint="eastAsia"/>
          <w:sz w:val="30"/>
          <w:szCs w:val="30"/>
        </w:rPr>
        <w:t>万元，完成年初预算的</w:t>
      </w:r>
      <w:r w:rsidR="00E806D4">
        <w:rPr>
          <w:rFonts w:ascii="仿宋" w:eastAsia="仿宋" w:hAnsi="仿宋" w:hint="eastAsia"/>
          <w:sz w:val="30"/>
          <w:szCs w:val="30"/>
        </w:rPr>
        <w:t>80.34</w:t>
      </w:r>
      <w:r>
        <w:rPr>
          <w:rFonts w:ascii="仿宋" w:eastAsia="仿宋" w:hAnsi="仿宋" w:hint="eastAsia"/>
          <w:sz w:val="30"/>
          <w:szCs w:val="30"/>
        </w:rPr>
        <w:t>%，决算数较201</w:t>
      </w:r>
      <w:r w:rsidR="00E806D4">
        <w:rPr>
          <w:rFonts w:ascii="仿宋" w:eastAsia="仿宋" w:hAnsi="仿宋" w:hint="eastAsia"/>
          <w:sz w:val="30"/>
          <w:szCs w:val="30"/>
        </w:rPr>
        <w:t>7</w:t>
      </w:r>
      <w:r>
        <w:rPr>
          <w:rFonts w:ascii="仿宋" w:eastAsia="仿宋" w:hAnsi="仿宋" w:hint="eastAsia"/>
          <w:sz w:val="30"/>
          <w:szCs w:val="30"/>
        </w:rPr>
        <w:t>年增加</w:t>
      </w:r>
      <w:r w:rsidR="00E806D4">
        <w:rPr>
          <w:rFonts w:ascii="仿宋" w:eastAsia="仿宋" w:hAnsi="仿宋" w:hint="eastAsia"/>
          <w:sz w:val="30"/>
          <w:szCs w:val="30"/>
        </w:rPr>
        <w:t>13.41</w:t>
      </w:r>
      <w:r>
        <w:rPr>
          <w:rFonts w:ascii="仿宋" w:eastAsia="仿宋" w:hAnsi="仿宋" w:hint="eastAsia"/>
          <w:sz w:val="30"/>
          <w:szCs w:val="30"/>
        </w:rPr>
        <w:t>万元，增长</w:t>
      </w:r>
      <w:r w:rsidR="00E806D4">
        <w:rPr>
          <w:rFonts w:ascii="仿宋" w:eastAsia="仿宋" w:hAnsi="仿宋" w:hint="eastAsia"/>
          <w:sz w:val="30"/>
          <w:szCs w:val="30"/>
        </w:rPr>
        <w:t>50.11</w:t>
      </w:r>
      <w:r>
        <w:rPr>
          <w:rFonts w:ascii="仿宋" w:eastAsia="仿宋" w:hAnsi="仿宋" w:hint="eastAsia"/>
          <w:sz w:val="30"/>
          <w:szCs w:val="30"/>
        </w:rPr>
        <w:t>%，其中：</w:t>
      </w:r>
    </w:p>
    <w:p w:rsidR="008D4FA1" w:rsidRDefault="008D4FA1" w:rsidP="008D4FA1">
      <w:pPr>
        <w:ind w:firstLine="630"/>
        <w:jc w:val="left"/>
        <w:rPr>
          <w:rFonts w:ascii="仿宋" w:eastAsia="仿宋" w:hAnsi="仿宋"/>
          <w:sz w:val="30"/>
          <w:szCs w:val="30"/>
        </w:rPr>
      </w:pPr>
      <w:r>
        <w:rPr>
          <w:rFonts w:ascii="仿宋" w:eastAsia="仿宋" w:hAnsi="仿宋" w:hint="eastAsia"/>
          <w:sz w:val="30"/>
          <w:szCs w:val="30"/>
        </w:rPr>
        <w:t>（一）因公出国（境）支出年初预算数为</w:t>
      </w:r>
      <w:r w:rsidR="00E806D4">
        <w:rPr>
          <w:rFonts w:ascii="仿宋" w:eastAsia="仿宋" w:hAnsi="仿宋" w:hint="eastAsia"/>
          <w:sz w:val="30"/>
          <w:szCs w:val="30"/>
        </w:rPr>
        <w:t>0</w:t>
      </w:r>
      <w:r>
        <w:rPr>
          <w:rFonts w:ascii="仿宋" w:eastAsia="仿宋" w:hAnsi="仿宋" w:hint="eastAsia"/>
          <w:sz w:val="30"/>
          <w:szCs w:val="30"/>
        </w:rPr>
        <w:t>万元，决算数为</w:t>
      </w:r>
      <w:r w:rsidR="009F2203">
        <w:rPr>
          <w:rFonts w:ascii="仿宋" w:eastAsia="仿宋" w:hAnsi="仿宋" w:hint="eastAsia"/>
          <w:sz w:val="30"/>
          <w:szCs w:val="30"/>
        </w:rPr>
        <w:lastRenderedPageBreak/>
        <w:t>0</w:t>
      </w:r>
      <w:r>
        <w:rPr>
          <w:rFonts w:ascii="仿宋" w:eastAsia="仿宋" w:hAnsi="仿宋" w:hint="eastAsia"/>
          <w:sz w:val="30"/>
          <w:szCs w:val="30"/>
        </w:rPr>
        <w:t>万元，完成年初预算的</w:t>
      </w:r>
      <w:r w:rsidR="009F2203">
        <w:rPr>
          <w:rFonts w:ascii="仿宋" w:eastAsia="仿宋" w:hAnsi="仿宋" w:hint="eastAsia"/>
          <w:sz w:val="30"/>
          <w:szCs w:val="30"/>
        </w:rPr>
        <w:t>0</w:t>
      </w:r>
      <w:r>
        <w:rPr>
          <w:rFonts w:ascii="仿宋" w:eastAsia="仿宋" w:hAnsi="仿宋" w:hint="eastAsia"/>
          <w:sz w:val="30"/>
          <w:szCs w:val="30"/>
        </w:rPr>
        <w:t xml:space="preserve"> %，决算数较年初预算数减少主要原因是：</w:t>
      </w:r>
      <w:r w:rsidR="009F2203">
        <w:rPr>
          <w:rFonts w:ascii="仿宋" w:eastAsia="仿宋" w:hAnsi="仿宋" w:hint="eastAsia"/>
          <w:sz w:val="30"/>
          <w:szCs w:val="30"/>
        </w:rPr>
        <w:t>上级部门相关工作调整</w:t>
      </w:r>
      <w:r>
        <w:rPr>
          <w:rFonts w:ascii="仿宋" w:eastAsia="仿宋" w:hAnsi="仿宋" w:hint="eastAsia"/>
          <w:sz w:val="30"/>
          <w:szCs w:val="30"/>
        </w:rPr>
        <w:t>。</w:t>
      </w:r>
    </w:p>
    <w:p w:rsidR="008D4FA1" w:rsidRDefault="008D4FA1" w:rsidP="008D4FA1">
      <w:pPr>
        <w:ind w:firstLine="630"/>
        <w:jc w:val="left"/>
        <w:rPr>
          <w:rFonts w:ascii="仿宋" w:eastAsia="仿宋" w:hAnsi="仿宋"/>
          <w:sz w:val="30"/>
          <w:szCs w:val="30"/>
        </w:rPr>
      </w:pPr>
      <w:r>
        <w:rPr>
          <w:rFonts w:ascii="仿宋" w:eastAsia="仿宋" w:hAnsi="仿宋" w:hint="eastAsia"/>
          <w:sz w:val="30"/>
          <w:szCs w:val="30"/>
        </w:rPr>
        <w:t>（二）公务接待费支出年初预算数为</w:t>
      </w:r>
      <w:r w:rsidR="00E806D4">
        <w:rPr>
          <w:rFonts w:ascii="仿宋" w:eastAsia="仿宋" w:hAnsi="仿宋" w:hint="eastAsia"/>
          <w:sz w:val="30"/>
          <w:szCs w:val="30"/>
        </w:rPr>
        <w:t>50</w:t>
      </w:r>
      <w:r>
        <w:rPr>
          <w:rFonts w:ascii="仿宋" w:eastAsia="仿宋" w:hAnsi="仿宋" w:hint="eastAsia"/>
          <w:sz w:val="30"/>
          <w:szCs w:val="30"/>
        </w:rPr>
        <w:t>万元，决算数为</w:t>
      </w:r>
      <w:r w:rsidR="00E806D4">
        <w:rPr>
          <w:rFonts w:ascii="仿宋" w:eastAsia="仿宋" w:hAnsi="仿宋" w:hint="eastAsia"/>
          <w:sz w:val="30"/>
          <w:szCs w:val="30"/>
        </w:rPr>
        <w:t>40.17</w:t>
      </w:r>
      <w:r>
        <w:rPr>
          <w:rFonts w:ascii="仿宋" w:eastAsia="仿宋" w:hAnsi="仿宋" w:hint="eastAsia"/>
          <w:sz w:val="30"/>
          <w:szCs w:val="30"/>
        </w:rPr>
        <w:t>万元，完成年初预算的</w:t>
      </w:r>
      <w:r w:rsidR="00E806D4">
        <w:rPr>
          <w:rFonts w:ascii="仿宋" w:eastAsia="仿宋" w:hAnsi="仿宋" w:hint="eastAsia"/>
          <w:sz w:val="30"/>
          <w:szCs w:val="30"/>
        </w:rPr>
        <w:t>80.34</w:t>
      </w:r>
      <w:r>
        <w:rPr>
          <w:rFonts w:ascii="仿宋" w:eastAsia="仿宋" w:hAnsi="仿宋" w:hint="eastAsia"/>
          <w:sz w:val="30"/>
          <w:szCs w:val="30"/>
        </w:rPr>
        <w:t>%，决算数较201</w:t>
      </w:r>
      <w:r w:rsidR="00E806D4">
        <w:rPr>
          <w:rFonts w:ascii="仿宋" w:eastAsia="仿宋" w:hAnsi="仿宋" w:hint="eastAsia"/>
          <w:sz w:val="30"/>
          <w:szCs w:val="30"/>
        </w:rPr>
        <w:t>7</w:t>
      </w:r>
      <w:r>
        <w:rPr>
          <w:rFonts w:ascii="仿宋" w:eastAsia="仿宋" w:hAnsi="仿宋" w:hint="eastAsia"/>
          <w:sz w:val="30"/>
          <w:szCs w:val="30"/>
        </w:rPr>
        <w:t>年增加</w:t>
      </w:r>
      <w:r w:rsidR="00E806D4">
        <w:rPr>
          <w:rFonts w:ascii="仿宋" w:eastAsia="仿宋" w:hAnsi="仿宋" w:hint="eastAsia"/>
          <w:sz w:val="30"/>
          <w:szCs w:val="30"/>
        </w:rPr>
        <w:t>13.11</w:t>
      </w:r>
      <w:r>
        <w:rPr>
          <w:rFonts w:ascii="仿宋" w:eastAsia="仿宋" w:hAnsi="仿宋" w:hint="eastAsia"/>
          <w:sz w:val="30"/>
          <w:szCs w:val="30"/>
        </w:rPr>
        <w:t>万元，增长</w:t>
      </w:r>
      <w:r w:rsidR="00E806D4">
        <w:rPr>
          <w:rFonts w:ascii="仿宋" w:eastAsia="仿宋" w:hAnsi="仿宋" w:hint="eastAsia"/>
          <w:sz w:val="30"/>
          <w:szCs w:val="30"/>
        </w:rPr>
        <w:t>50.11</w:t>
      </w:r>
      <w:r>
        <w:rPr>
          <w:rFonts w:ascii="仿宋" w:eastAsia="仿宋" w:hAnsi="仿宋" w:hint="eastAsia"/>
          <w:sz w:val="30"/>
          <w:szCs w:val="30"/>
        </w:rPr>
        <w:t xml:space="preserve"> %。决算数较年初预算数减少的主要原因是：</w:t>
      </w:r>
      <w:r w:rsidR="00E806D4">
        <w:rPr>
          <w:rFonts w:ascii="仿宋" w:eastAsia="仿宋" w:hAnsi="仿宋" w:hint="eastAsia"/>
          <w:sz w:val="30"/>
          <w:szCs w:val="30"/>
        </w:rPr>
        <w:t>工作需要</w:t>
      </w:r>
      <w:r>
        <w:rPr>
          <w:rFonts w:ascii="仿宋" w:eastAsia="仿宋" w:hAnsi="仿宋" w:hint="eastAsia"/>
          <w:sz w:val="30"/>
          <w:szCs w:val="30"/>
        </w:rPr>
        <w:t>。</w:t>
      </w:r>
    </w:p>
    <w:p w:rsidR="008D4FA1" w:rsidRDefault="008D4FA1" w:rsidP="008D4FA1">
      <w:pPr>
        <w:ind w:firstLine="630"/>
        <w:jc w:val="left"/>
        <w:rPr>
          <w:rFonts w:ascii="仿宋" w:eastAsia="仿宋" w:hAnsi="仿宋"/>
          <w:sz w:val="30"/>
          <w:szCs w:val="30"/>
        </w:rPr>
      </w:pPr>
      <w:r>
        <w:rPr>
          <w:rFonts w:ascii="仿宋" w:eastAsia="仿宋" w:hAnsi="仿宋" w:hint="eastAsia"/>
          <w:sz w:val="30"/>
          <w:szCs w:val="30"/>
        </w:rPr>
        <w:t>（三）公务用车购置及运行维护费支出</w:t>
      </w:r>
      <w:r w:rsidR="00D43D81">
        <w:rPr>
          <w:rFonts w:ascii="仿宋" w:eastAsia="仿宋" w:hAnsi="仿宋" w:hint="eastAsia"/>
          <w:sz w:val="30"/>
          <w:szCs w:val="30"/>
        </w:rPr>
        <w:t>0</w:t>
      </w:r>
      <w:r>
        <w:rPr>
          <w:rFonts w:ascii="仿宋" w:eastAsia="仿宋" w:hAnsi="仿宋" w:hint="eastAsia"/>
          <w:sz w:val="30"/>
          <w:szCs w:val="30"/>
        </w:rPr>
        <w:t>万元，其中公务用车购置年初预算数为</w:t>
      </w:r>
      <w:r w:rsidR="00D43D81">
        <w:rPr>
          <w:rFonts w:ascii="仿宋" w:eastAsia="仿宋" w:hAnsi="仿宋" w:hint="eastAsia"/>
          <w:sz w:val="30"/>
          <w:szCs w:val="30"/>
        </w:rPr>
        <w:t>0</w:t>
      </w:r>
      <w:r>
        <w:rPr>
          <w:rFonts w:ascii="仿宋" w:eastAsia="仿宋" w:hAnsi="仿宋" w:hint="eastAsia"/>
          <w:sz w:val="30"/>
          <w:szCs w:val="30"/>
        </w:rPr>
        <w:t>万元，决算数为</w:t>
      </w:r>
      <w:r w:rsidR="00D43D81">
        <w:rPr>
          <w:rFonts w:ascii="仿宋" w:eastAsia="仿宋" w:hAnsi="仿宋" w:hint="eastAsia"/>
          <w:sz w:val="30"/>
          <w:szCs w:val="30"/>
        </w:rPr>
        <w:t>0万元，公车改革后未再有此项费用预算及支出。</w:t>
      </w:r>
    </w:p>
    <w:p w:rsidR="008D4FA1" w:rsidRDefault="008D4FA1" w:rsidP="008D4FA1">
      <w:pPr>
        <w:ind w:firstLine="630"/>
        <w:jc w:val="left"/>
        <w:rPr>
          <w:rFonts w:ascii="黑体" w:eastAsia="黑体" w:hAnsi="黑体"/>
          <w:sz w:val="30"/>
          <w:szCs w:val="30"/>
        </w:rPr>
      </w:pPr>
      <w:r>
        <w:rPr>
          <w:rFonts w:ascii="黑体" w:eastAsia="黑体" w:hAnsi="黑体" w:hint="eastAsia"/>
          <w:sz w:val="30"/>
          <w:szCs w:val="30"/>
        </w:rPr>
        <w:t>六、机关运行经费支出情况说明</w:t>
      </w:r>
    </w:p>
    <w:p w:rsidR="008D4FA1" w:rsidRDefault="008D4FA1" w:rsidP="008D4FA1">
      <w:pPr>
        <w:ind w:firstLine="630"/>
        <w:jc w:val="left"/>
        <w:rPr>
          <w:rFonts w:ascii="仿宋" w:eastAsia="仿宋" w:hAnsi="仿宋"/>
          <w:sz w:val="30"/>
          <w:szCs w:val="30"/>
        </w:rPr>
      </w:pPr>
      <w:r>
        <w:rPr>
          <w:rFonts w:ascii="仿宋" w:eastAsia="仿宋" w:hAnsi="仿宋" w:hint="eastAsia"/>
          <w:sz w:val="30"/>
          <w:szCs w:val="30"/>
        </w:rPr>
        <w:t>本部门201</w:t>
      </w:r>
      <w:r w:rsidR="00BD39F1">
        <w:rPr>
          <w:rFonts w:ascii="仿宋" w:eastAsia="仿宋" w:hAnsi="仿宋" w:hint="eastAsia"/>
          <w:sz w:val="30"/>
          <w:szCs w:val="30"/>
        </w:rPr>
        <w:t>8</w:t>
      </w:r>
      <w:r>
        <w:rPr>
          <w:rFonts w:ascii="仿宋" w:eastAsia="仿宋" w:hAnsi="仿宋" w:hint="eastAsia"/>
          <w:sz w:val="30"/>
          <w:szCs w:val="30"/>
        </w:rPr>
        <w:t>年度机关运行经费支出</w:t>
      </w:r>
      <w:r w:rsidR="00BD39F1">
        <w:rPr>
          <w:rFonts w:ascii="仿宋" w:eastAsia="仿宋" w:hAnsi="仿宋" w:hint="eastAsia"/>
          <w:sz w:val="30"/>
          <w:szCs w:val="30"/>
        </w:rPr>
        <w:t>131.89</w:t>
      </w:r>
      <w:r>
        <w:rPr>
          <w:rFonts w:ascii="仿宋" w:eastAsia="仿宋" w:hAnsi="仿宋" w:hint="eastAsia"/>
          <w:sz w:val="30"/>
          <w:szCs w:val="30"/>
        </w:rPr>
        <w:t>万元（与部门决算中行政单位和参照公务员法管理事业单位一般公共预算财政拨款基本支出中公用经费之和保持一致），较年初预算数增加</w:t>
      </w:r>
      <w:r w:rsidR="00BD39F1">
        <w:rPr>
          <w:rFonts w:ascii="仿宋" w:eastAsia="仿宋" w:hAnsi="仿宋" w:hint="eastAsia"/>
          <w:sz w:val="30"/>
          <w:szCs w:val="30"/>
        </w:rPr>
        <w:t>53.64</w:t>
      </w:r>
      <w:r>
        <w:rPr>
          <w:rFonts w:ascii="仿宋" w:eastAsia="仿宋" w:hAnsi="仿宋" w:hint="eastAsia"/>
          <w:sz w:val="30"/>
          <w:szCs w:val="30"/>
        </w:rPr>
        <w:t>万元，增长</w:t>
      </w:r>
      <w:r w:rsidR="00BD39F1">
        <w:rPr>
          <w:rFonts w:ascii="仿宋" w:eastAsia="仿宋" w:hAnsi="仿宋" w:hint="eastAsia"/>
          <w:sz w:val="30"/>
          <w:szCs w:val="30"/>
        </w:rPr>
        <w:t>68.55</w:t>
      </w:r>
      <w:r>
        <w:rPr>
          <w:rFonts w:ascii="仿宋" w:eastAsia="仿宋" w:hAnsi="仿宋" w:hint="eastAsia"/>
          <w:sz w:val="30"/>
          <w:szCs w:val="30"/>
        </w:rPr>
        <w:t>%，主要原因是：</w:t>
      </w:r>
      <w:r w:rsidR="00BD39F1">
        <w:rPr>
          <w:rFonts w:ascii="仿宋" w:eastAsia="仿宋" w:hAnsi="仿宋" w:hint="eastAsia"/>
          <w:sz w:val="30"/>
          <w:szCs w:val="30"/>
        </w:rPr>
        <w:t>工作需要</w:t>
      </w:r>
      <w:r w:rsidR="0092322B">
        <w:rPr>
          <w:rFonts w:ascii="仿宋" w:eastAsia="仿宋" w:hAnsi="仿宋" w:hint="eastAsia"/>
          <w:sz w:val="30"/>
          <w:szCs w:val="30"/>
        </w:rPr>
        <w:t>。</w:t>
      </w:r>
      <w:r>
        <w:rPr>
          <w:rFonts w:ascii="仿宋" w:eastAsia="仿宋" w:hAnsi="仿宋" w:hint="eastAsia"/>
          <w:sz w:val="30"/>
          <w:szCs w:val="30"/>
        </w:rPr>
        <w:t xml:space="preserve"> </w:t>
      </w:r>
    </w:p>
    <w:p w:rsidR="008D4FA1" w:rsidRDefault="008D4FA1" w:rsidP="008D4FA1">
      <w:pPr>
        <w:ind w:firstLine="630"/>
        <w:jc w:val="left"/>
        <w:rPr>
          <w:rFonts w:ascii="黑体" w:eastAsia="黑体" w:hAnsi="黑体"/>
          <w:sz w:val="30"/>
          <w:szCs w:val="30"/>
        </w:rPr>
      </w:pPr>
      <w:r>
        <w:rPr>
          <w:rFonts w:ascii="黑体" w:eastAsia="黑体" w:hAnsi="黑体" w:hint="eastAsia"/>
          <w:sz w:val="30"/>
          <w:szCs w:val="30"/>
        </w:rPr>
        <w:t>七、政府采购支出情况说明</w:t>
      </w:r>
    </w:p>
    <w:p w:rsidR="008D4FA1" w:rsidRDefault="008D4FA1" w:rsidP="008D4FA1">
      <w:pPr>
        <w:pStyle w:val="p0"/>
        <w:spacing w:line="600" w:lineRule="atLeast"/>
        <w:ind w:firstLine="600"/>
        <w:rPr>
          <w:rFonts w:ascii="仿宋" w:eastAsia="仿宋" w:hAnsi="仿宋"/>
          <w:sz w:val="30"/>
          <w:szCs w:val="30"/>
        </w:rPr>
      </w:pPr>
      <w:r>
        <w:rPr>
          <w:rFonts w:ascii="仿宋" w:eastAsia="仿宋" w:hAnsi="仿宋" w:hint="eastAsia"/>
          <w:sz w:val="30"/>
          <w:szCs w:val="30"/>
        </w:rPr>
        <w:t>本部门201</w:t>
      </w:r>
      <w:r w:rsidR="00BD39F1">
        <w:rPr>
          <w:rFonts w:ascii="仿宋" w:eastAsia="仿宋" w:hAnsi="仿宋" w:hint="eastAsia"/>
          <w:sz w:val="30"/>
          <w:szCs w:val="30"/>
        </w:rPr>
        <w:t>8</w:t>
      </w:r>
      <w:r>
        <w:rPr>
          <w:rFonts w:ascii="仿宋" w:eastAsia="仿宋" w:hAnsi="仿宋" w:hint="eastAsia"/>
          <w:sz w:val="30"/>
          <w:szCs w:val="30"/>
        </w:rPr>
        <w:t>年度政府采购支出总额</w:t>
      </w:r>
      <w:r w:rsidR="00BD39F1">
        <w:rPr>
          <w:rFonts w:ascii="仿宋" w:eastAsia="仿宋" w:hAnsi="仿宋" w:hint="eastAsia"/>
          <w:sz w:val="30"/>
          <w:szCs w:val="30"/>
        </w:rPr>
        <w:t>0.79</w:t>
      </w:r>
      <w:r>
        <w:rPr>
          <w:rFonts w:ascii="仿宋" w:eastAsia="仿宋" w:hAnsi="仿宋" w:hint="eastAsia"/>
          <w:sz w:val="30"/>
          <w:szCs w:val="30"/>
        </w:rPr>
        <w:t>万元，其中：政府采购货物支出</w:t>
      </w:r>
      <w:r w:rsidR="00BD39F1">
        <w:rPr>
          <w:rFonts w:ascii="仿宋" w:eastAsia="仿宋" w:hAnsi="仿宋" w:hint="eastAsia"/>
          <w:sz w:val="30"/>
          <w:szCs w:val="30"/>
        </w:rPr>
        <w:t>0.79</w:t>
      </w:r>
      <w:r>
        <w:rPr>
          <w:rFonts w:ascii="仿宋" w:eastAsia="仿宋" w:hAnsi="仿宋" w:hint="eastAsia"/>
          <w:sz w:val="30"/>
          <w:szCs w:val="30"/>
        </w:rPr>
        <w:t>万元</w:t>
      </w:r>
      <w:r w:rsidR="0092322B">
        <w:rPr>
          <w:rFonts w:ascii="仿宋" w:eastAsia="仿宋" w:hAnsi="仿宋" w:hint="eastAsia"/>
          <w:sz w:val="30"/>
          <w:szCs w:val="30"/>
        </w:rPr>
        <w:t>.</w:t>
      </w:r>
    </w:p>
    <w:p w:rsidR="008D4FA1" w:rsidRDefault="008D4FA1" w:rsidP="008D4FA1">
      <w:pPr>
        <w:ind w:firstLine="630"/>
        <w:jc w:val="left"/>
        <w:rPr>
          <w:rFonts w:ascii="黑体" w:eastAsia="黑体" w:hAnsi="黑体"/>
          <w:sz w:val="30"/>
          <w:szCs w:val="30"/>
        </w:rPr>
      </w:pPr>
      <w:r>
        <w:rPr>
          <w:rFonts w:ascii="黑体" w:eastAsia="黑体" w:hAnsi="黑体" w:hint="eastAsia"/>
          <w:sz w:val="30"/>
          <w:szCs w:val="30"/>
        </w:rPr>
        <w:t>八、国有资产占用情况说明。</w:t>
      </w:r>
    </w:p>
    <w:p w:rsidR="008D4FA1" w:rsidRDefault="00BD39F1" w:rsidP="008D4FA1">
      <w:pPr>
        <w:ind w:firstLine="630"/>
        <w:jc w:val="left"/>
        <w:rPr>
          <w:rFonts w:ascii="仿宋" w:eastAsia="仿宋" w:hAnsi="仿宋"/>
          <w:kern w:val="0"/>
          <w:sz w:val="30"/>
          <w:szCs w:val="30"/>
        </w:rPr>
      </w:pPr>
      <w:r>
        <w:rPr>
          <w:rFonts w:ascii="仿宋" w:eastAsia="仿宋" w:hAnsi="仿宋" w:hint="eastAsia"/>
          <w:kern w:val="0"/>
          <w:sz w:val="30"/>
          <w:szCs w:val="30"/>
        </w:rPr>
        <w:t>单位正常使用</w:t>
      </w:r>
      <w:r w:rsidR="008D4FA1">
        <w:rPr>
          <w:rFonts w:ascii="仿宋" w:eastAsia="仿宋" w:hAnsi="仿宋" w:hint="eastAsia"/>
          <w:kern w:val="0"/>
          <w:sz w:val="30"/>
          <w:szCs w:val="30"/>
        </w:rPr>
        <w:t>。</w:t>
      </w:r>
    </w:p>
    <w:sectPr w:rsidR="008D4FA1" w:rsidSect="007724A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49B" w:rsidRDefault="008B749B" w:rsidP="00BF3FF2">
      <w:r>
        <w:separator/>
      </w:r>
    </w:p>
  </w:endnote>
  <w:endnote w:type="continuationSeparator" w:id="0">
    <w:p w:rsidR="008B749B" w:rsidRDefault="008B749B" w:rsidP="00BF3F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49B" w:rsidRDefault="008B749B" w:rsidP="00BF3FF2">
      <w:r>
        <w:separator/>
      </w:r>
    </w:p>
  </w:footnote>
  <w:footnote w:type="continuationSeparator" w:id="0">
    <w:p w:rsidR="008B749B" w:rsidRDefault="008B749B" w:rsidP="00BF3F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95282"/>
    <w:multiLevelType w:val="singleLevel"/>
    <w:tmpl w:val="04095282"/>
    <w:lvl w:ilvl="0">
      <w:start w:val="1"/>
      <w:numFmt w:val="decimal"/>
      <w:suff w:val="nothing"/>
      <w:lvlText w:val="%1、"/>
      <w:lvlJc w:val="left"/>
    </w:lvl>
  </w:abstractNum>
  <w:abstractNum w:abstractNumId="1">
    <w:nsid w:val="0D9F3306"/>
    <w:multiLevelType w:val="hybridMultilevel"/>
    <w:tmpl w:val="425AF318"/>
    <w:lvl w:ilvl="0" w:tplc="AE5A5940">
      <w:start w:val="1"/>
      <w:numFmt w:val="japaneseCounting"/>
      <w:lvlText w:val="%1、"/>
      <w:lvlJc w:val="left"/>
      <w:pPr>
        <w:ind w:left="2005" w:hanging="720"/>
      </w:pPr>
      <w:rPr>
        <w:rFonts w:hint="default"/>
      </w:rPr>
    </w:lvl>
    <w:lvl w:ilvl="1" w:tplc="04090019" w:tentative="1">
      <w:start w:val="1"/>
      <w:numFmt w:val="lowerLetter"/>
      <w:lvlText w:val="%2)"/>
      <w:lvlJc w:val="left"/>
      <w:pPr>
        <w:ind w:left="2125" w:hanging="420"/>
      </w:pPr>
    </w:lvl>
    <w:lvl w:ilvl="2" w:tplc="0409001B" w:tentative="1">
      <w:start w:val="1"/>
      <w:numFmt w:val="lowerRoman"/>
      <w:lvlText w:val="%3."/>
      <w:lvlJc w:val="right"/>
      <w:pPr>
        <w:ind w:left="2545" w:hanging="420"/>
      </w:pPr>
    </w:lvl>
    <w:lvl w:ilvl="3" w:tplc="0409000F" w:tentative="1">
      <w:start w:val="1"/>
      <w:numFmt w:val="decimal"/>
      <w:lvlText w:val="%4."/>
      <w:lvlJc w:val="left"/>
      <w:pPr>
        <w:ind w:left="2965" w:hanging="420"/>
      </w:pPr>
    </w:lvl>
    <w:lvl w:ilvl="4" w:tplc="04090019" w:tentative="1">
      <w:start w:val="1"/>
      <w:numFmt w:val="lowerLetter"/>
      <w:lvlText w:val="%5)"/>
      <w:lvlJc w:val="left"/>
      <w:pPr>
        <w:ind w:left="3385" w:hanging="420"/>
      </w:pPr>
    </w:lvl>
    <w:lvl w:ilvl="5" w:tplc="0409001B" w:tentative="1">
      <w:start w:val="1"/>
      <w:numFmt w:val="lowerRoman"/>
      <w:lvlText w:val="%6."/>
      <w:lvlJc w:val="right"/>
      <w:pPr>
        <w:ind w:left="3805" w:hanging="420"/>
      </w:pPr>
    </w:lvl>
    <w:lvl w:ilvl="6" w:tplc="0409000F" w:tentative="1">
      <w:start w:val="1"/>
      <w:numFmt w:val="decimal"/>
      <w:lvlText w:val="%7."/>
      <w:lvlJc w:val="left"/>
      <w:pPr>
        <w:ind w:left="4225" w:hanging="420"/>
      </w:pPr>
    </w:lvl>
    <w:lvl w:ilvl="7" w:tplc="04090019" w:tentative="1">
      <w:start w:val="1"/>
      <w:numFmt w:val="lowerLetter"/>
      <w:lvlText w:val="%8)"/>
      <w:lvlJc w:val="left"/>
      <w:pPr>
        <w:ind w:left="4645" w:hanging="420"/>
      </w:pPr>
    </w:lvl>
    <w:lvl w:ilvl="8" w:tplc="0409001B" w:tentative="1">
      <w:start w:val="1"/>
      <w:numFmt w:val="lowerRoman"/>
      <w:lvlText w:val="%9."/>
      <w:lvlJc w:val="right"/>
      <w:pPr>
        <w:ind w:left="5065" w:hanging="420"/>
      </w:pPr>
    </w:lvl>
  </w:abstractNum>
  <w:abstractNum w:abstractNumId="2">
    <w:nsid w:val="240F0C73"/>
    <w:multiLevelType w:val="hybridMultilevel"/>
    <w:tmpl w:val="493CDA00"/>
    <w:lvl w:ilvl="0" w:tplc="5B065C5A">
      <w:start w:val="1"/>
      <w:numFmt w:val="japaneseCounting"/>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4FA1"/>
    <w:rsid w:val="00066D33"/>
    <w:rsid w:val="001228FC"/>
    <w:rsid w:val="00136867"/>
    <w:rsid w:val="00175DDA"/>
    <w:rsid w:val="003654E5"/>
    <w:rsid w:val="00394480"/>
    <w:rsid w:val="004678D2"/>
    <w:rsid w:val="00497A69"/>
    <w:rsid w:val="004D509B"/>
    <w:rsid w:val="005D550E"/>
    <w:rsid w:val="00646BCB"/>
    <w:rsid w:val="007724A2"/>
    <w:rsid w:val="007F38B6"/>
    <w:rsid w:val="008B749B"/>
    <w:rsid w:val="008D4FA1"/>
    <w:rsid w:val="0092322B"/>
    <w:rsid w:val="009E639C"/>
    <w:rsid w:val="009F2203"/>
    <w:rsid w:val="00A43B44"/>
    <w:rsid w:val="00A62F04"/>
    <w:rsid w:val="00B12398"/>
    <w:rsid w:val="00B557AB"/>
    <w:rsid w:val="00BD39F1"/>
    <w:rsid w:val="00BF3FF2"/>
    <w:rsid w:val="00C64A25"/>
    <w:rsid w:val="00CE02B3"/>
    <w:rsid w:val="00D002CF"/>
    <w:rsid w:val="00D32ABC"/>
    <w:rsid w:val="00D43D81"/>
    <w:rsid w:val="00E806D4"/>
    <w:rsid w:val="00F32847"/>
    <w:rsid w:val="00FB1FA1"/>
    <w:rsid w:val="00FD00B5"/>
    <w:rsid w:val="00FE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4FA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8D4FA1"/>
    <w:pPr>
      <w:widowControl/>
    </w:pPr>
    <w:rPr>
      <w:kern w:val="0"/>
      <w:szCs w:val="21"/>
    </w:rPr>
  </w:style>
  <w:style w:type="paragraph" w:styleId="a3">
    <w:name w:val="Balloon Text"/>
    <w:basedOn w:val="a"/>
    <w:link w:val="Char"/>
    <w:uiPriority w:val="99"/>
    <w:semiHidden/>
    <w:unhideWhenUsed/>
    <w:rsid w:val="008D4FA1"/>
    <w:rPr>
      <w:sz w:val="18"/>
      <w:szCs w:val="18"/>
    </w:rPr>
  </w:style>
  <w:style w:type="character" w:customStyle="1" w:styleId="Char">
    <w:name w:val="批注框文本 Char"/>
    <w:basedOn w:val="a0"/>
    <w:link w:val="a3"/>
    <w:uiPriority w:val="99"/>
    <w:semiHidden/>
    <w:rsid w:val="008D4FA1"/>
    <w:rPr>
      <w:rFonts w:ascii="Times New Roman" w:eastAsia="宋体" w:hAnsi="Times New Roman" w:cs="Times New Roman"/>
      <w:sz w:val="18"/>
      <w:szCs w:val="18"/>
    </w:rPr>
  </w:style>
  <w:style w:type="paragraph" w:styleId="a4">
    <w:name w:val="List Paragraph"/>
    <w:basedOn w:val="a"/>
    <w:uiPriority w:val="34"/>
    <w:qFormat/>
    <w:rsid w:val="008D4FA1"/>
    <w:pPr>
      <w:ind w:firstLineChars="200" w:firstLine="420"/>
    </w:pPr>
  </w:style>
  <w:style w:type="paragraph" w:styleId="a5">
    <w:name w:val="No Spacing"/>
    <w:uiPriority w:val="1"/>
    <w:qFormat/>
    <w:rsid w:val="00BF3FF2"/>
    <w:pPr>
      <w:widowControl w:val="0"/>
      <w:jc w:val="both"/>
    </w:pPr>
    <w:rPr>
      <w:rFonts w:ascii="Times New Roman" w:eastAsia="宋体" w:hAnsi="Times New Roman" w:cs="Times New Roman"/>
      <w:szCs w:val="20"/>
    </w:rPr>
  </w:style>
  <w:style w:type="paragraph" w:styleId="a6">
    <w:name w:val="header"/>
    <w:basedOn w:val="a"/>
    <w:link w:val="Char0"/>
    <w:uiPriority w:val="99"/>
    <w:semiHidden/>
    <w:unhideWhenUsed/>
    <w:rsid w:val="00BF3FF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BF3FF2"/>
    <w:rPr>
      <w:rFonts w:ascii="Times New Roman" w:eastAsia="宋体" w:hAnsi="Times New Roman" w:cs="Times New Roman"/>
      <w:sz w:val="18"/>
      <w:szCs w:val="18"/>
    </w:rPr>
  </w:style>
  <w:style w:type="paragraph" w:styleId="a7">
    <w:name w:val="footer"/>
    <w:basedOn w:val="a"/>
    <w:link w:val="Char1"/>
    <w:uiPriority w:val="99"/>
    <w:semiHidden/>
    <w:unhideWhenUsed/>
    <w:rsid w:val="00BF3FF2"/>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BF3FF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4745445">
      <w:bodyDiv w:val="1"/>
      <w:marLeft w:val="0"/>
      <w:marRight w:val="0"/>
      <w:marTop w:val="0"/>
      <w:marBottom w:val="0"/>
      <w:divBdr>
        <w:top w:val="none" w:sz="0" w:space="0" w:color="auto"/>
        <w:left w:val="none" w:sz="0" w:space="0" w:color="auto"/>
        <w:bottom w:val="none" w:sz="0" w:space="0" w:color="auto"/>
        <w:right w:val="none" w:sz="0" w:space="0" w:color="auto"/>
      </w:divBdr>
    </w:div>
    <w:div w:id="297416428">
      <w:bodyDiv w:val="1"/>
      <w:marLeft w:val="0"/>
      <w:marRight w:val="0"/>
      <w:marTop w:val="0"/>
      <w:marBottom w:val="0"/>
      <w:divBdr>
        <w:top w:val="none" w:sz="0" w:space="0" w:color="auto"/>
        <w:left w:val="none" w:sz="0" w:space="0" w:color="auto"/>
        <w:bottom w:val="none" w:sz="0" w:space="0" w:color="auto"/>
        <w:right w:val="none" w:sz="0" w:space="0" w:color="auto"/>
      </w:divBdr>
    </w:div>
    <w:div w:id="458424904">
      <w:bodyDiv w:val="1"/>
      <w:marLeft w:val="0"/>
      <w:marRight w:val="0"/>
      <w:marTop w:val="0"/>
      <w:marBottom w:val="0"/>
      <w:divBdr>
        <w:top w:val="none" w:sz="0" w:space="0" w:color="auto"/>
        <w:left w:val="none" w:sz="0" w:space="0" w:color="auto"/>
        <w:bottom w:val="none" w:sz="0" w:space="0" w:color="auto"/>
        <w:right w:val="none" w:sz="0" w:space="0" w:color="auto"/>
      </w:divBdr>
    </w:div>
    <w:div w:id="460656666">
      <w:bodyDiv w:val="1"/>
      <w:marLeft w:val="0"/>
      <w:marRight w:val="0"/>
      <w:marTop w:val="0"/>
      <w:marBottom w:val="0"/>
      <w:divBdr>
        <w:top w:val="none" w:sz="0" w:space="0" w:color="auto"/>
        <w:left w:val="none" w:sz="0" w:space="0" w:color="auto"/>
        <w:bottom w:val="none" w:sz="0" w:space="0" w:color="auto"/>
        <w:right w:val="none" w:sz="0" w:space="0" w:color="auto"/>
      </w:divBdr>
    </w:div>
    <w:div w:id="623854380">
      <w:bodyDiv w:val="1"/>
      <w:marLeft w:val="0"/>
      <w:marRight w:val="0"/>
      <w:marTop w:val="0"/>
      <w:marBottom w:val="0"/>
      <w:divBdr>
        <w:top w:val="none" w:sz="0" w:space="0" w:color="auto"/>
        <w:left w:val="none" w:sz="0" w:space="0" w:color="auto"/>
        <w:bottom w:val="none" w:sz="0" w:space="0" w:color="auto"/>
        <w:right w:val="none" w:sz="0" w:space="0" w:color="auto"/>
      </w:divBdr>
    </w:div>
    <w:div w:id="1217862945">
      <w:bodyDiv w:val="1"/>
      <w:marLeft w:val="0"/>
      <w:marRight w:val="0"/>
      <w:marTop w:val="0"/>
      <w:marBottom w:val="0"/>
      <w:divBdr>
        <w:top w:val="none" w:sz="0" w:space="0" w:color="auto"/>
        <w:left w:val="none" w:sz="0" w:space="0" w:color="auto"/>
        <w:bottom w:val="none" w:sz="0" w:space="0" w:color="auto"/>
        <w:right w:val="none" w:sz="0" w:space="0" w:color="auto"/>
      </w:divBdr>
    </w:div>
    <w:div w:id="177717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449</Words>
  <Characters>2565</Characters>
  <Application>Microsoft Office Word</Application>
  <DocSecurity>0</DocSecurity>
  <Lines>21</Lines>
  <Paragraphs>6</Paragraphs>
  <ScaleCrop>false</ScaleCrop>
  <Company/>
  <LinksUpToDate>false</LinksUpToDate>
  <CharactersWithSpaces>3008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2020-10-22T08:19:00Z</cp:lastPrinted>
  <dcterms:created xsi:type="dcterms:W3CDTF">2021-05-21T03:47:00Z</dcterms:created>
  <dcterms:modified xsi:type="dcterms:W3CDTF">2021-05-21T03:47:00Z</dcterms:modified>
</cp:coreProperties>
</file>