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</w:rPr>
        <w:t>庐山市发改委</w:t>
      </w:r>
      <w:r>
        <w:rPr>
          <w:rFonts w:hint="eastAsia" w:ascii="黑体" w:eastAsia="黑体"/>
          <w:sz w:val="44"/>
          <w:szCs w:val="36"/>
        </w:rPr>
        <w:t>2018年度部门决算</w:t>
      </w:r>
    </w:p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 xml:space="preserve">目    录  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第一部分  发改委</w:t>
      </w:r>
      <w:r>
        <w:rPr>
          <w:rFonts w:hint="eastAsia" w:ascii="黑体" w:hAnsi="黑体" w:eastAsia="黑体"/>
          <w:sz w:val="32"/>
          <w:szCs w:val="32"/>
        </w:rPr>
        <w:t>部门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2018年度部门决算表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八、政府性基金预算财政拨款收入支出决算表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九、国有资产占用情况表</w:t>
      </w:r>
    </w:p>
    <w:p>
      <w:pPr>
        <w:widowControl/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2018年度部门决算情况说明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八、国有资产占用情况说明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九、预算绩效情况说明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 xml:space="preserve">第一部分  </w:t>
      </w:r>
      <w:r>
        <w:rPr>
          <w:rFonts w:hint="eastAsia" w:ascii="宋体" w:hAnsi="宋体"/>
          <w:b/>
          <w:sz w:val="32"/>
          <w:szCs w:val="32"/>
        </w:rPr>
        <w:t>发改委部门</w:t>
      </w:r>
      <w:r>
        <w:rPr>
          <w:rFonts w:hint="eastAsia" w:ascii="宋体" w:hAnsi="宋体"/>
          <w:b/>
          <w:sz w:val="32"/>
          <w:szCs w:val="30"/>
        </w:rPr>
        <w:t>概况</w:t>
      </w:r>
    </w:p>
    <w:p>
      <w:pPr>
        <w:ind w:firstLine="630"/>
        <w:jc w:val="center"/>
        <w:rPr>
          <w:sz w:val="32"/>
          <w:szCs w:val="32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一、部门主要职能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32"/>
          <w:szCs w:val="32"/>
        </w:rPr>
        <w:t>（一）拟订并组织实施全市国民经济和社会发展战略、中长期规划和年度计划，统筹协调经济社会发展，研究分析国内外经济形势，提出市国民经济发展和优化重大经济结构的目标、政策，提出综合运用各种经济手段和政策的建议，受市政府委托向市人大提交全市国民经济和社会发展计划报告。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32"/>
          <w:szCs w:val="32"/>
        </w:rPr>
        <w:t>（二）负责监测全市宏观经济和社会发展态势，研究全市宏观经济运行、总量平衡、经济安全和总体产业安全等重要问题并提出宏观调控政策建议，负责协调解决经济运行中的重大问题，调节经济运行</w:t>
      </w:r>
    </w:p>
    <w:p>
      <w:pPr>
        <w:pStyle w:val="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承担指导推进和综合协调经济体制改革的责任，研究全市经济体制改革和对外开放的重大问题，组织拟订综合性经济体制改革方案，协调有关专项经济体制改革方案，会同有关部门搞好重要专项经济体制改革之间的衔接，指导经济体制改革试点和改革试验区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四）承担规划全市重大建设项目和生产力布局的责任，拟订全社会固定资产投资总规模和投资结构的调控目标、政策及措施，衔接平衡需要安排中央、省、市、县级财政性投资和涉及重大建设项目的专项规划。统筹安排县级财政性建设资金，按管理权限审批、核准、审核重大建设项目、重大外资项目、境外资源开发类重大投资项目和大额用汇投资项目。审查建设项目设计方案，核定工程概算，控制投资规模。负责全市全口径外债的总量控制、结构优化和监测工作，指导和监督全市国外贷款建设资金的使用，引导民间投资的方向，研究提出全市利用外资和境外投资的战略、规划、总量平衡和结构优化的目标和政</w:t>
      </w:r>
      <w:r>
        <w:rPr>
          <w:rFonts w:ascii="微软雅黑" w:hAnsi="微软雅黑" w:eastAsia="微软雅黑" w:cs="微软雅黑"/>
          <w:color w:val="333333"/>
          <w:spacing w:val="-20"/>
          <w:kern w:val="0"/>
          <w:szCs w:val="21"/>
          <w:shd w:val="clear" w:color="auto" w:fill="FFFFFF"/>
        </w:rPr>
        <w:t>策</w:t>
      </w:r>
      <w:r>
        <w:rPr>
          <w:rFonts w:ascii="微软雅黑" w:hAnsi="微软雅黑" w:eastAsia="微软雅黑" w:cs="微软雅黑"/>
          <w:b/>
          <w:bCs/>
          <w:color w:val="333333"/>
          <w:spacing w:val="-20"/>
          <w:kern w:val="0"/>
          <w:szCs w:val="21"/>
          <w:shd w:val="clear" w:color="auto" w:fill="FFFFFF"/>
        </w:rPr>
        <w:t>。</w:t>
      </w:r>
      <w:r>
        <w:rPr>
          <w:rFonts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组织开展全市重大建设项目稽察。指导全市工程咨询业发展。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五）推进经济结构战略性调整。组织拟订全市综合性产业政策，负责协调第一、二、三产业发展的重大问题并衔接平衡相关发展规划和重大政策，做好与全市国民经济和社会发展规划、计划的衔接平衡；协调全市农业和农村经济社会发展的重大问题，衔接农业、林业、水利、气象等专项规划和政策；会同有关部门拟订全市服务业发展战略和重大政策，拟订现代物流业发展战略、规划，组织拟订高技术产业发展、产业技术进步的战略、规划和重大政策，协调解决重大技术装备推广应用等方面的重大问题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六）承担组织编制全市主体功能区规划并协调实施和监测评估的责任，组织拟订全市区域协调发展的战略、规划和重大政策，研究提出全市城镇化发展战略和重大政策，安排以工代赈资金，组织实施以工代赈项目，负责全市区域经济协作的统筹协调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七）承担全市重要商品总量平衡和宏观调控的责任，编制外贸进出口发展规划和年度计划以及全市重要农产品、工业品和原材料进出口总量计划并监督执行，根据经济运行情况对进出口总量计划进行调整，拟订全市战略物资储备规划，负责组织战略物资的收储、动用、轮换和管理，会同有关部门管理国家粮食、棉花和食糖等储备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（八）负责全市社会发展与国民经济发展的政策衔接，组织拟大问题及政策。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九）推进全市可持续发展战略，负责节能减排的综合协调和全市应对气候变化工作，组织拟订发展循环经济、全社会能源资源节约和综合利用规划及政策措施并协调实施，参与编制生态建设、环境保护规划，协调生态建设、能源资源节约和综合利用的重大问题，综合协调环保产业和清洁生产促进有关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（十）起草全市国民经济和社会发展、经济体制改革和对外开放的有关规范性文件。指导和协调全市招标投标工作。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（十一）组织编制全市国民经济动员规划、计划，研究国民经济动员与国民经济、国防建设的关系，协调相关重大问题，组织实施国民经济动员有关工作。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二）会同有关部门研究提出年度市重点建设项目和申报列为省、市重点建设项目的名单；接受省、市重点办的指导，协助做好省、市重点建设项目的协调和服务工作；检查市重点建设项目开工条件的具备情况，审查项目的开工报告；会同有关部门做好项目的征地拆迁等开工前准备工作；监督和检查省、市、县重点建设项目计划执行情况，协调解决建设中的问题；管理市重点建设项目的招标投标工作；检查督促市重点建设项目的项目法人责任制、工程招标投标制、工程监理制及合同管理制的落实；配合有关部门对市重点建设项目的工程质量、工程进度和资金使用情况进行监督检查；参与市重点建设项目可行性研究、初步设计审查、概算调整、竣工验收、竣工后评价和审计工作；草拟与市重点建设项目有关的规范性文件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微软雅黑" w:hAnsi="微软雅黑" w:eastAsia="微软雅黑" w:cs="微软雅黑"/>
          <w:color w:val="333333"/>
          <w:sz w:val="24"/>
          <w:szCs w:val="24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（十三） 负责成品油（石油）、天然气、电力、新能源和可再生能源等能源的行业管理，组织实施有关能源行业标准；按国家、省政府和市政府规定权限，审批、核准、审核规划内和年度计划规模内能源固定资产投资项目；依法管理供电营业区划分工作</w:t>
      </w:r>
      <w:r>
        <w:rPr>
          <w:rFonts w:hint="eastAsia" w:ascii="微软雅黑" w:hAnsi="微软雅黑" w:eastAsia="微软雅黑" w:cs="微软雅黑"/>
          <w:color w:val="333333"/>
          <w:kern w:val="0"/>
          <w:szCs w:val="21"/>
          <w:shd w:val="clear" w:color="auto" w:fill="FFFFFF"/>
        </w:rPr>
        <w:t>,</w:t>
      </w: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负责能源行政执法与执法监督等工作；按规定对成品油进行管理（不含成品油流通监督管理）；按规定权限核准或审核能源外商投资项目和境外重大投资项目。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333333"/>
          <w:kern w:val="0"/>
          <w:sz w:val="32"/>
          <w:szCs w:val="32"/>
          <w:shd w:val="clear" w:color="auto" w:fill="FFFFFF"/>
        </w:rPr>
        <w:t>（十四）承办市政府交办的其他工作。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二、部门基本情况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纳入本套部门决算汇编范围的单位共1个。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本部门2018年年末编制人数20人，其中行政编制11人，事业编制 9人；年末实有人数19人，其中在职人员19人，离休人员0人，退休人员8人。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  2018年度部门决算表</w:t>
      </w: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  <w:r>
        <w:rPr>
          <w:rFonts w:hint="eastAsia"/>
          <w:szCs w:val="30"/>
        </w:rPr>
        <w:drawing>
          <wp:inline distT="0" distB="0" distL="114300" distR="114300">
            <wp:extent cx="5271135" cy="4554855"/>
            <wp:effectExtent l="0" t="0" r="5715" b="17145"/>
            <wp:docPr id="3" name="图片 3" descr="15735337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7353378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55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267960" cy="2230120"/>
            <wp:effectExtent l="0" t="0" r="8890" b="17780"/>
            <wp:docPr id="4" name="图片 4" descr="15735338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7353384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270500" cy="2550795"/>
            <wp:effectExtent l="0" t="0" r="6350" b="1905"/>
            <wp:docPr id="6" name="图片 6" descr="15735339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7353391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271770" cy="3915410"/>
            <wp:effectExtent l="0" t="0" r="5080" b="8890"/>
            <wp:docPr id="7" name="图片 7" descr="157353400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573534004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91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269230" cy="3742690"/>
            <wp:effectExtent l="0" t="0" r="7620" b="10160"/>
            <wp:docPr id="10" name="图片 10" descr="15735340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73534092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095875" cy="7239000"/>
            <wp:effectExtent l="0" t="0" r="9525" b="0"/>
            <wp:docPr id="12" name="图片 12" descr="157353451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573534514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23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center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rPr>
          <w:rFonts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drawing>
          <wp:inline distT="0" distB="0" distL="114300" distR="114300">
            <wp:extent cx="5273675" cy="4836160"/>
            <wp:effectExtent l="0" t="0" r="3175" b="2540"/>
            <wp:docPr id="13" name="图片 13" descr="15735345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73534597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83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>
      <w:pPr>
        <w:widowControl/>
        <w:spacing w:line="600" w:lineRule="exact"/>
        <w:rPr>
          <w:rFonts w:ascii="宋体" w:hAnsi="宋体"/>
          <w:b/>
          <w:sz w:val="32"/>
          <w:szCs w:val="32"/>
        </w:rPr>
      </w:pPr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第三部分  2018年度部门决算情况说明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>
      <w:pPr>
        <w:ind w:firstLine="630"/>
        <w:jc w:val="left"/>
        <w:rPr>
          <w:rFonts w:ascii="仿宋" w:hAnsi="仿宋" w:eastAsia="仿宋_GB2312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本部门2018年度收入总计663.6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万元，其中年初结转和结余</w:t>
      </w:r>
      <w:r>
        <w:rPr>
          <w:rFonts w:hint="eastAsia" w:ascii="仿宋" w:hAnsi="仿宋" w:eastAsia="仿宋"/>
          <w:sz w:val="32"/>
          <w:szCs w:val="32"/>
        </w:rPr>
        <w:t>361.15</w:t>
      </w:r>
      <w:r>
        <w:rPr>
          <w:rFonts w:hint="eastAsia" w:ascii="仿宋" w:hAnsi="仿宋" w:eastAsia="仿宋"/>
          <w:sz w:val="30"/>
          <w:szCs w:val="30"/>
        </w:rPr>
        <w:t>万元，较2017年减少1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48万元，下降2.19%；本年收入合计302.5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万元，较2017年减少69.86元，下降18.76  %，主要原因是：</w:t>
      </w:r>
      <w:r>
        <w:rPr>
          <w:rFonts w:hint="eastAsia" w:ascii="仿宋_GB2312" w:hAnsi="仿宋" w:eastAsia="仿宋_GB2312"/>
          <w:sz w:val="32"/>
          <w:szCs w:val="32"/>
        </w:rPr>
        <w:t>财政拨款减少。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本年收入的具体构成为：财政拨款收入302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 xml:space="preserve">万元，占100%；事业收入 0万元，经营收入 0万元，其他收入0万元。  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本部门2018年度支出总计663.6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万元，其中本年支出合计395.88</w:t>
      </w:r>
      <w:r>
        <w:rPr>
          <w:rFonts w:hint="eastAsia" w:ascii="仿宋" w:hAnsi="仿宋" w:eastAsia="仿宋"/>
          <w:sz w:val="30"/>
          <w:szCs w:val="30"/>
          <w:lang w:eastAsia="zh-CN"/>
        </w:rPr>
        <w:t>万</w:t>
      </w:r>
      <w:r>
        <w:rPr>
          <w:rFonts w:hint="eastAsia" w:ascii="仿宋" w:hAnsi="仿宋" w:eastAsia="仿宋"/>
          <w:sz w:val="30"/>
          <w:szCs w:val="30"/>
        </w:rPr>
        <w:t>元，较2017年增加78.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50</w:t>
      </w:r>
      <w:r>
        <w:rPr>
          <w:rFonts w:hint="eastAsia" w:ascii="仿宋" w:hAnsi="仿宋" w:eastAsia="仿宋"/>
          <w:sz w:val="30"/>
          <w:szCs w:val="30"/>
        </w:rPr>
        <w:t>万元，增长24.73 %，主要原因是：人员工资及奖励资金增加，支持村建力度加大；年末结转和结余267.8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万元，较2017年减少93.3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万元，下降25.85%，主要原因是：年末结转大部分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支付</w:t>
      </w:r>
      <w:r>
        <w:rPr>
          <w:rFonts w:hint="eastAsia" w:ascii="仿宋" w:hAnsi="仿宋" w:eastAsia="仿宋"/>
          <w:sz w:val="30"/>
          <w:szCs w:val="30"/>
        </w:rPr>
        <w:t>退耕还林项目。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本年支出的具体构成为：基本支出310.66万元，占78.47%；项目支出85.22万元，占21.53 %。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本部门2018年度财政拨款本年支出年初预算数396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9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万元，决算数为395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88万元，完成年初预算的99.73 %。其中：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（一）一般公共服务支出年初预算数为358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78万元，决算数为277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33万元，完成年初预算的77.3%。主要原因是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:执行部门预算。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(二）社会保障和就业支出年初预算数4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，决算数为33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万元，完成年初预算的782%，主要原因是：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预算不准确，</w:t>
      </w:r>
      <w:r>
        <w:rPr>
          <w:rFonts w:hint="eastAsia" w:ascii="仿宋" w:hAnsi="仿宋" w:eastAsia="仿宋"/>
          <w:sz w:val="30"/>
          <w:szCs w:val="30"/>
        </w:rPr>
        <w:t>社会保障支出有增加。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(三）节能环保支出年初预算数33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9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，决算数为85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22万元，完成年初预算的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251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退耕还林专项资金支出。</w:t>
      </w:r>
    </w:p>
    <w:p>
      <w:pPr>
        <w:ind w:firstLine="585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本部门2018年度一般公共预算财政拨款基本支310.66万元，其中：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（一）工资福利支出226.0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万元，较2017年减少3.5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万元，下降1.57%，主要原因是：在职人员到龄退休。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（二）商品和服务支出75.41万元，较2017年减少1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万元，下降 1.63 %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厉行节约。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（三）对个人和家庭补助支出3.9万元，较2017年减少6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万元，下降61.69%，主要原因是：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住房公积金已归入工资福利支出统计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（四）资本性支出5.34万元，较2017年增加4.35万元，增长439 %，主要原因是：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办公设备更新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本部门2018年度一般公共预算财政拨款“三公”经费支出年初预算数为12.5万元，决算数为3.7353万元，完成预算的29.88%，决算数较2017年减少0.5661万元，下降13.16 %，其中：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（一）公务接待费支出年初预算数为12.5万元，决算数为3.7353万元，完成预算的29.88%，决算数较2017年减少0.5661  万元，下降13.16 %。决算数较年初预算数减少的主要原因是：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严格遵守公务接待开支范围和开支标准，严格控制陪餐人数。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>
      <w:pPr>
        <w:ind w:firstLine="60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本部门2018年度机关运行经费支出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310.66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6.72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下降</w:t>
      </w:r>
      <w:r>
        <w:rPr>
          <w:rFonts w:hint="eastAsia" w:ascii="仿宋_GB2312" w:eastAsia="仿宋_GB2312"/>
          <w:sz w:val="32"/>
          <w:szCs w:val="32"/>
        </w:rPr>
        <w:t>0.4%。包括：工资福利支出226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01万元，其中：基本工资80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01万元，较上年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4.74</w:t>
      </w:r>
      <w:r>
        <w:rPr>
          <w:rFonts w:hint="eastAsia" w:ascii="仿宋_GB2312" w:eastAsia="仿宋_GB2312"/>
          <w:sz w:val="32"/>
          <w:szCs w:val="32"/>
        </w:rPr>
        <w:t>万元；津贴50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万元，较上年减少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26.08</w:t>
      </w:r>
      <w:r>
        <w:rPr>
          <w:rFonts w:hint="eastAsia" w:ascii="仿宋_GB2312" w:eastAsia="仿宋_GB2312"/>
          <w:sz w:val="32"/>
          <w:szCs w:val="32"/>
        </w:rPr>
        <w:t>万元；奖金52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38万元，较上年增加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9.59</w:t>
      </w:r>
      <w:r>
        <w:rPr>
          <w:rFonts w:hint="eastAsia" w:ascii="仿宋_GB2312" w:eastAsia="仿宋_GB2312"/>
          <w:sz w:val="32"/>
          <w:szCs w:val="32"/>
        </w:rPr>
        <w:t>万元；基本医疗费33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21万元，其他社会保障缴费1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万元，住房公积金5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96</w:t>
      </w:r>
      <w:r>
        <w:rPr>
          <w:rFonts w:hint="eastAsia" w:ascii="仿宋_GB2312" w:eastAsia="仿宋_GB2312"/>
          <w:sz w:val="32"/>
          <w:szCs w:val="32"/>
          <w:lang w:eastAsia="zh-CN"/>
        </w:rPr>
        <w:t>万元，较上年减少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3.36万元；</w:t>
      </w:r>
      <w:r>
        <w:rPr>
          <w:rFonts w:hint="eastAsia" w:ascii="仿宋_GB2312" w:eastAsia="仿宋_GB2312"/>
          <w:sz w:val="32"/>
          <w:szCs w:val="32"/>
        </w:rPr>
        <w:t>医疗费2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万元；</w:t>
      </w:r>
      <w:r>
        <w:rPr>
          <w:rFonts w:hint="eastAsia" w:ascii="仿宋_GB2312" w:eastAsia="仿宋_GB2312"/>
          <w:sz w:val="32"/>
          <w:szCs w:val="32"/>
        </w:rPr>
        <w:t>其他工资福利支出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3.9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6.28万元</w:t>
      </w:r>
      <w:r>
        <w:rPr>
          <w:rFonts w:hint="eastAsia" w:ascii="仿宋_GB2312" w:eastAsia="仿宋_GB2312"/>
          <w:sz w:val="32"/>
          <w:szCs w:val="32"/>
        </w:rPr>
        <w:t>。商品和服务支出75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41万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元，其中：办公费11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51万元，较上年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</w:rPr>
        <w:t>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</w:t>
      </w:r>
      <w:r>
        <w:rPr>
          <w:rFonts w:hint="eastAsia" w:ascii="仿宋_GB2312" w:eastAsia="仿宋_GB2312"/>
          <w:sz w:val="32"/>
          <w:szCs w:val="32"/>
        </w:rPr>
        <w:t>万元；印刷费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万元，比上年增加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0.22万元</w:t>
      </w:r>
      <w:r>
        <w:rPr>
          <w:rFonts w:hint="eastAsia" w:ascii="仿宋_GB2312" w:eastAsia="仿宋_GB2312"/>
          <w:sz w:val="32"/>
          <w:szCs w:val="32"/>
        </w:rPr>
        <w:t>；邮电费2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0.35</w:t>
      </w:r>
      <w:r>
        <w:rPr>
          <w:rFonts w:hint="eastAsia" w:ascii="仿宋_GB2312" w:eastAsia="仿宋_GB2312"/>
          <w:sz w:val="32"/>
          <w:szCs w:val="32"/>
        </w:rPr>
        <w:t>万元；差旅费5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0.52</w:t>
      </w:r>
      <w:r>
        <w:rPr>
          <w:rFonts w:hint="eastAsia" w:ascii="仿宋_GB2312" w:eastAsia="仿宋_GB2312"/>
          <w:sz w:val="32"/>
          <w:szCs w:val="32"/>
        </w:rPr>
        <w:t>万元；维修费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</w:t>
      </w:r>
      <w:r>
        <w:rPr>
          <w:rFonts w:hint="eastAsia" w:ascii="仿宋_GB2312" w:eastAsia="仿宋_GB2312"/>
          <w:sz w:val="32"/>
          <w:szCs w:val="32"/>
        </w:rPr>
        <w:t>26万元，较上年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0.25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公务接待费3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0.57</w:t>
      </w:r>
      <w:r>
        <w:rPr>
          <w:rFonts w:hint="eastAsia" w:ascii="仿宋_GB2312" w:eastAsia="仿宋_GB2312"/>
          <w:sz w:val="32"/>
          <w:szCs w:val="32"/>
        </w:rPr>
        <w:t>万元；劳务费18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12.94</w:t>
      </w:r>
      <w:r>
        <w:rPr>
          <w:rFonts w:hint="eastAsia" w:ascii="仿宋_GB2312" w:eastAsia="仿宋_GB2312"/>
          <w:sz w:val="32"/>
          <w:szCs w:val="32"/>
        </w:rPr>
        <w:t>万元；工会经费6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06万元，较上年增加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2.01</w:t>
      </w:r>
      <w:r>
        <w:rPr>
          <w:rFonts w:hint="eastAsia" w:ascii="仿宋_GB2312" w:eastAsia="仿宋_GB2312"/>
          <w:sz w:val="32"/>
          <w:szCs w:val="32"/>
        </w:rPr>
        <w:t>万元；福利费7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.6</w:t>
      </w:r>
      <w:r>
        <w:rPr>
          <w:rFonts w:hint="eastAsia" w:ascii="仿宋_GB2312" w:eastAsia="仿宋_GB2312"/>
          <w:sz w:val="32"/>
          <w:szCs w:val="32"/>
        </w:rPr>
        <w:t>万元，较上年增加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1.98</w:t>
      </w:r>
      <w:r>
        <w:rPr>
          <w:rFonts w:hint="eastAsia" w:ascii="仿宋_GB2312" w:eastAsia="仿宋_GB2312"/>
          <w:sz w:val="32"/>
          <w:szCs w:val="32"/>
        </w:rPr>
        <w:t>万元；其他交通费用7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5.75</w:t>
      </w:r>
      <w:r>
        <w:rPr>
          <w:rFonts w:hint="eastAsia" w:ascii="仿宋_GB2312" w:eastAsia="仿宋_GB2312"/>
          <w:sz w:val="32"/>
          <w:szCs w:val="32"/>
        </w:rPr>
        <w:t>万元；其他商服支出11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万元，较上年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9.98万元。资本性支出5.34万元，较上年增加4.35万元。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>
      <w:pPr>
        <w:pStyle w:val="10"/>
        <w:spacing w:line="600" w:lineRule="atLeast"/>
        <w:ind w:firstLine="6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 xml:space="preserve">本部门2018年度政府采购支出总额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sz w:val="30"/>
          <w:szCs w:val="30"/>
        </w:rPr>
        <w:t>中：政府采购货物支出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万元、政府采购工程支出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万元、政府采购服务支出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八、国有资产占用情况说明。</w:t>
      </w:r>
    </w:p>
    <w:p>
      <w:pPr>
        <w:ind w:firstLine="630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截止2018年12月31日，本部门共有车辆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辆，其中，副部（省）级及以上领导用车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辆、主要领导干部用车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辆、机要通信用车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辆、应急保障用车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辆、执法执勤用车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辆、特种专业技术用车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辆、其他用车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辆，单位价值50万元以上通用设备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台（套）；单位价值100万元以上专用设备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 xml:space="preserve">    无</w:t>
      </w:r>
    </w:p>
    <w:p/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pStyle w:val="10"/>
        <w:spacing w:line="600" w:lineRule="atLeast"/>
        <w:ind w:firstLine="600"/>
        <w:rPr>
          <w:rFonts w:ascii="仿宋" w:hAnsi="仿宋" w:eastAsia="仿宋"/>
          <w:sz w:val="30"/>
          <w:szCs w:val="30"/>
        </w:rPr>
      </w:pPr>
    </w:p>
    <w:p>
      <w:pPr>
        <w:rPr>
          <w:rFonts w:eastAsia="仿宋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无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5526B0"/>
    <w:rsid w:val="00851A72"/>
    <w:rsid w:val="008C0C94"/>
    <w:rsid w:val="008D4E09"/>
    <w:rsid w:val="00E24059"/>
    <w:rsid w:val="00F2454C"/>
    <w:rsid w:val="019D3199"/>
    <w:rsid w:val="01B13EBA"/>
    <w:rsid w:val="01EB4023"/>
    <w:rsid w:val="03015055"/>
    <w:rsid w:val="05232AC5"/>
    <w:rsid w:val="06F61ACE"/>
    <w:rsid w:val="0A663F09"/>
    <w:rsid w:val="0B7828DA"/>
    <w:rsid w:val="0BDF06F5"/>
    <w:rsid w:val="0CE4702F"/>
    <w:rsid w:val="0DAD591A"/>
    <w:rsid w:val="11B42586"/>
    <w:rsid w:val="12255C91"/>
    <w:rsid w:val="12902F31"/>
    <w:rsid w:val="148A2E7A"/>
    <w:rsid w:val="18F25A03"/>
    <w:rsid w:val="1A586383"/>
    <w:rsid w:val="1BC11F00"/>
    <w:rsid w:val="1C112B30"/>
    <w:rsid w:val="1C411E85"/>
    <w:rsid w:val="1C513025"/>
    <w:rsid w:val="2380258A"/>
    <w:rsid w:val="23C4112B"/>
    <w:rsid w:val="23DC2372"/>
    <w:rsid w:val="23FF7508"/>
    <w:rsid w:val="24B5525C"/>
    <w:rsid w:val="253B7D84"/>
    <w:rsid w:val="28871443"/>
    <w:rsid w:val="2A1662E9"/>
    <w:rsid w:val="2AC828BE"/>
    <w:rsid w:val="2AD41D57"/>
    <w:rsid w:val="2BF9735A"/>
    <w:rsid w:val="2CF378B3"/>
    <w:rsid w:val="2E440B46"/>
    <w:rsid w:val="2ECE1994"/>
    <w:rsid w:val="30F56798"/>
    <w:rsid w:val="322E548D"/>
    <w:rsid w:val="32344E68"/>
    <w:rsid w:val="323D52CD"/>
    <w:rsid w:val="3255405B"/>
    <w:rsid w:val="372C19F7"/>
    <w:rsid w:val="394B251B"/>
    <w:rsid w:val="3A94604E"/>
    <w:rsid w:val="3B212E25"/>
    <w:rsid w:val="3C3E2EBC"/>
    <w:rsid w:val="3DE735D5"/>
    <w:rsid w:val="3E7661E7"/>
    <w:rsid w:val="40865783"/>
    <w:rsid w:val="44D447A1"/>
    <w:rsid w:val="450D2C41"/>
    <w:rsid w:val="45244336"/>
    <w:rsid w:val="45FB014D"/>
    <w:rsid w:val="46816B91"/>
    <w:rsid w:val="47DC5ECA"/>
    <w:rsid w:val="48A502B4"/>
    <w:rsid w:val="496A48FB"/>
    <w:rsid w:val="4A3D4D5C"/>
    <w:rsid w:val="4A531A32"/>
    <w:rsid w:val="4A577E4A"/>
    <w:rsid w:val="4AB62998"/>
    <w:rsid w:val="4BBA7322"/>
    <w:rsid w:val="4E223B16"/>
    <w:rsid w:val="4EEB6F9E"/>
    <w:rsid w:val="4F863C3F"/>
    <w:rsid w:val="4FC27D1C"/>
    <w:rsid w:val="51814839"/>
    <w:rsid w:val="53C90C80"/>
    <w:rsid w:val="53FB6FB2"/>
    <w:rsid w:val="56F60E40"/>
    <w:rsid w:val="57A3656F"/>
    <w:rsid w:val="5A0C3EAA"/>
    <w:rsid w:val="5BE245C2"/>
    <w:rsid w:val="5CF61008"/>
    <w:rsid w:val="5DEB12FB"/>
    <w:rsid w:val="5F3D2B96"/>
    <w:rsid w:val="602C3818"/>
    <w:rsid w:val="61363030"/>
    <w:rsid w:val="61DC06CB"/>
    <w:rsid w:val="63B8403F"/>
    <w:rsid w:val="661D3224"/>
    <w:rsid w:val="67946EF8"/>
    <w:rsid w:val="68FB5D51"/>
    <w:rsid w:val="69A10597"/>
    <w:rsid w:val="6A1B7BB6"/>
    <w:rsid w:val="6A415A55"/>
    <w:rsid w:val="6A6F115C"/>
    <w:rsid w:val="6BDE000E"/>
    <w:rsid w:val="6C2C7585"/>
    <w:rsid w:val="6D1D1989"/>
    <w:rsid w:val="6FF6151C"/>
    <w:rsid w:val="6FF83E36"/>
    <w:rsid w:val="74CB64B5"/>
    <w:rsid w:val="74CD4B75"/>
    <w:rsid w:val="75206FA1"/>
    <w:rsid w:val="77F55239"/>
    <w:rsid w:val="79251166"/>
    <w:rsid w:val="7B3C034E"/>
    <w:rsid w:val="7C542F2C"/>
    <w:rsid w:val="7C9025FD"/>
    <w:rsid w:val="7D620ED7"/>
    <w:rsid w:val="7DA41F48"/>
    <w:rsid w:val="7F9A77B1"/>
    <w:rsid w:val="7FFF3B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FollowedHyperlink"/>
    <w:basedOn w:val="7"/>
    <w:qFormat/>
    <w:uiPriority w:val="0"/>
    <w:rPr>
      <w:color w:val="333333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after"/>
    <w:basedOn w:val="7"/>
    <w:uiPriority w:val="0"/>
    <w:rPr>
      <w:sz w:val="21"/>
      <w:szCs w:val="21"/>
    </w:rPr>
  </w:style>
  <w:style w:type="character" w:customStyle="1" w:styleId="15">
    <w:name w:val="after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3834</Words>
  <Characters>849</Characters>
  <Lines>7</Lines>
  <Paragraphs>9</Paragraphs>
  <TotalTime>43</TotalTime>
  <ScaleCrop>false</ScaleCrop>
  <LinksUpToDate>false</LinksUpToDate>
  <CharactersWithSpaces>4674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2019-11-06T01:30:00Z</dcterms:created>
  <dc:creator>子祁</dc:creator>
  <cp:lastModifiedBy>子祁</cp:lastModifiedBy>
  <dcterms:modified xsi:type="dcterms:W3CDTF">2019-11-15T03:01:00Z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