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44"/>
          <w:szCs w:val="36"/>
        </w:rPr>
      </w:pPr>
      <w:r>
        <w:rPr>
          <w:rFonts w:hint="eastAsia" w:ascii="黑体" w:eastAsia="黑体"/>
          <w:sz w:val="44"/>
          <w:szCs w:val="36"/>
          <w:lang w:eastAsia="zh-CN"/>
        </w:rPr>
        <w:t>庐山市公安局</w:t>
      </w:r>
      <w:r>
        <w:rPr>
          <w:rFonts w:hint="eastAsia" w:ascii="黑体" w:eastAsia="黑体"/>
          <w:sz w:val="44"/>
          <w:szCs w:val="36"/>
        </w:rPr>
        <w:t>201</w:t>
      </w:r>
      <w:r>
        <w:rPr>
          <w:rFonts w:hint="eastAsia" w:ascii="黑体" w:eastAsia="黑体"/>
          <w:sz w:val="44"/>
          <w:szCs w:val="36"/>
          <w:lang w:val="en-US" w:eastAsia="zh-CN"/>
        </w:rPr>
        <w:t>8</w:t>
      </w:r>
      <w:r>
        <w:rPr>
          <w:rFonts w:hint="eastAsia" w:ascii="黑体" w:eastAsia="黑体"/>
          <w:sz w:val="44"/>
          <w:szCs w:val="36"/>
        </w:rPr>
        <w:t>年部门决算</w:t>
      </w:r>
    </w:p>
    <w:p>
      <w:pPr>
        <w:spacing w:line="600" w:lineRule="exact"/>
        <w:jc w:val="center"/>
        <w:rPr>
          <w:rFonts w:hint="eastAsia" w:ascii="黑体" w:eastAsia="黑体"/>
          <w:sz w:val="40"/>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spacing w:line="600" w:lineRule="exact"/>
        <w:jc w:val="center"/>
        <w:rPr>
          <w:rFonts w:hint="eastAsia" w:ascii="黑体" w:eastAsia="黑体"/>
          <w:sz w:val="40"/>
          <w:szCs w:val="36"/>
        </w:rPr>
      </w:pPr>
    </w:p>
    <w:p>
      <w:pPr>
        <w:widowControl/>
        <w:spacing w:line="600" w:lineRule="exact"/>
        <w:ind w:firstLine="640"/>
        <w:jc w:val="left"/>
        <w:rPr>
          <w:rFonts w:hint="eastAsia" w:ascii="黑体" w:hAnsi="黑体" w:eastAsia="黑体"/>
          <w:b w:val="0"/>
          <w:bCs/>
          <w:sz w:val="32"/>
          <w:szCs w:val="32"/>
        </w:rPr>
      </w:pPr>
      <w:r>
        <w:rPr>
          <w:rFonts w:hint="eastAsia" w:ascii="黑体" w:hAnsi="黑体" w:eastAsia="黑体"/>
          <w:b w:val="0"/>
          <w:bCs/>
          <w:sz w:val="32"/>
          <w:szCs w:val="32"/>
        </w:rPr>
        <w:t xml:space="preserve">第一部分  </w:t>
      </w:r>
      <w:r>
        <w:rPr>
          <w:rFonts w:hint="eastAsia" w:ascii="黑体" w:hAnsi="黑体" w:eastAsia="黑体"/>
          <w:b w:val="0"/>
          <w:bCs/>
          <w:sz w:val="32"/>
          <w:szCs w:val="32"/>
          <w:lang w:eastAsia="zh-CN"/>
        </w:rPr>
        <w:t>庐山市公安局</w:t>
      </w:r>
      <w:r>
        <w:rPr>
          <w:rFonts w:hint="eastAsia" w:ascii="黑体" w:hAnsi="黑体" w:eastAsia="黑体"/>
          <w:b w:val="0"/>
          <w:bCs/>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ind w:firstLine="640" w:firstLineChars="200"/>
        <w:jc w:val="left"/>
        <w:rPr>
          <w:rFonts w:hint="eastAsia" w:ascii="黑体" w:hAnsi="黑体" w:eastAsia="黑体"/>
          <w:sz w:val="32"/>
          <w:szCs w:val="32"/>
        </w:rPr>
      </w:pP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ascii="仿宋" w:hAnsi="仿宋" w:eastAsia="仿宋"/>
          <w:sz w:val="32"/>
          <w:szCs w:val="30"/>
        </w:rPr>
      </w:pPr>
      <w:r>
        <w:rPr>
          <w:rFonts w:hint="eastAsia" w:ascii="仿宋" w:hAnsi="仿宋" w:eastAsia="仿宋"/>
          <w:sz w:val="32"/>
          <w:szCs w:val="30"/>
        </w:rPr>
        <w:t xml:space="preserve">    </w:t>
      </w:r>
      <w:r>
        <w:rPr>
          <w:rFonts w:hint="eastAsia" w:ascii="黑体" w:hAnsi="黑体" w:eastAsia="黑体"/>
          <w:sz w:val="32"/>
          <w:szCs w:val="32"/>
        </w:rPr>
        <w:t>第四部分  名词解释</w:t>
      </w: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600" w:lineRule="exact"/>
        <w:ind w:firstLine="640"/>
        <w:jc w:val="left"/>
        <w:rPr>
          <w:rFonts w:hint="eastAsia" w:ascii="仿宋" w:hAnsi="仿宋" w:eastAsia="仿宋" w:cs="宋体"/>
          <w:kern w:val="0"/>
          <w:sz w:val="32"/>
          <w:szCs w:val="32"/>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rPr>
        <w:t>部门</w:t>
      </w:r>
      <w:r>
        <w:rPr>
          <w:rFonts w:hint="eastAsia" w:ascii="宋体" w:hAnsi="宋体"/>
          <w:b/>
          <w:sz w:val="32"/>
          <w:szCs w:val="30"/>
        </w:rPr>
        <w:t>概况</w:t>
      </w: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ind w:firstLine="640" w:firstLineChars="200"/>
        <w:rPr>
          <w:rFonts w:hint="eastAsia" w:ascii="仿宋_GB2312" w:eastAsia="仿宋_GB2312"/>
          <w:sz w:val="32"/>
          <w:szCs w:val="32"/>
        </w:rPr>
      </w:pPr>
      <w:r>
        <w:rPr>
          <w:rFonts w:hint="eastAsia" w:ascii="仿宋_GB2312" w:hAnsi="宋体" w:eastAsia="仿宋_GB2312"/>
          <w:sz w:val="32"/>
          <w:szCs w:val="32"/>
          <w:lang w:eastAsia="zh-CN"/>
        </w:rPr>
        <w:t>庐山市</w:t>
      </w:r>
      <w:r>
        <w:rPr>
          <w:rFonts w:hint="eastAsia" w:ascii="仿宋_GB2312" w:hAnsi="宋体" w:eastAsia="仿宋_GB2312"/>
          <w:sz w:val="32"/>
          <w:szCs w:val="32"/>
        </w:rPr>
        <w:t>公安局是</w:t>
      </w:r>
      <w:r>
        <w:rPr>
          <w:rFonts w:hint="eastAsia" w:ascii="仿宋_GB2312" w:hAnsi="宋体" w:eastAsia="仿宋_GB2312"/>
          <w:sz w:val="32"/>
          <w:szCs w:val="32"/>
          <w:lang w:eastAsia="zh-CN"/>
        </w:rPr>
        <w:t>市</w:t>
      </w:r>
      <w:r>
        <w:rPr>
          <w:rFonts w:hint="eastAsia" w:ascii="仿宋_GB2312" w:hAnsi="宋体" w:eastAsia="仿宋_GB2312"/>
          <w:sz w:val="32"/>
          <w:szCs w:val="32"/>
        </w:rPr>
        <w:t>政府主管全</w:t>
      </w:r>
      <w:r>
        <w:rPr>
          <w:rFonts w:hint="eastAsia" w:ascii="仿宋_GB2312" w:hAnsi="宋体" w:eastAsia="仿宋_GB2312"/>
          <w:sz w:val="32"/>
          <w:szCs w:val="32"/>
          <w:lang w:eastAsia="zh-CN"/>
        </w:rPr>
        <w:t>市</w:t>
      </w:r>
      <w:r>
        <w:rPr>
          <w:rFonts w:hint="eastAsia" w:ascii="仿宋_GB2312" w:hAnsi="宋体" w:eastAsia="仿宋_GB2312"/>
          <w:sz w:val="32"/>
          <w:szCs w:val="32"/>
        </w:rPr>
        <w:t>公安工作的职能部门，领导、管理全</w:t>
      </w:r>
      <w:r>
        <w:rPr>
          <w:rFonts w:hint="eastAsia" w:ascii="仿宋_GB2312" w:hAnsi="宋体" w:eastAsia="仿宋_GB2312"/>
          <w:sz w:val="32"/>
          <w:szCs w:val="32"/>
          <w:lang w:eastAsia="zh-CN"/>
        </w:rPr>
        <w:t>市</w:t>
      </w:r>
      <w:r>
        <w:rPr>
          <w:rFonts w:hint="eastAsia" w:ascii="仿宋_GB2312" w:hAnsi="宋体" w:eastAsia="仿宋_GB2312"/>
          <w:sz w:val="32"/>
          <w:szCs w:val="32"/>
        </w:rPr>
        <w:t>范围内的公安工</w:t>
      </w:r>
      <w:r>
        <w:rPr>
          <w:rFonts w:hint="eastAsia" w:ascii="仿宋_GB2312" w:hAnsi="仿宋_GB2312" w:eastAsia="仿宋_GB2312"/>
          <w:sz w:val="32"/>
          <w:szCs w:val="32"/>
        </w:rPr>
        <w:t>作，主要任务是</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"http://baike.baidu.com/view/2257669.htm"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维护国家安全</w:t>
      </w:r>
      <w:r>
        <w:rPr>
          <w:rFonts w:hint="eastAsia" w:ascii="仿宋_GB2312" w:hAnsi="仿宋_GB2312" w:eastAsia="仿宋_GB2312"/>
          <w:color w:val="000000"/>
          <w:sz w:val="32"/>
          <w:szCs w:val="32"/>
        </w:rPr>
        <w:fldChar w:fldCharType="end"/>
      </w:r>
      <w:r>
        <w:rPr>
          <w:rFonts w:hint="eastAsia" w:ascii="仿宋_GB2312" w:hAnsi="仿宋_GB2312" w:eastAsia="仿宋_GB2312"/>
          <w:color w:val="000000"/>
          <w:sz w:val="32"/>
          <w:szCs w:val="32"/>
        </w:rPr>
        <w:t>，维护社会治安秩序，保护公民的人身安全、</w:t>
      </w:r>
      <w:r>
        <w:rPr>
          <w:rFonts w:hint="eastAsia" w:ascii="仿宋_GB2312" w:hAnsi="仿宋_GB2312" w:eastAsia="仿宋_GB2312"/>
          <w:color w:val="000000"/>
          <w:sz w:val="32"/>
          <w:szCs w:val="32"/>
        </w:rPr>
        <w:fldChar w:fldCharType="begin"/>
      </w:r>
      <w:r>
        <w:rPr>
          <w:rFonts w:hint="eastAsia" w:ascii="仿宋_GB2312" w:hAnsi="仿宋_GB2312" w:eastAsia="仿宋_GB2312"/>
          <w:color w:val="000000"/>
          <w:sz w:val="32"/>
          <w:szCs w:val="32"/>
        </w:rPr>
        <w:instrText xml:space="preserve"> HYPERLINK "http://baike.baidu.com/view/46899.htm" \t "_blank" </w:instrText>
      </w:r>
      <w:r>
        <w:rPr>
          <w:rFonts w:hint="eastAsia" w:ascii="仿宋_GB2312" w:hAnsi="仿宋_GB2312" w:eastAsia="仿宋_GB2312"/>
          <w:color w:val="000000"/>
          <w:sz w:val="32"/>
          <w:szCs w:val="32"/>
        </w:rPr>
        <w:fldChar w:fldCharType="separate"/>
      </w:r>
      <w:r>
        <w:rPr>
          <w:rFonts w:hint="eastAsia" w:ascii="仿宋_GB2312" w:hAnsi="仿宋_GB2312" w:eastAsia="仿宋_GB2312"/>
          <w:color w:val="000000"/>
          <w:sz w:val="32"/>
          <w:szCs w:val="32"/>
        </w:rPr>
        <w:t>人身自由</w:t>
      </w:r>
      <w:r>
        <w:rPr>
          <w:rFonts w:hint="eastAsia" w:ascii="仿宋_GB2312" w:hAnsi="仿宋_GB2312" w:eastAsia="仿宋_GB2312"/>
          <w:color w:val="000000"/>
          <w:sz w:val="32"/>
          <w:szCs w:val="32"/>
        </w:rPr>
        <w:fldChar w:fldCharType="end"/>
      </w:r>
      <w:r>
        <w:rPr>
          <w:rFonts w:hint="eastAsia" w:ascii="仿宋_GB2312" w:hAnsi="仿宋_GB2312" w:eastAsia="仿宋_GB2312"/>
          <w:sz w:val="32"/>
          <w:szCs w:val="32"/>
        </w:rPr>
        <w:t>和合法财产，保护公共财产，预防、制止和惩治违法犯</w:t>
      </w:r>
      <w:r>
        <w:rPr>
          <w:rFonts w:hint="eastAsia" w:ascii="仿宋_GB2312" w:eastAsia="仿宋_GB2312"/>
          <w:sz w:val="32"/>
          <w:szCs w:val="32"/>
        </w:rPr>
        <w:t>罪活动，保障改革开放和社会主义现代化建设的顺利进行。</w:t>
      </w:r>
      <w:bookmarkStart w:id="0" w:name="_GoBack"/>
      <w:bookmarkEnd w:id="0"/>
      <w:r>
        <w:rPr>
          <w:rFonts w:hint="eastAsia" w:eastAsia="仿宋_GB2312"/>
          <w:color w:val="000000"/>
          <w:kern w:val="0"/>
          <w:sz w:val="32"/>
          <w:szCs w:val="32"/>
        </w:rPr>
        <w:t>庐山市森林公安，主要职责是贯彻执行国家有关林业法律、法规、规章和森林公安工作的路线、方针、政策。负责掌握全县林区治安动态，建立涉林重大治安事件或者突发事件的预案，负责依法受理和查处县城骨破坏森林资源和陆生野生动物资源的行政案件、治安案件，依法组织开展林区、湿地治安管理工作；负责全县森林公安基础设施和装备建设，负责全县森林公安队伍建设；协助森林防火主管部门开展森林防火宣传、督导，查处森林火灾案件。</w:t>
      </w: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纳入本套部门决算汇编范围的单位共</w:t>
      </w:r>
      <w:r>
        <w:rPr>
          <w:rFonts w:hint="eastAsia" w:ascii="仿宋_GB2312" w:hAnsi="仿宋_GB2312" w:eastAsia="仿宋_GB2312"/>
          <w:color w:val="000000"/>
          <w:sz w:val="32"/>
          <w:szCs w:val="32"/>
          <w:lang w:val="en-US" w:eastAsia="zh-CN"/>
        </w:rPr>
        <w:t>2</w:t>
      </w:r>
      <w:r>
        <w:rPr>
          <w:rFonts w:hint="eastAsia" w:ascii="仿宋_GB2312" w:hAnsi="仿宋_GB2312" w:eastAsia="仿宋_GB2312"/>
          <w:color w:val="000000"/>
          <w:sz w:val="32"/>
          <w:szCs w:val="32"/>
        </w:rPr>
        <w:t>个，</w:t>
      </w:r>
      <w:r>
        <w:rPr>
          <w:rFonts w:hint="eastAsia" w:ascii="仿宋_GB2312" w:hAnsi="仿宋_GB2312" w:eastAsia="仿宋_GB2312"/>
          <w:color w:val="000000"/>
          <w:sz w:val="32"/>
          <w:szCs w:val="32"/>
          <w:lang w:eastAsia="zh-CN"/>
        </w:rPr>
        <w:t>包括局本级和森林公安</w:t>
      </w:r>
      <w:r>
        <w:rPr>
          <w:rFonts w:hint="eastAsia" w:ascii="仿宋_GB2312" w:hAnsi="仿宋_GB2312" w:eastAsia="仿宋_GB2312"/>
          <w:color w:val="000000"/>
          <w:sz w:val="32"/>
          <w:szCs w:val="32"/>
        </w:rPr>
        <w:t>。</w:t>
      </w:r>
    </w:p>
    <w:p>
      <w:pPr>
        <w:ind w:firstLine="640" w:firstLineChars="200"/>
        <w:rPr>
          <w:rFonts w:hint="eastAsia" w:ascii="仿宋_GB2312" w:hAnsi="仿宋_GB2312" w:eastAsia="仿宋_GB2312"/>
          <w:color w:val="000000"/>
          <w:sz w:val="32"/>
          <w:szCs w:val="32"/>
        </w:rPr>
      </w:pPr>
      <w:r>
        <w:rPr>
          <w:rFonts w:hint="eastAsia" w:ascii="仿宋_GB2312" w:hAnsi="仿宋_GB2312" w:eastAsia="仿宋_GB2312"/>
          <w:color w:val="000000"/>
          <w:sz w:val="32"/>
          <w:szCs w:val="32"/>
        </w:rPr>
        <w:t>本部门201</w:t>
      </w:r>
      <w:r>
        <w:rPr>
          <w:rFonts w:hint="eastAsia" w:ascii="仿宋_GB2312" w:hAnsi="仿宋_GB2312" w:eastAsia="仿宋_GB2312"/>
          <w:color w:val="000000"/>
          <w:sz w:val="32"/>
          <w:szCs w:val="32"/>
          <w:lang w:val="en-US" w:eastAsia="zh-CN"/>
        </w:rPr>
        <w:t>8</w:t>
      </w:r>
      <w:r>
        <w:rPr>
          <w:rFonts w:hint="eastAsia" w:ascii="仿宋_GB2312" w:hAnsi="仿宋_GB2312" w:eastAsia="仿宋_GB2312"/>
          <w:color w:val="000000"/>
          <w:sz w:val="32"/>
          <w:szCs w:val="32"/>
        </w:rPr>
        <w:t>年年末编制人数</w:t>
      </w:r>
      <w:r>
        <w:rPr>
          <w:rFonts w:hint="eastAsia" w:ascii="仿宋_GB2312" w:hAnsi="仿宋_GB2312" w:eastAsia="仿宋_GB2312"/>
          <w:color w:val="000000"/>
          <w:sz w:val="32"/>
          <w:szCs w:val="32"/>
          <w:lang w:val="en-US" w:eastAsia="zh-CN"/>
        </w:rPr>
        <w:t>229</w:t>
      </w:r>
      <w:r>
        <w:rPr>
          <w:rFonts w:hint="eastAsia" w:ascii="仿宋_GB2312" w:hAnsi="仿宋_GB2312" w:eastAsia="仿宋_GB2312"/>
          <w:color w:val="000000"/>
          <w:sz w:val="32"/>
          <w:szCs w:val="32"/>
        </w:rPr>
        <w:t>人，其中行政编制</w:t>
      </w:r>
      <w:r>
        <w:rPr>
          <w:rFonts w:hint="eastAsia" w:ascii="仿宋_GB2312" w:hAnsi="仿宋_GB2312" w:eastAsia="仿宋_GB2312"/>
          <w:color w:val="000000"/>
          <w:sz w:val="32"/>
          <w:szCs w:val="32"/>
          <w:lang w:val="en-US" w:eastAsia="zh-CN"/>
        </w:rPr>
        <w:t>215</w:t>
      </w:r>
      <w:r>
        <w:rPr>
          <w:rFonts w:hint="eastAsia" w:ascii="仿宋_GB2312" w:hAnsi="仿宋_GB2312" w:eastAsia="仿宋_GB2312"/>
          <w:color w:val="000000"/>
          <w:sz w:val="32"/>
          <w:szCs w:val="32"/>
        </w:rPr>
        <w:t>人，</w:t>
      </w:r>
      <w:r>
        <w:rPr>
          <w:rFonts w:hint="eastAsia" w:ascii="仿宋_GB2312" w:hAnsi="仿宋_GB2312" w:eastAsia="仿宋_GB2312"/>
          <w:color w:val="000000"/>
          <w:sz w:val="32"/>
          <w:szCs w:val="32"/>
          <w:lang w:eastAsia="zh-CN"/>
        </w:rPr>
        <w:t>工勤</w:t>
      </w:r>
      <w:r>
        <w:rPr>
          <w:rFonts w:hint="eastAsia" w:ascii="仿宋_GB2312" w:hAnsi="仿宋_GB2312" w:eastAsia="仿宋_GB2312"/>
          <w:color w:val="000000"/>
          <w:sz w:val="32"/>
          <w:szCs w:val="32"/>
        </w:rPr>
        <w:t>编制</w:t>
      </w:r>
      <w:r>
        <w:rPr>
          <w:rFonts w:hint="eastAsia" w:ascii="仿宋_GB2312" w:hAnsi="仿宋_GB2312" w:eastAsia="仿宋_GB2312"/>
          <w:color w:val="000000"/>
          <w:sz w:val="32"/>
          <w:szCs w:val="32"/>
          <w:lang w:val="en-US" w:eastAsia="zh-CN"/>
        </w:rPr>
        <w:t>14</w:t>
      </w:r>
      <w:r>
        <w:rPr>
          <w:rFonts w:hint="eastAsia" w:ascii="仿宋_GB2312" w:hAnsi="仿宋_GB2312" w:eastAsia="仿宋_GB2312"/>
          <w:color w:val="000000"/>
          <w:sz w:val="32"/>
          <w:szCs w:val="32"/>
        </w:rPr>
        <w:t>人；年末实有人数</w:t>
      </w:r>
      <w:r>
        <w:rPr>
          <w:rFonts w:hint="eastAsia" w:ascii="仿宋_GB2312" w:hAnsi="仿宋_GB2312" w:eastAsia="仿宋_GB2312"/>
          <w:color w:val="000000"/>
          <w:sz w:val="32"/>
          <w:szCs w:val="32"/>
          <w:lang w:val="en-US" w:eastAsia="zh-CN"/>
        </w:rPr>
        <w:t>230</w:t>
      </w:r>
      <w:r>
        <w:rPr>
          <w:rFonts w:hint="eastAsia" w:ascii="仿宋_GB2312" w:hAnsi="仿宋_GB2312" w:eastAsia="仿宋_GB2312"/>
          <w:color w:val="000000"/>
          <w:sz w:val="32"/>
          <w:szCs w:val="32"/>
        </w:rPr>
        <w:t>人，其中</w:t>
      </w:r>
      <w:r>
        <w:rPr>
          <w:rFonts w:hint="eastAsia" w:ascii="仿宋_GB2312" w:hAnsi="仿宋_GB2312" w:eastAsia="仿宋_GB2312"/>
          <w:color w:val="000000"/>
          <w:sz w:val="32"/>
          <w:szCs w:val="32"/>
          <w:lang w:eastAsia="zh-CN"/>
        </w:rPr>
        <w:t>行政</w:t>
      </w:r>
      <w:r>
        <w:rPr>
          <w:rFonts w:hint="eastAsia" w:ascii="仿宋_GB2312" w:hAnsi="仿宋_GB2312" w:eastAsia="仿宋_GB2312"/>
          <w:color w:val="000000"/>
          <w:sz w:val="32"/>
          <w:szCs w:val="32"/>
        </w:rPr>
        <w:t>人员</w:t>
      </w:r>
      <w:r>
        <w:rPr>
          <w:rFonts w:hint="eastAsia" w:ascii="仿宋_GB2312" w:hAnsi="仿宋_GB2312" w:eastAsia="仿宋_GB2312"/>
          <w:color w:val="000000"/>
          <w:sz w:val="32"/>
          <w:szCs w:val="32"/>
          <w:lang w:val="en-US" w:eastAsia="zh-CN"/>
        </w:rPr>
        <w:t>219</w:t>
      </w:r>
      <w:r>
        <w:rPr>
          <w:rFonts w:hint="eastAsia" w:ascii="仿宋_GB2312" w:hAnsi="仿宋_GB2312" w:eastAsia="仿宋_GB2312"/>
          <w:color w:val="000000"/>
          <w:sz w:val="32"/>
          <w:szCs w:val="32"/>
        </w:rPr>
        <w:t>人，</w:t>
      </w:r>
      <w:r>
        <w:rPr>
          <w:rFonts w:hint="eastAsia" w:ascii="仿宋_GB2312" w:hAnsi="仿宋_GB2312" w:eastAsia="仿宋_GB2312"/>
          <w:color w:val="000000"/>
          <w:sz w:val="32"/>
          <w:szCs w:val="32"/>
          <w:lang w:eastAsia="zh-CN"/>
        </w:rPr>
        <w:t>工勤</w:t>
      </w:r>
      <w:r>
        <w:rPr>
          <w:rFonts w:hint="eastAsia" w:ascii="仿宋_GB2312" w:hAnsi="仿宋_GB2312" w:eastAsia="仿宋_GB2312"/>
          <w:color w:val="000000"/>
          <w:sz w:val="32"/>
          <w:szCs w:val="32"/>
        </w:rPr>
        <w:t>人员</w:t>
      </w:r>
      <w:r>
        <w:rPr>
          <w:rFonts w:hint="eastAsia" w:ascii="仿宋_GB2312" w:hAnsi="仿宋_GB2312" w:eastAsia="仿宋_GB2312"/>
          <w:color w:val="000000"/>
          <w:sz w:val="32"/>
          <w:szCs w:val="32"/>
          <w:lang w:val="en-US" w:eastAsia="zh-CN"/>
        </w:rPr>
        <w:t>8</w:t>
      </w:r>
      <w:r>
        <w:rPr>
          <w:rFonts w:hint="eastAsia" w:ascii="仿宋_GB2312" w:hAnsi="仿宋_GB2312" w:eastAsia="仿宋_GB2312"/>
          <w:color w:val="000000"/>
          <w:sz w:val="32"/>
          <w:szCs w:val="32"/>
        </w:rPr>
        <w:t>人</w:t>
      </w:r>
      <w:r>
        <w:rPr>
          <w:rFonts w:hint="eastAsia" w:ascii="仿宋_GB2312" w:hAnsi="仿宋_GB2312" w:eastAsia="仿宋_GB2312"/>
          <w:color w:val="000000"/>
          <w:sz w:val="32"/>
          <w:szCs w:val="32"/>
          <w:lang w:eastAsia="zh-CN"/>
        </w:rPr>
        <w:t>，退休人员</w:t>
      </w:r>
      <w:r>
        <w:rPr>
          <w:rFonts w:hint="eastAsia" w:ascii="仿宋_GB2312" w:hAnsi="仿宋_GB2312" w:eastAsia="仿宋_GB2312"/>
          <w:color w:val="000000"/>
          <w:sz w:val="32"/>
          <w:szCs w:val="32"/>
          <w:lang w:val="en-US" w:eastAsia="zh-CN"/>
        </w:rPr>
        <w:t>3人</w:t>
      </w:r>
      <w:r>
        <w:rPr>
          <w:rFonts w:hint="eastAsia" w:ascii="仿宋_GB2312" w:hAnsi="仿宋_GB2312" w:eastAsia="仿宋_GB2312"/>
          <w:color w:val="000000"/>
          <w:sz w:val="32"/>
          <w:szCs w:val="32"/>
        </w:rPr>
        <w:t>。</w:t>
      </w:r>
    </w:p>
    <w:p>
      <w:pPr>
        <w:jc w:val="left"/>
        <w:rPr>
          <w:rFonts w:hint="eastAsia" w:ascii="仿宋" w:hAnsi="仿宋" w:eastAsia="仿宋"/>
          <w:sz w:val="30"/>
          <w:szCs w:val="30"/>
        </w:rPr>
      </w:pPr>
    </w:p>
    <w:p>
      <w:pPr>
        <w:numPr>
          <w:ilvl w:val="0"/>
          <w:numId w:val="1"/>
        </w:numPr>
        <w:ind w:firstLine="630"/>
        <w:jc w:val="center"/>
        <w:rPr>
          <w:rFonts w:hint="eastAsia" w:ascii="宋体" w:hAnsi="宋体"/>
          <w:b/>
          <w:sz w:val="32"/>
          <w:szCs w:val="32"/>
        </w:rPr>
      </w:pPr>
      <w:r>
        <w:rPr>
          <w:rFonts w:hint="eastAsia" w:ascii="宋体" w:hAnsi="宋体"/>
          <w:b/>
          <w:sz w:val="32"/>
          <w:szCs w:val="32"/>
        </w:rPr>
        <w:t xml:space="preserve"> 2018年度部门决算表</w:t>
      </w:r>
    </w:p>
    <w:tbl>
      <w:tblPr>
        <w:tblStyle w:val="3"/>
        <w:tblpPr w:leftFromText="180" w:rightFromText="180" w:vertAnchor="text" w:horzAnchor="page" w:tblpX="1590" w:tblpY="603"/>
        <w:tblOverlap w:val="never"/>
        <w:tblW w:w="9333" w:type="dxa"/>
        <w:tblInd w:w="0" w:type="dxa"/>
        <w:shd w:val="clear" w:color="auto" w:fill="auto"/>
        <w:tblLayout w:type="fixed"/>
        <w:tblCellMar>
          <w:top w:w="0" w:type="dxa"/>
          <w:left w:w="108" w:type="dxa"/>
          <w:bottom w:w="0" w:type="dxa"/>
          <w:right w:w="108" w:type="dxa"/>
        </w:tblCellMar>
      </w:tblPr>
      <w:tblGrid>
        <w:gridCol w:w="2621"/>
        <w:gridCol w:w="637"/>
        <w:gridCol w:w="1594"/>
        <w:gridCol w:w="2475"/>
        <w:gridCol w:w="563"/>
        <w:gridCol w:w="1443"/>
      </w:tblGrid>
      <w:tr>
        <w:tblPrEx>
          <w:shd w:val="clear" w:color="auto" w:fill="auto"/>
          <w:tblCellMar>
            <w:top w:w="0" w:type="dxa"/>
            <w:left w:w="108" w:type="dxa"/>
            <w:bottom w:w="0" w:type="dxa"/>
            <w:right w:w="108" w:type="dxa"/>
          </w:tblCellMar>
        </w:tblPrEx>
        <w:trPr>
          <w:trHeight w:val="164" w:hRule="atLeast"/>
        </w:trPr>
        <w:tc>
          <w:tcPr>
            <w:tcW w:w="9333" w:type="dxa"/>
            <w:gridSpan w:val="6"/>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44"/>
                <w:szCs w:val="44"/>
                <w:u w:val="none"/>
                <w:lang w:val="en-US" w:eastAsia="zh-CN" w:bidi="ar"/>
              </w:rPr>
              <w:t>收入支出决算总表</w:t>
            </w:r>
          </w:p>
        </w:tc>
      </w:tr>
      <w:tr>
        <w:tblPrEx>
          <w:tblCellMar>
            <w:top w:w="0" w:type="dxa"/>
            <w:left w:w="108" w:type="dxa"/>
            <w:bottom w:w="0" w:type="dxa"/>
            <w:right w:w="108" w:type="dxa"/>
          </w:tblCellMar>
        </w:tblPrEx>
        <w:trPr>
          <w:trHeight w:val="164" w:hRule="atLeast"/>
        </w:trPr>
        <w:tc>
          <w:tcPr>
            <w:tcW w:w="2621"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637"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1594"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4481"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财决01表</w:t>
            </w:r>
          </w:p>
        </w:tc>
      </w:tr>
      <w:tr>
        <w:tblPrEx>
          <w:tblCellMar>
            <w:top w:w="0" w:type="dxa"/>
            <w:left w:w="108" w:type="dxa"/>
            <w:bottom w:w="0" w:type="dxa"/>
            <w:right w:w="108" w:type="dxa"/>
          </w:tblCellMar>
        </w:tblPrEx>
        <w:trPr>
          <w:trHeight w:val="164" w:hRule="atLeast"/>
        </w:trPr>
        <w:tc>
          <w:tcPr>
            <w:tcW w:w="2621"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637" w:type="dxa"/>
            <w:tcBorders>
              <w:top w:val="nil"/>
              <w:left w:val="nil"/>
              <w:bottom w:val="nil"/>
              <w:right w:val="nil"/>
            </w:tcBorders>
            <w:shd w:val="clear" w:color="auto" w:fill="auto"/>
            <w:noWrap/>
            <w:vAlign w:val="bottom"/>
          </w:tcPr>
          <w:p>
            <w:pPr>
              <w:rPr>
                <w:rFonts w:hint="eastAsia" w:ascii="宋体" w:hAnsi="宋体" w:eastAsia="宋体" w:cs="宋体"/>
                <w:i w:val="0"/>
                <w:iCs w:val="0"/>
                <w:color w:val="000000"/>
                <w:sz w:val="18"/>
                <w:szCs w:val="18"/>
                <w:u w:val="none"/>
              </w:rPr>
            </w:pPr>
          </w:p>
        </w:tc>
        <w:tc>
          <w:tcPr>
            <w:tcW w:w="1594"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w:t>
            </w:r>
            <w:r>
              <w:rPr>
                <w:rStyle w:val="7"/>
                <w:rFonts w:hint="eastAsia" w:ascii="宋体" w:hAnsi="宋体" w:eastAsia="宋体" w:cs="宋体"/>
                <w:sz w:val="18"/>
                <w:szCs w:val="18"/>
                <w:lang w:val="en-US" w:eastAsia="zh-CN" w:bidi="ar"/>
              </w:rPr>
              <w:t>年度</w:t>
            </w:r>
          </w:p>
        </w:tc>
        <w:tc>
          <w:tcPr>
            <w:tcW w:w="4481"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169" w:hRule="atLeast"/>
        </w:trPr>
        <w:tc>
          <w:tcPr>
            <w:tcW w:w="485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收入</w:t>
            </w:r>
          </w:p>
        </w:tc>
        <w:tc>
          <w:tcPr>
            <w:tcW w:w="4481"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项目(按功能分类)</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637"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563"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一、财政拨款收入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46,630,136.70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其中：政府性基金预算财政拨款</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二、上级补助收入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三、事业收入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42,624,998.58</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四、经营收入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五、附属单位上缴收入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六、其他收入</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1,453,955.04</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七、文化体育与传媒支出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九、医疗卫生与计划生育支出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十四、资源勘探信息等支出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十八、国土海洋气象等支出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二十一、其他支出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二十二、债务还本支出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二十三、债务付息支出</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144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本年收入合计</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48,084,091.74</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本年支出合计</w:t>
            </w:r>
          </w:p>
        </w:tc>
        <w:tc>
          <w:tcPr>
            <w:tcW w:w="563"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49,680,271.57</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用事业基金弥补收支差额</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结余分配</w:t>
            </w: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年初结转和结余</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15,779,618.44</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交纳所得税</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基本支出结转</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15,779,618.44</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提取职工福利基金</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项目支出结转和结余</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转入事业基金</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经营结余</w:t>
            </w: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59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年末结转和结余</w:t>
            </w:r>
          </w:p>
        </w:tc>
        <w:tc>
          <w:tcPr>
            <w:tcW w:w="5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基本支出结转</w:t>
            </w: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r>
      <w:tr>
        <w:tblPrEx>
          <w:tblCellMar>
            <w:top w:w="0" w:type="dxa"/>
            <w:left w:w="108" w:type="dxa"/>
            <w:bottom w:w="0" w:type="dxa"/>
            <w:right w:w="108" w:type="dxa"/>
          </w:tblCellMar>
        </w:tblPrEx>
        <w:trPr>
          <w:trHeight w:val="333"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项目支出结转和结余</w:t>
            </w: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经营结余</w:t>
            </w: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69" w:hRule="atLeast"/>
        </w:trPr>
        <w:tc>
          <w:tcPr>
            <w:tcW w:w="262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63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59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2475"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563"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1443" w:type="dxa"/>
            <w:tcBorders>
              <w:top w:val="nil"/>
              <w:left w:val="nil"/>
              <w:bottom w:val="single" w:color="000000" w:sz="4"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43" w:hRule="atLeast"/>
        </w:trPr>
        <w:tc>
          <w:tcPr>
            <w:tcW w:w="2621" w:type="dxa"/>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637"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594"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63,863,710.18</w:t>
            </w:r>
          </w:p>
        </w:tc>
        <w:tc>
          <w:tcPr>
            <w:tcW w:w="2475"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563" w:type="dxa"/>
            <w:tcBorders>
              <w:top w:val="nil"/>
              <w:left w:val="nil"/>
              <w:bottom w:val="single" w:color="000000" w:sz="8"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18"/>
                <w:szCs w:val="18"/>
                <w:u w:val="none"/>
              </w:rPr>
            </w:pPr>
          </w:p>
        </w:tc>
        <w:tc>
          <w:tcPr>
            <w:tcW w:w="1443"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63,863,710.18</w:t>
            </w:r>
          </w:p>
        </w:tc>
      </w:tr>
    </w:tbl>
    <w:p>
      <w:pPr>
        <w:numPr>
          <w:ilvl w:val="0"/>
          <w:numId w:val="0"/>
        </w:numPr>
        <w:jc w:val="both"/>
        <w:rPr>
          <w:rFonts w:hint="eastAsia" w:ascii="宋体" w:hAnsi="宋体"/>
          <w:b/>
          <w:sz w:val="32"/>
          <w:szCs w:val="32"/>
        </w:rPr>
      </w:pPr>
    </w:p>
    <w:tbl>
      <w:tblPr>
        <w:tblStyle w:val="3"/>
        <w:tblpPr w:leftFromText="180" w:rightFromText="180" w:vertAnchor="text" w:horzAnchor="page" w:tblpX="934" w:tblpY="1861"/>
        <w:tblOverlap w:val="never"/>
        <w:tblW w:w="10218" w:type="dxa"/>
        <w:tblInd w:w="0" w:type="dxa"/>
        <w:shd w:val="clear" w:color="auto" w:fill="auto"/>
        <w:tblLayout w:type="fixed"/>
        <w:tblCellMar>
          <w:top w:w="0" w:type="dxa"/>
          <w:left w:w="108" w:type="dxa"/>
          <w:bottom w:w="0" w:type="dxa"/>
          <w:right w:w="108" w:type="dxa"/>
        </w:tblCellMar>
      </w:tblPr>
      <w:tblGrid>
        <w:gridCol w:w="279"/>
        <w:gridCol w:w="279"/>
        <w:gridCol w:w="279"/>
        <w:gridCol w:w="2225"/>
        <w:gridCol w:w="1438"/>
        <w:gridCol w:w="1631"/>
        <w:gridCol w:w="806"/>
        <w:gridCol w:w="675"/>
        <w:gridCol w:w="656"/>
        <w:gridCol w:w="600"/>
        <w:gridCol w:w="1350"/>
      </w:tblGrid>
      <w:tr>
        <w:tblPrEx>
          <w:shd w:val="clear" w:color="auto" w:fill="auto"/>
          <w:tblCellMar>
            <w:top w:w="0" w:type="dxa"/>
            <w:left w:w="108" w:type="dxa"/>
            <w:bottom w:w="0" w:type="dxa"/>
            <w:right w:w="108" w:type="dxa"/>
          </w:tblCellMar>
        </w:tblPrEx>
        <w:trPr>
          <w:trHeight w:val="176" w:hRule="atLeast"/>
        </w:trPr>
        <w:tc>
          <w:tcPr>
            <w:tcW w:w="10218" w:type="dxa"/>
            <w:gridSpan w:val="11"/>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44"/>
                <w:szCs w:val="44"/>
                <w:u w:val="none"/>
                <w:lang w:val="en-US" w:eastAsia="zh-CN" w:bidi="ar"/>
              </w:rPr>
              <w:t>收入决算表</w:t>
            </w:r>
          </w:p>
        </w:tc>
      </w:tr>
      <w:tr>
        <w:tblPrEx>
          <w:tblCellMar>
            <w:top w:w="0" w:type="dxa"/>
            <w:left w:w="108" w:type="dxa"/>
            <w:bottom w:w="0" w:type="dxa"/>
            <w:right w:w="108" w:type="dxa"/>
          </w:tblCellMar>
        </w:tblPrEx>
        <w:trPr>
          <w:trHeight w:val="176" w:hRule="atLeast"/>
        </w:trPr>
        <w:tc>
          <w:tcPr>
            <w:tcW w:w="279" w:type="dxa"/>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279"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79"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225"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438"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31"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80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75"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0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财决03表</w:t>
            </w:r>
          </w:p>
        </w:tc>
      </w:tr>
      <w:tr>
        <w:tblPrEx>
          <w:tblCellMar>
            <w:top w:w="0" w:type="dxa"/>
            <w:left w:w="108" w:type="dxa"/>
            <w:bottom w:w="0" w:type="dxa"/>
            <w:right w:w="108" w:type="dxa"/>
          </w:tblCellMar>
        </w:tblPrEx>
        <w:trPr>
          <w:trHeight w:val="351" w:hRule="atLeast"/>
        </w:trPr>
        <w:tc>
          <w:tcPr>
            <w:tcW w:w="3062" w:type="dxa"/>
            <w:gridSpan w:val="4"/>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1438"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31"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806"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675"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60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50"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181" w:hRule="atLeast"/>
        </w:trPr>
        <w:tc>
          <w:tcPr>
            <w:tcW w:w="306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1438"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本年收入合计</w:t>
            </w:r>
          </w:p>
        </w:tc>
        <w:tc>
          <w:tcPr>
            <w:tcW w:w="1631"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财政拨款收入</w:t>
            </w:r>
          </w:p>
        </w:tc>
        <w:tc>
          <w:tcPr>
            <w:tcW w:w="80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上级补助收入</w:t>
            </w:r>
          </w:p>
        </w:tc>
        <w:tc>
          <w:tcPr>
            <w:tcW w:w="675"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事业收入</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经营收入</w:t>
            </w:r>
          </w:p>
        </w:tc>
        <w:tc>
          <w:tcPr>
            <w:tcW w:w="60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附属单位上缴收入</w:t>
            </w:r>
          </w:p>
        </w:tc>
        <w:tc>
          <w:tcPr>
            <w:tcW w:w="1350" w:type="dxa"/>
            <w:vMerge w:val="restart"/>
            <w:tcBorders>
              <w:top w:val="single" w:color="000000" w:sz="4" w:space="0"/>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其他收入</w:t>
            </w:r>
          </w:p>
        </w:tc>
      </w:tr>
      <w:tr>
        <w:tblPrEx>
          <w:tblCellMar>
            <w:top w:w="0" w:type="dxa"/>
            <w:left w:w="108" w:type="dxa"/>
            <w:bottom w:w="0" w:type="dxa"/>
            <w:right w:w="108" w:type="dxa"/>
          </w:tblCellMar>
        </w:tblPrEx>
        <w:trPr>
          <w:trHeight w:val="312" w:hRule="atLeast"/>
        </w:trPr>
        <w:tc>
          <w:tcPr>
            <w:tcW w:w="837"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支出功能分类科目编码</w:t>
            </w:r>
          </w:p>
        </w:tc>
        <w:tc>
          <w:tcPr>
            <w:tcW w:w="2225"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43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1"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0"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837"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5"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1"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0"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479" w:hRule="atLeast"/>
        </w:trPr>
        <w:tc>
          <w:tcPr>
            <w:tcW w:w="837"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225"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438"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31"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0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75"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0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50"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81" w:hRule="atLeast"/>
        </w:trPr>
        <w:tc>
          <w:tcPr>
            <w:tcW w:w="279"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279"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279"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4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3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80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7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350" w:type="dxa"/>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r>
      <w:tr>
        <w:tblPrEx>
          <w:tblCellMar>
            <w:top w:w="0" w:type="dxa"/>
            <w:left w:w="108" w:type="dxa"/>
            <w:bottom w:w="0" w:type="dxa"/>
            <w:right w:w="108" w:type="dxa"/>
          </w:tblCellMar>
        </w:tblPrEx>
        <w:trPr>
          <w:trHeight w:val="357" w:hRule="atLeast"/>
        </w:trPr>
        <w:tc>
          <w:tcPr>
            <w:tcW w:w="279"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79"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79"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48,084,091.74</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46,630,136.70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1,453,955.04</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公共安全支出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41,028,818.75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39,574,863.71</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1,453,955.04</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41,028,818.75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39,574,863.71</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1,453,955.04</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2040201</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行政运行</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40,066,554.75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38,612,599.71</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1,453,955.04</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2040250</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事业运行</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2040299</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其他公安支出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行政事业单位离退休</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98"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机关事业单位职业年金缴费支出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2080599</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其他行政事业单位离退休支出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抚恤</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2080801</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死亡抚恤</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2080899</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其他优抚支出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医疗卫生与计划生育支出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行政单位医疗</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事业单位医疗</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城乡社区支出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32"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国有土地使用权出让收入及对应专项债务收入安排的支出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2120801</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征地和拆迁补偿支出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农林水支出</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林业</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2130213</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林业执法与监督</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57" w:hRule="atLeast"/>
        </w:trPr>
        <w:tc>
          <w:tcPr>
            <w:tcW w:w="837"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w:t>
            </w:r>
          </w:p>
        </w:tc>
        <w:tc>
          <w:tcPr>
            <w:tcW w:w="22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扶贫</w:t>
            </w:r>
          </w:p>
        </w:tc>
        <w:tc>
          <w:tcPr>
            <w:tcW w:w="14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8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68" w:hRule="atLeast"/>
        </w:trPr>
        <w:tc>
          <w:tcPr>
            <w:tcW w:w="837" w:type="dxa"/>
            <w:gridSpan w:val="3"/>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2130599</w:t>
            </w:r>
          </w:p>
        </w:tc>
        <w:tc>
          <w:tcPr>
            <w:tcW w:w="2225"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其他扶贫支出</w:t>
            </w:r>
          </w:p>
        </w:tc>
        <w:tc>
          <w:tcPr>
            <w:tcW w:w="1438"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31"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80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75"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00"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50"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tbl>
      <w:tblPr>
        <w:tblStyle w:val="3"/>
        <w:tblpPr w:leftFromText="180" w:rightFromText="180" w:vertAnchor="text" w:horzAnchor="page" w:tblpX="821" w:tblpY="1310"/>
        <w:tblOverlap w:val="never"/>
        <w:tblW w:w="10460" w:type="dxa"/>
        <w:tblInd w:w="0" w:type="dxa"/>
        <w:shd w:val="clear" w:color="auto" w:fill="auto"/>
        <w:tblLayout w:type="autofit"/>
        <w:tblCellMar>
          <w:top w:w="0" w:type="dxa"/>
          <w:left w:w="108" w:type="dxa"/>
          <w:bottom w:w="0" w:type="dxa"/>
          <w:right w:w="108" w:type="dxa"/>
        </w:tblCellMar>
      </w:tblPr>
      <w:tblGrid>
        <w:gridCol w:w="900"/>
        <w:gridCol w:w="436"/>
        <w:gridCol w:w="436"/>
        <w:gridCol w:w="1742"/>
        <w:gridCol w:w="1646"/>
        <w:gridCol w:w="1646"/>
        <w:gridCol w:w="1646"/>
        <w:gridCol w:w="656"/>
        <w:gridCol w:w="656"/>
        <w:gridCol w:w="696"/>
      </w:tblGrid>
      <w:tr>
        <w:tblPrEx>
          <w:shd w:val="clear" w:color="auto" w:fill="auto"/>
          <w:tblCellMar>
            <w:top w:w="0" w:type="dxa"/>
            <w:left w:w="108" w:type="dxa"/>
            <w:bottom w:w="0" w:type="dxa"/>
            <w:right w:w="108" w:type="dxa"/>
          </w:tblCellMar>
        </w:tblPrEx>
        <w:trPr>
          <w:trHeight w:val="756" w:hRule="atLeast"/>
        </w:trPr>
        <w:tc>
          <w:tcPr>
            <w:tcW w:w="10460" w:type="dxa"/>
            <w:gridSpan w:val="10"/>
            <w:tcBorders>
              <w:top w:val="nil"/>
              <w:left w:val="nil"/>
              <w:bottom w:val="nil"/>
              <w:right w:val="nil"/>
            </w:tcBorders>
            <w:shd w:val="clear" w:color="auto" w:fill="auto"/>
            <w:noWrap/>
            <w:vAlign w:val="top"/>
          </w:tcPr>
          <w:p>
            <w:pPr>
              <w:jc w:val="center"/>
              <w:rPr>
                <w:rFonts w:hint="default" w:ascii="Arial" w:hAnsi="Arial" w:cs="Arial"/>
                <w:i w:val="0"/>
                <w:iCs w:val="0"/>
                <w:color w:val="000000"/>
                <w:sz w:val="20"/>
                <w:szCs w:val="20"/>
                <w:u w:val="none"/>
              </w:rPr>
            </w:pPr>
            <w:r>
              <w:rPr>
                <w:rFonts w:hint="eastAsia" w:ascii="宋体" w:hAnsi="宋体" w:eastAsia="宋体" w:cs="宋体"/>
                <w:i w:val="0"/>
                <w:iCs w:val="0"/>
                <w:color w:val="000000"/>
                <w:kern w:val="0"/>
                <w:sz w:val="44"/>
                <w:szCs w:val="44"/>
                <w:u w:val="none"/>
                <w:lang w:val="en-US" w:eastAsia="zh-CN" w:bidi="ar"/>
              </w:rPr>
              <w:t>支出决算表</w:t>
            </w:r>
          </w:p>
        </w:tc>
      </w:tr>
      <w:tr>
        <w:tblPrEx>
          <w:tblCellMar>
            <w:top w:w="0" w:type="dxa"/>
            <w:left w:w="108" w:type="dxa"/>
            <w:bottom w:w="0" w:type="dxa"/>
            <w:right w:w="108" w:type="dxa"/>
          </w:tblCellMar>
        </w:tblPrEx>
        <w:trPr>
          <w:trHeight w:val="347" w:hRule="atLeast"/>
        </w:trPr>
        <w:tc>
          <w:tcPr>
            <w:tcW w:w="90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742"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008"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财决04表</w:t>
            </w:r>
          </w:p>
        </w:tc>
      </w:tr>
      <w:tr>
        <w:tblPrEx>
          <w:tblCellMar>
            <w:top w:w="0" w:type="dxa"/>
            <w:left w:w="108" w:type="dxa"/>
            <w:bottom w:w="0" w:type="dxa"/>
            <w:right w:w="108" w:type="dxa"/>
          </w:tblCellMar>
        </w:tblPrEx>
        <w:trPr>
          <w:trHeight w:val="473" w:hRule="atLeast"/>
        </w:trPr>
        <w:tc>
          <w:tcPr>
            <w:tcW w:w="3514" w:type="dxa"/>
            <w:gridSpan w:val="4"/>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008" w:type="dxa"/>
            <w:gridSpan w:val="3"/>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288" w:hRule="atLeast"/>
        </w:trPr>
        <w:tc>
          <w:tcPr>
            <w:tcW w:w="351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本年支出合计</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基本支出</w:t>
            </w:r>
          </w:p>
        </w:tc>
        <w:tc>
          <w:tcPr>
            <w:tcW w:w="164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上缴上级支出</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经营支出</w:t>
            </w:r>
          </w:p>
        </w:tc>
        <w:tc>
          <w:tcPr>
            <w:tcW w:w="696" w:type="dxa"/>
            <w:vMerge w:val="restart"/>
            <w:tcBorders>
              <w:top w:val="single" w:color="000000" w:sz="4" w:space="0"/>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对附属单位补助支出</w:t>
            </w:r>
          </w:p>
        </w:tc>
      </w:tr>
      <w:tr>
        <w:tblPrEx>
          <w:tblCellMar>
            <w:top w:w="0" w:type="dxa"/>
            <w:left w:w="108" w:type="dxa"/>
            <w:bottom w:w="0" w:type="dxa"/>
            <w:right w:w="108" w:type="dxa"/>
          </w:tblCellMar>
        </w:tblPrEx>
        <w:trPr>
          <w:trHeight w:val="312" w:hRule="atLeast"/>
        </w:trPr>
        <w:tc>
          <w:tcPr>
            <w:tcW w:w="1772"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支出功能分类科目编码</w:t>
            </w:r>
          </w:p>
        </w:tc>
        <w:tc>
          <w:tcPr>
            <w:tcW w:w="1742"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1772"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2"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539" w:hRule="atLeast"/>
        </w:trPr>
        <w:tc>
          <w:tcPr>
            <w:tcW w:w="1772"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742"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6" w:type="dxa"/>
            <w:vMerge w:val="continue"/>
            <w:tcBorders>
              <w:top w:val="single" w:color="000000" w:sz="4" w:space="0"/>
              <w:left w:val="nil"/>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288" w:hRule="atLeast"/>
        </w:trPr>
        <w:tc>
          <w:tcPr>
            <w:tcW w:w="900"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43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6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4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696" w:type="dxa"/>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tblPrEx>
          <w:tblCellMar>
            <w:top w:w="0" w:type="dxa"/>
            <w:left w:w="108" w:type="dxa"/>
            <w:bottom w:w="0" w:type="dxa"/>
            <w:right w:w="108" w:type="dxa"/>
          </w:tblCellMar>
        </w:tblPrEx>
        <w:trPr>
          <w:trHeight w:val="288" w:hRule="atLeast"/>
        </w:trPr>
        <w:tc>
          <w:tcPr>
            <w:tcW w:w="900"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49,680,271.57</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34,935,438.89</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14,744,832.68</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公共安全支出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42,624,998.58</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28,880,165.90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42,624,998.58</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28,880,165.90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2040201</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行政运行</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41,662,734.58</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27,917,901.90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2040250</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事业运行</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2040299</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其他公安支出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行政事业单位离退休</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844"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844"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机关事业单位职业年金缴费支出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2080599</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其他行政事业单位离退休支出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2080801</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死亡抚恤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2080899</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其他优抚支出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医疗卫生与计划生育支出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城乡社区支出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1122"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国有土地使用权出让收入及对应专项债务收入安排的支出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2120801</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征地和拆迁补偿支出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农林水支出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林业</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566"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2130213</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林业执法与监督</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288" w:hRule="atLeast"/>
        </w:trPr>
        <w:tc>
          <w:tcPr>
            <w:tcW w:w="1772"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w:t>
            </w:r>
          </w:p>
        </w:tc>
        <w:tc>
          <w:tcPr>
            <w:tcW w:w="1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扶贫</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5" w:hRule="atLeast"/>
        </w:trPr>
        <w:tc>
          <w:tcPr>
            <w:tcW w:w="1772" w:type="dxa"/>
            <w:gridSpan w:val="3"/>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2130599</w:t>
            </w:r>
          </w:p>
        </w:tc>
        <w:tc>
          <w:tcPr>
            <w:tcW w:w="1742"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其他扶贫支出</w:t>
            </w:r>
          </w:p>
        </w:tc>
        <w:tc>
          <w:tcPr>
            <w:tcW w:w="164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96"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p>
      <w:pPr>
        <w:numPr>
          <w:ilvl w:val="0"/>
          <w:numId w:val="0"/>
        </w:numPr>
        <w:jc w:val="both"/>
        <w:rPr>
          <w:rFonts w:hint="eastAsia" w:ascii="宋体" w:hAnsi="宋体"/>
          <w:b/>
          <w:sz w:val="18"/>
          <w:szCs w:val="18"/>
        </w:rPr>
      </w:pPr>
    </w:p>
    <w:tbl>
      <w:tblPr>
        <w:tblStyle w:val="3"/>
        <w:tblpPr w:leftFromText="180" w:rightFromText="180" w:vertAnchor="text" w:horzAnchor="page" w:tblpX="934" w:tblpY="1115"/>
        <w:tblOverlap w:val="never"/>
        <w:tblW w:w="10320" w:type="dxa"/>
        <w:tblInd w:w="0" w:type="dxa"/>
        <w:shd w:val="clear" w:color="auto" w:fill="auto"/>
        <w:tblLayout w:type="autofit"/>
        <w:tblCellMar>
          <w:top w:w="0" w:type="dxa"/>
          <w:left w:w="108" w:type="dxa"/>
          <w:bottom w:w="0" w:type="dxa"/>
          <w:right w:w="108" w:type="dxa"/>
        </w:tblCellMar>
      </w:tblPr>
      <w:tblGrid>
        <w:gridCol w:w="1554"/>
        <w:gridCol w:w="430"/>
        <w:gridCol w:w="1623"/>
        <w:gridCol w:w="1512"/>
        <w:gridCol w:w="430"/>
        <w:gridCol w:w="1623"/>
        <w:gridCol w:w="1623"/>
        <w:gridCol w:w="1525"/>
      </w:tblGrid>
      <w:tr>
        <w:tblPrEx>
          <w:shd w:val="clear" w:color="auto" w:fill="auto"/>
          <w:tblCellMar>
            <w:top w:w="0" w:type="dxa"/>
            <w:left w:w="108" w:type="dxa"/>
            <w:bottom w:w="0" w:type="dxa"/>
            <w:right w:w="108" w:type="dxa"/>
          </w:tblCellMar>
        </w:tblPrEx>
        <w:trPr>
          <w:trHeight w:val="90" w:hRule="atLeast"/>
        </w:trPr>
        <w:tc>
          <w:tcPr>
            <w:tcW w:w="10320" w:type="dxa"/>
            <w:gridSpan w:val="8"/>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44"/>
                <w:szCs w:val="44"/>
                <w:u w:val="none"/>
                <w:lang w:val="en-US" w:eastAsia="zh-CN" w:bidi="ar"/>
              </w:rPr>
              <w:t>财政拨款收入支出决算总表</w:t>
            </w:r>
          </w:p>
        </w:tc>
      </w:tr>
      <w:tr>
        <w:tblPrEx>
          <w:tblCellMar>
            <w:top w:w="0" w:type="dxa"/>
            <w:left w:w="108" w:type="dxa"/>
            <w:bottom w:w="0" w:type="dxa"/>
            <w:right w:w="108" w:type="dxa"/>
          </w:tblCellMar>
        </w:tblPrEx>
        <w:trPr>
          <w:trHeight w:val="90" w:hRule="atLeast"/>
        </w:trPr>
        <w:tc>
          <w:tcPr>
            <w:tcW w:w="1554" w:type="dxa"/>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43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2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512"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2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2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52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财决01-1表</w:t>
            </w:r>
          </w:p>
        </w:tc>
      </w:tr>
      <w:tr>
        <w:tblPrEx>
          <w:tblCellMar>
            <w:top w:w="0" w:type="dxa"/>
            <w:left w:w="108" w:type="dxa"/>
            <w:bottom w:w="0" w:type="dxa"/>
            <w:right w:w="108" w:type="dxa"/>
          </w:tblCellMar>
        </w:tblPrEx>
        <w:trPr>
          <w:trHeight w:val="90" w:hRule="atLeast"/>
        </w:trPr>
        <w:tc>
          <w:tcPr>
            <w:tcW w:w="3607" w:type="dxa"/>
            <w:gridSpan w:val="3"/>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1512"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23"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1623"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525"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90" w:hRule="atLeast"/>
        </w:trPr>
        <w:tc>
          <w:tcPr>
            <w:tcW w:w="360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收     入</w:t>
            </w:r>
          </w:p>
        </w:tc>
        <w:tc>
          <w:tcPr>
            <w:tcW w:w="6713"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     出</w:t>
            </w:r>
          </w:p>
        </w:tc>
      </w:tr>
      <w:tr>
        <w:tblPrEx>
          <w:tblCellMar>
            <w:top w:w="0" w:type="dxa"/>
            <w:left w:w="108" w:type="dxa"/>
            <w:bottom w:w="0" w:type="dxa"/>
            <w:right w:w="108" w:type="dxa"/>
          </w:tblCellMar>
        </w:tblPrEx>
        <w:trPr>
          <w:trHeight w:val="90" w:hRule="atLeast"/>
        </w:trPr>
        <w:tc>
          <w:tcPr>
            <w:tcW w:w="1554"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43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162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c>
          <w:tcPr>
            <w:tcW w:w="15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项目（按功能分类）</w:t>
            </w:r>
          </w:p>
        </w:tc>
        <w:tc>
          <w:tcPr>
            <w:tcW w:w="43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4771" w:type="dxa"/>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tblPrEx>
          <w:tblCellMar>
            <w:top w:w="0" w:type="dxa"/>
            <w:left w:w="108" w:type="dxa"/>
            <w:bottom w:w="0" w:type="dxa"/>
            <w:right w:w="108" w:type="dxa"/>
          </w:tblCellMar>
        </w:tblPrEx>
        <w:trPr>
          <w:trHeight w:val="90" w:hRule="atLeast"/>
        </w:trPr>
        <w:tc>
          <w:tcPr>
            <w:tcW w:w="1554"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2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1623"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一般公共预算财政拨款</w:t>
            </w:r>
          </w:p>
        </w:tc>
        <w:tc>
          <w:tcPr>
            <w:tcW w:w="1525" w:type="dxa"/>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政府性基金预算财政拨款</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    次</w:t>
            </w:r>
          </w:p>
        </w:tc>
        <w:tc>
          <w:tcPr>
            <w:tcW w:w="43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    次</w:t>
            </w:r>
          </w:p>
        </w:tc>
        <w:tc>
          <w:tcPr>
            <w:tcW w:w="43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45,630,136.70</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一、一般公共服务支出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二、外交支出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三、国防支出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四、公共安全支出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41,171,043.54</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41,171,043.54</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五、教育支出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六、科学技术支出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七、文化体育与传媒支出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八、社会保障和就业支出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九、医疗卫生与计划生育支出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十、节能环保支出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十一、城乡社区支出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十二、农林水支出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十三、交通运输支出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十四、资源勘探信息等支出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十五、商业服务业等支出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十六、金融支出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十七、援助其他地区支出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十八、国土海洋气象等支出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十九、住房保障支出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二十、粮油物资储备支出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二十一、其他支出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二十二、债务还本支出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二十三、债务付息支出</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本年收入合计</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46,630,136.70</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本年支出合计</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77</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48,226,316.53</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47,226,316.53</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78</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25" w:type="dxa"/>
            <w:tcBorders>
              <w:top w:val="nil"/>
              <w:left w:val="nil"/>
              <w:bottom w:val="single" w:color="000000" w:sz="4"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年初财政拨款结转和结余</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15,779,618.44</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年末财政拨款结转和结余</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一、一般公共预算财政拨款</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15,779,618.44</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基本支出结转</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14,183,438.61</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二、政府性基金预算财政拨款</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项目支出结转和结余</w:t>
            </w: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81</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62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525" w:type="dxa"/>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8"/>
                <w:szCs w:val="18"/>
                <w:u w:val="none"/>
              </w:rPr>
            </w:pPr>
          </w:p>
        </w:tc>
        <w:tc>
          <w:tcPr>
            <w:tcW w:w="4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w:t>
            </w: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62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c>
          <w:tcPr>
            <w:tcW w:w="1525" w:type="dxa"/>
            <w:tcBorders>
              <w:top w:val="nil"/>
              <w:left w:val="nil"/>
              <w:bottom w:val="single" w:color="000000" w:sz="4" w:space="0"/>
              <w:right w:val="single" w:color="000000" w:sz="8" w:space="0"/>
            </w:tcBorders>
            <w:shd w:val="clear" w:color="auto" w:fill="auto"/>
            <w:noWrap/>
            <w:vAlign w:val="center"/>
          </w:tcPr>
          <w:p>
            <w:pPr>
              <w:jc w:val="righ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90" w:hRule="atLeast"/>
        </w:trPr>
        <w:tc>
          <w:tcPr>
            <w:tcW w:w="1554" w:type="dxa"/>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430"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1623"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62,409,755.14</w:t>
            </w:r>
          </w:p>
        </w:tc>
        <w:tc>
          <w:tcPr>
            <w:tcW w:w="1512"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总计</w:t>
            </w:r>
          </w:p>
        </w:tc>
        <w:tc>
          <w:tcPr>
            <w:tcW w:w="430"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83</w:t>
            </w:r>
          </w:p>
        </w:tc>
        <w:tc>
          <w:tcPr>
            <w:tcW w:w="1623"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62,409,755.14</w:t>
            </w:r>
          </w:p>
        </w:tc>
        <w:tc>
          <w:tcPr>
            <w:tcW w:w="1623"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61,409,755.14</w:t>
            </w:r>
          </w:p>
        </w:tc>
        <w:tc>
          <w:tcPr>
            <w:tcW w:w="1525"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r>
    </w:tbl>
    <w:p>
      <w:pPr>
        <w:numPr>
          <w:ilvl w:val="0"/>
          <w:numId w:val="0"/>
        </w:numPr>
        <w:jc w:val="both"/>
        <w:rPr>
          <w:rFonts w:hint="eastAsia" w:ascii="宋体" w:hAnsi="宋体"/>
          <w:b/>
          <w:sz w:val="18"/>
          <w:szCs w:val="18"/>
        </w:rPr>
      </w:pPr>
    </w:p>
    <w:p>
      <w:pPr>
        <w:jc w:val="both"/>
        <w:rPr>
          <w:rFonts w:hint="eastAsia" w:ascii="黑体" w:eastAsia="黑体"/>
          <w:sz w:val="18"/>
          <w:szCs w:val="18"/>
        </w:rPr>
      </w:pPr>
    </w:p>
    <w:tbl>
      <w:tblPr>
        <w:tblStyle w:val="3"/>
        <w:tblpPr w:leftFromText="180" w:rightFromText="180" w:vertAnchor="text" w:horzAnchor="page" w:tblpX="934" w:tblpY="420"/>
        <w:tblOverlap w:val="never"/>
        <w:tblW w:w="10212" w:type="dxa"/>
        <w:tblInd w:w="0" w:type="dxa"/>
        <w:shd w:val="clear" w:color="auto" w:fill="auto"/>
        <w:tblLayout w:type="autofit"/>
        <w:tblCellMar>
          <w:top w:w="0" w:type="dxa"/>
          <w:left w:w="108" w:type="dxa"/>
          <w:bottom w:w="0" w:type="dxa"/>
          <w:right w:w="108" w:type="dxa"/>
        </w:tblCellMar>
      </w:tblPr>
      <w:tblGrid>
        <w:gridCol w:w="436"/>
        <w:gridCol w:w="436"/>
        <w:gridCol w:w="436"/>
        <w:gridCol w:w="3956"/>
        <w:gridCol w:w="1646"/>
        <w:gridCol w:w="1646"/>
        <w:gridCol w:w="1656"/>
      </w:tblGrid>
      <w:tr>
        <w:tblPrEx>
          <w:shd w:val="clear" w:color="auto" w:fill="auto"/>
          <w:tblCellMar>
            <w:top w:w="0" w:type="dxa"/>
            <w:left w:w="108" w:type="dxa"/>
            <w:bottom w:w="0" w:type="dxa"/>
            <w:right w:w="108" w:type="dxa"/>
          </w:tblCellMar>
        </w:tblPrEx>
        <w:trPr>
          <w:trHeight w:val="540" w:hRule="atLeast"/>
        </w:trPr>
        <w:tc>
          <w:tcPr>
            <w:tcW w:w="10212" w:type="dxa"/>
            <w:gridSpan w:val="7"/>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一般公共预算财政拨款支出决算表</w:t>
            </w:r>
          </w:p>
        </w:tc>
      </w:tr>
      <w:tr>
        <w:tblPrEx>
          <w:tblCellMar>
            <w:top w:w="0" w:type="dxa"/>
            <w:left w:w="108" w:type="dxa"/>
            <w:bottom w:w="0" w:type="dxa"/>
            <w:right w:w="108" w:type="dxa"/>
          </w:tblCellMar>
        </w:tblPrEx>
        <w:trPr>
          <w:trHeight w:val="285" w:hRule="atLeast"/>
        </w:trPr>
        <w:tc>
          <w:tcPr>
            <w:tcW w:w="436" w:type="dxa"/>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43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395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5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财决07表</w:t>
            </w:r>
          </w:p>
        </w:tc>
      </w:tr>
      <w:tr>
        <w:tblPrEx>
          <w:tblCellMar>
            <w:top w:w="0" w:type="dxa"/>
            <w:left w:w="108" w:type="dxa"/>
            <w:bottom w:w="0" w:type="dxa"/>
            <w:right w:w="108" w:type="dxa"/>
          </w:tblCellMar>
        </w:tblPrEx>
        <w:trPr>
          <w:trHeight w:val="285" w:hRule="atLeast"/>
        </w:trPr>
        <w:tc>
          <w:tcPr>
            <w:tcW w:w="5264"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1646"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164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65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308" w:hRule="atLeast"/>
        </w:trPr>
        <w:tc>
          <w:tcPr>
            <w:tcW w:w="52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4948"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w:t>
            </w:r>
          </w:p>
        </w:tc>
      </w:tr>
      <w:tr>
        <w:tblPrEx>
          <w:tblCellMar>
            <w:top w:w="0" w:type="dxa"/>
            <w:left w:w="108" w:type="dxa"/>
            <w:bottom w:w="0" w:type="dxa"/>
            <w:right w:w="108" w:type="dxa"/>
          </w:tblCellMar>
        </w:tblPrEx>
        <w:trPr>
          <w:trHeight w:val="308" w:hRule="atLeast"/>
        </w:trPr>
        <w:tc>
          <w:tcPr>
            <w:tcW w:w="130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支出功能分类科目编码</w:t>
            </w:r>
          </w:p>
        </w:tc>
        <w:tc>
          <w:tcPr>
            <w:tcW w:w="395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164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64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基本支出</w:t>
            </w:r>
          </w:p>
        </w:tc>
        <w:tc>
          <w:tcPr>
            <w:tcW w:w="165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r>
      <w:tr>
        <w:tblPrEx>
          <w:tblCellMar>
            <w:top w:w="0" w:type="dxa"/>
            <w:left w:w="108" w:type="dxa"/>
            <w:bottom w:w="0" w:type="dxa"/>
            <w:right w:w="108" w:type="dxa"/>
          </w:tblCellMar>
        </w:tblPrEx>
        <w:trPr>
          <w:trHeight w:val="277"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5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5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615" w:hRule="atLeast"/>
        </w:trPr>
        <w:tc>
          <w:tcPr>
            <w:tcW w:w="130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5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4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5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08" w:hRule="atLeast"/>
        </w:trPr>
        <w:tc>
          <w:tcPr>
            <w:tcW w:w="436"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4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43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39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r>
      <w:tr>
        <w:tblPrEx>
          <w:tblCellMar>
            <w:top w:w="0" w:type="dxa"/>
            <w:left w:w="108" w:type="dxa"/>
            <w:bottom w:w="0" w:type="dxa"/>
            <w:right w:w="108" w:type="dxa"/>
          </w:tblCellMar>
        </w:tblPrEx>
        <w:trPr>
          <w:trHeight w:val="308" w:hRule="atLeast"/>
        </w:trPr>
        <w:tc>
          <w:tcPr>
            <w:tcW w:w="436"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3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395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47,226,316.53</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33,481,483.85</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公共安全支出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41,171,043.54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27,426,210.86</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41,171,043.54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27,426,210.86</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2040201</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行政运行</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40,208,779.54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26,463,946.86</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13,744,832.68</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2040250</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事业运行</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455,124.00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2040299</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其他公安支出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507,140.00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社会保障和就业支出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4,751,902.84</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行政事业单位离退休</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4,161,342.84</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2080505</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机关事业单位基本养老保险缴费支出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3,017,187.60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2080506</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机关事业单位职业年金缴费支出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1,123,195.24</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2080599</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其他行政事业单位离退休支出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20,960.00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590,560.00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2080801</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死亡抚恤</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533,536.00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2080899</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其他优抚支出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57,024.00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医疗卫生与计划生育支出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行政事业单位医疗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965,370.15</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2101101</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行政单位医疗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912,582.15</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2101102</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事业单位医疗</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农林水支出</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338,000.00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林业</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2130213</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林业执法与监督</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248,000.00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w:t>
            </w:r>
          </w:p>
        </w:tc>
        <w:tc>
          <w:tcPr>
            <w:tcW w:w="39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扶贫</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5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1308" w:type="dxa"/>
            <w:gridSpan w:val="3"/>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2130599</w:t>
            </w:r>
          </w:p>
        </w:tc>
        <w:tc>
          <w:tcPr>
            <w:tcW w:w="395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其他扶贫支出</w:t>
            </w:r>
          </w:p>
        </w:tc>
        <w:tc>
          <w:tcPr>
            <w:tcW w:w="164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4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90,000.00</w:t>
            </w:r>
          </w:p>
        </w:tc>
        <w:tc>
          <w:tcPr>
            <w:tcW w:w="1656" w:type="dxa"/>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jc w:val="both"/>
        <w:rPr>
          <w:rFonts w:hint="eastAsia" w:ascii="黑体" w:eastAsia="黑体"/>
          <w:sz w:val="15"/>
          <w:szCs w:val="15"/>
        </w:rPr>
      </w:pPr>
    </w:p>
    <w:p>
      <w:pPr>
        <w:jc w:val="both"/>
        <w:rPr>
          <w:rFonts w:hint="eastAsia" w:ascii="黑体" w:eastAsia="黑体"/>
          <w:sz w:val="15"/>
          <w:szCs w:val="15"/>
        </w:rPr>
      </w:pPr>
    </w:p>
    <w:tbl>
      <w:tblPr>
        <w:tblStyle w:val="3"/>
        <w:tblpPr w:leftFromText="180" w:rightFromText="180" w:vertAnchor="text" w:horzAnchor="page" w:tblpX="896" w:tblpY="560"/>
        <w:tblOverlap w:val="never"/>
        <w:tblW w:w="10080" w:type="dxa"/>
        <w:tblInd w:w="0" w:type="dxa"/>
        <w:shd w:val="clear" w:color="auto" w:fill="auto"/>
        <w:tblLayout w:type="fixed"/>
        <w:tblCellMar>
          <w:top w:w="0" w:type="dxa"/>
          <w:left w:w="108" w:type="dxa"/>
          <w:bottom w:w="0" w:type="dxa"/>
          <w:right w:w="108" w:type="dxa"/>
        </w:tblCellMar>
      </w:tblPr>
      <w:tblGrid>
        <w:gridCol w:w="742"/>
        <w:gridCol w:w="1264"/>
        <w:gridCol w:w="1512"/>
        <w:gridCol w:w="742"/>
        <w:gridCol w:w="1448"/>
        <w:gridCol w:w="1270"/>
        <w:gridCol w:w="742"/>
        <w:gridCol w:w="1022"/>
        <w:gridCol w:w="1338"/>
      </w:tblGrid>
      <w:tr>
        <w:tblPrEx>
          <w:shd w:val="clear" w:color="auto" w:fill="auto"/>
          <w:tblCellMar>
            <w:top w:w="0" w:type="dxa"/>
            <w:left w:w="108" w:type="dxa"/>
            <w:bottom w:w="0" w:type="dxa"/>
            <w:right w:w="108" w:type="dxa"/>
          </w:tblCellMar>
        </w:tblPrEx>
        <w:trPr>
          <w:trHeight w:val="90" w:hRule="atLeast"/>
        </w:trPr>
        <w:tc>
          <w:tcPr>
            <w:tcW w:w="10080" w:type="dxa"/>
            <w:gridSpan w:val="9"/>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一般公共预算财政拨款基本支出决算表</w:t>
            </w:r>
          </w:p>
        </w:tc>
      </w:tr>
      <w:tr>
        <w:tblPrEx>
          <w:tblCellMar>
            <w:top w:w="0" w:type="dxa"/>
            <w:left w:w="108" w:type="dxa"/>
            <w:bottom w:w="0" w:type="dxa"/>
            <w:right w:w="108" w:type="dxa"/>
          </w:tblCellMar>
        </w:tblPrEx>
        <w:trPr>
          <w:trHeight w:val="90" w:hRule="atLeast"/>
        </w:trPr>
        <w:tc>
          <w:tcPr>
            <w:tcW w:w="742" w:type="dxa"/>
            <w:tcBorders>
              <w:top w:val="nil"/>
              <w:left w:val="nil"/>
              <w:bottom w:val="nil"/>
              <w:right w:val="nil"/>
            </w:tcBorders>
            <w:shd w:val="clear" w:color="auto" w:fill="auto"/>
            <w:noWrap/>
            <w:vAlign w:val="bottom"/>
          </w:tcPr>
          <w:p>
            <w:pPr>
              <w:rPr>
                <w:rFonts w:hint="eastAsia" w:ascii="Arial" w:hAnsi="Arial" w:cs="Arial"/>
                <w:i w:val="0"/>
                <w:iCs w:val="0"/>
                <w:color w:val="000000"/>
                <w:sz w:val="15"/>
                <w:szCs w:val="15"/>
                <w:u w:val="none"/>
              </w:rPr>
            </w:pPr>
          </w:p>
        </w:tc>
        <w:tc>
          <w:tcPr>
            <w:tcW w:w="1264"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51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74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448"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270"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74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02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338"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公开06表</w:t>
            </w:r>
          </w:p>
        </w:tc>
      </w:tr>
      <w:tr>
        <w:tblPrEx>
          <w:tblCellMar>
            <w:top w:w="0" w:type="dxa"/>
            <w:left w:w="108" w:type="dxa"/>
            <w:bottom w:w="0" w:type="dxa"/>
            <w:right w:w="108" w:type="dxa"/>
          </w:tblCellMar>
        </w:tblPrEx>
        <w:trPr>
          <w:trHeight w:val="90" w:hRule="atLeast"/>
        </w:trPr>
        <w:tc>
          <w:tcPr>
            <w:tcW w:w="3518" w:type="dxa"/>
            <w:gridSpan w:val="3"/>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编制单位：庐山市公安局</w:t>
            </w:r>
          </w:p>
        </w:tc>
        <w:tc>
          <w:tcPr>
            <w:tcW w:w="74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448"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2018年度</w:t>
            </w:r>
          </w:p>
        </w:tc>
        <w:tc>
          <w:tcPr>
            <w:tcW w:w="1270"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74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022" w:type="dxa"/>
            <w:tcBorders>
              <w:top w:val="nil"/>
              <w:left w:val="nil"/>
              <w:bottom w:val="nil"/>
              <w:right w:val="nil"/>
            </w:tcBorders>
            <w:shd w:val="clear" w:color="auto" w:fill="auto"/>
            <w:noWrap/>
            <w:vAlign w:val="bottom"/>
          </w:tcPr>
          <w:p>
            <w:pPr>
              <w:rPr>
                <w:rFonts w:hint="default" w:ascii="Arial" w:hAnsi="Arial" w:cs="Arial"/>
                <w:i w:val="0"/>
                <w:iCs w:val="0"/>
                <w:color w:val="000000"/>
                <w:sz w:val="15"/>
                <w:szCs w:val="15"/>
                <w:u w:val="none"/>
              </w:rPr>
            </w:pPr>
          </w:p>
        </w:tc>
        <w:tc>
          <w:tcPr>
            <w:tcW w:w="1338"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金额单位：元</w:t>
            </w:r>
          </w:p>
        </w:tc>
      </w:tr>
      <w:tr>
        <w:tblPrEx>
          <w:tblCellMar>
            <w:top w:w="0" w:type="dxa"/>
            <w:left w:w="108" w:type="dxa"/>
            <w:bottom w:w="0" w:type="dxa"/>
            <w:right w:w="108" w:type="dxa"/>
          </w:tblCellMar>
        </w:tblPrEx>
        <w:trPr>
          <w:trHeight w:val="90" w:hRule="atLeast"/>
        </w:trPr>
        <w:tc>
          <w:tcPr>
            <w:tcW w:w="351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人员经费</w:t>
            </w:r>
          </w:p>
        </w:tc>
        <w:tc>
          <w:tcPr>
            <w:tcW w:w="6562"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公用经费</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经济分类科目编码</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科目名称</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金额</w:t>
            </w:r>
          </w:p>
        </w:tc>
        <w:tc>
          <w:tcPr>
            <w:tcW w:w="74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经济分类科目编码</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科目名称</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金额</w:t>
            </w:r>
          </w:p>
        </w:tc>
        <w:tc>
          <w:tcPr>
            <w:tcW w:w="74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经济分类科目编码</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科目名称</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金额</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301</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工资福利支出</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26,262,952.90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302</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商品和服务支出</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5,839,490.95</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307</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债务利息及费用支出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30101</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基本工资</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7,668,487.12</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30201</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办公费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369,415.66</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30701</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国内债务付息</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30102</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津贴补贴</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10,282,554.10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30202</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印刷费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73,862.00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30702</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国外债务付息</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30103</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奖金</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3,986,781.75</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30203</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咨询费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32,200.00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30703</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国内债务发行费用</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30106</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伙食补助费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30204</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手续费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30704</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国外债务发行费用</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30107</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绩效工资</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30205</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水费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61,213.23</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310</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资本性支出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507,080.00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30108</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机关事业单位基本养老保险缴费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3,108,075.00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30206</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电费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335,519.14</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31001</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房屋建筑物购建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30109</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职业年金缴费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37,414.00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30207</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邮电费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74,035.80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31002</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办公设备购置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7,080.00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30110</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职工基本医疗保险缴费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967,508.68</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30208</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取暖费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31003</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专用设备购置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30111</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公务员医疗补助缴款</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30209</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物业管理费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31005</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基础设施建设</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30112</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其他社会保障缴费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162,040.27</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30211</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差旅费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201,599.00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31006</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大型修缮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30113</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住房公积金</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30212</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因公出国（境）费用</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31007</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信息网络及软件购置更新</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500,000.00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30114</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医疗费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50,091.98</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30213</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维修（护）费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273,144.00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31008</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物资储备</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30199</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其他工资福利支出</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30214</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租赁费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1,550.00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31009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土地补偿</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303</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对个人和家庭的补助</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871,960.00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30215</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会议费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31010</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安置补助</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30301</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离休费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30216</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培训费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1,509.00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31011</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地上附着物和青苗补偿</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30302</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退休费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30217</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公务接待费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105,463.00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31012</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拆迁补偿</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30303</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退职（役）费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30218</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专用材料费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31013</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公务用车购置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30304</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抚恤金</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596,500.00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30224</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被装购置费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31019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其他交通工具购置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30305</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生活补贴</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30225</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专用燃料费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31021</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文物和陈列品购置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30306</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救济费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30226</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劳务费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1,459,303.77</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31022</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无形资产购置</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30307</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医疗费</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117,960.00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30227</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委托业务费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31099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其他资本性支出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30308</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助学金</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30228</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工会经费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393,300.00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312</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对企业补助</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30309</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奖励金</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30229</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福利费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881,787.30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31201</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资本金注入</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30310</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个人农业生产补贴</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30231</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公务用车运行维护费</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41,736.00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31203</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政府投资基金股权投资</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30399</w:t>
            </w:r>
          </w:p>
        </w:tc>
        <w:tc>
          <w:tcPr>
            <w:tcW w:w="126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其他对个人和家庭的补助支出</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157,500.00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30239</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其他交通费用</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963,280.00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31204</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费用补贴</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30240</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税金及附加费用</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31205</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利息补贴</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30299</w:t>
            </w:r>
          </w:p>
        </w:tc>
        <w:tc>
          <w:tcPr>
            <w:tcW w:w="144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其他商品和服务支出</w:t>
            </w:r>
          </w:p>
        </w:tc>
        <w:tc>
          <w:tcPr>
            <w:tcW w:w="12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570,573.05</w:t>
            </w: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31299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其他对企业补助</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448"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27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399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5"/>
                <w:szCs w:val="15"/>
                <w:u w:val="none"/>
              </w:rPr>
            </w:pPr>
            <w:r>
              <w:rPr>
                <w:rFonts w:hint="eastAsia" w:ascii="宋体" w:hAnsi="宋体" w:eastAsia="宋体" w:cs="宋体"/>
                <w:b/>
                <w:bCs/>
                <w:i w:val="0"/>
                <w:iCs w:val="0"/>
                <w:color w:val="000000"/>
                <w:kern w:val="0"/>
                <w:sz w:val="15"/>
                <w:szCs w:val="15"/>
                <w:u w:val="none"/>
                <w:lang w:val="en-US" w:eastAsia="zh-CN" w:bidi="ar"/>
              </w:rPr>
              <w:t>其他支出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448"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27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39906</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赠与</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448"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27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39907</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国家赔偿费用支出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448"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27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39908</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对民间非营利组织和群众性自治组织补贴</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742"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264"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51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15"/>
                <w:szCs w:val="15"/>
                <w:u w:val="none"/>
              </w:rPr>
            </w:pPr>
          </w:p>
        </w:tc>
        <w:tc>
          <w:tcPr>
            <w:tcW w:w="1448" w:type="dxa"/>
            <w:tcBorders>
              <w:top w:val="nil"/>
              <w:left w:val="nil"/>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27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15"/>
                <w:szCs w:val="15"/>
                <w:u w:val="none"/>
              </w:rPr>
            </w:pPr>
          </w:p>
        </w:tc>
        <w:tc>
          <w:tcPr>
            <w:tcW w:w="74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39999</w:t>
            </w:r>
          </w:p>
        </w:tc>
        <w:tc>
          <w:tcPr>
            <w:tcW w:w="102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 xml:space="preserve">  其他支出</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0.00</w:t>
            </w:r>
          </w:p>
        </w:tc>
      </w:tr>
      <w:tr>
        <w:tblPrEx>
          <w:tblCellMar>
            <w:top w:w="0" w:type="dxa"/>
            <w:left w:w="108" w:type="dxa"/>
            <w:bottom w:w="0" w:type="dxa"/>
            <w:right w:w="108" w:type="dxa"/>
          </w:tblCellMar>
        </w:tblPrEx>
        <w:trPr>
          <w:trHeight w:val="90" w:hRule="atLeast"/>
        </w:trPr>
        <w:tc>
          <w:tcPr>
            <w:tcW w:w="2006"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人员经费合计</w:t>
            </w:r>
          </w:p>
        </w:tc>
        <w:tc>
          <w:tcPr>
            <w:tcW w:w="15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27,134,912.90</w:t>
            </w:r>
          </w:p>
        </w:tc>
        <w:tc>
          <w:tcPr>
            <w:tcW w:w="5224"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公用支出合计</w:t>
            </w:r>
          </w:p>
        </w:tc>
        <w:tc>
          <w:tcPr>
            <w:tcW w:w="13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6,346,570.95</w:t>
            </w:r>
          </w:p>
        </w:tc>
      </w:tr>
    </w:tbl>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8"/>
          <w:szCs w:val="18"/>
        </w:rPr>
      </w:pPr>
    </w:p>
    <w:p>
      <w:pPr>
        <w:jc w:val="center"/>
        <w:rPr>
          <w:rFonts w:hint="eastAsia" w:ascii="黑体" w:eastAsia="黑体"/>
          <w:sz w:val="18"/>
          <w:szCs w:val="18"/>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8429" w:type="dxa"/>
        <w:tblInd w:w="93" w:type="dxa"/>
        <w:shd w:val="clear" w:color="auto" w:fill="auto"/>
        <w:tblLayout w:type="autofit"/>
        <w:tblCellMar>
          <w:top w:w="0" w:type="dxa"/>
          <w:left w:w="108" w:type="dxa"/>
          <w:bottom w:w="0" w:type="dxa"/>
          <w:right w:w="108" w:type="dxa"/>
        </w:tblCellMar>
      </w:tblPr>
      <w:tblGrid>
        <w:gridCol w:w="4022"/>
        <w:gridCol w:w="1274"/>
        <w:gridCol w:w="1450"/>
        <w:gridCol w:w="1683"/>
      </w:tblGrid>
      <w:tr>
        <w:tblPrEx>
          <w:shd w:val="clear" w:color="auto" w:fill="auto"/>
          <w:tblCellMar>
            <w:top w:w="0" w:type="dxa"/>
            <w:left w:w="108" w:type="dxa"/>
            <w:bottom w:w="0" w:type="dxa"/>
            <w:right w:w="108" w:type="dxa"/>
          </w:tblCellMar>
        </w:tblPrEx>
        <w:trPr>
          <w:trHeight w:val="540" w:hRule="atLeast"/>
        </w:trPr>
        <w:tc>
          <w:tcPr>
            <w:tcW w:w="8429" w:type="dxa"/>
            <w:gridSpan w:val="4"/>
            <w:tcBorders>
              <w:top w:val="nil"/>
              <w:left w:val="nil"/>
              <w:bottom w:val="nil"/>
              <w:right w:val="nil"/>
            </w:tcBorders>
            <w:shd w:val="clear" w:color="auto" w:fill="auto"/>
            <w:noWrap/>
            <w:vAlign w:val="bottom"/>
          </w:tcPr>
          <w:p>
            <w:pPr>
              <w:rPr>
                <w:rFonts w:hint="default" w:ascii="Arial" w:hAnsi="Arial" w:cs="Arial"/>
                <w:i w:val="0"/>
                <w:iCs w:val="0"/>
                <w:color w:val="000000"/>
                <w:sz w:val="20"/>
                <w:szCs w:val="20"/>
                <w:u w:val="none"/>
              </w:rPr>
            </w:pPr>
            <w:r>
              <w:rPr>
                <w:rFonts w:hint="eastAsia" w:ascii="宋体" w:hAnsi="宋体" w:eastAsia="宋体" w:cs="宋体"/>
                <w:i w:val="0"/>
                <w:iCs w:val="0"/>
                <w:color w:val="000000"/>
                <w:kern w:val="0"/>
                <w:sz w:val="44"/>
                <w:szCs w:val="44"/>
                <w:u w:val="none"/>
                <w:lang w:val="en-US" w:eastAsia="zh-CN" w:bidi="ar"/>
              </w:rPr>
              <w:t>一般公共预算财政拨款“三公”经费支出决算表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公开07表</w:t>
            </w:r>
          </w:p>
        </w:tc>
      </w:tr>
      <w:tr>
        <w:tblPrEx>
          <w:tblCellMar>
            <w:top w:w="0" w:type="dxa"/>
            <w:left w:w="108" w:type="dxa"/>
            <w:bottom w:w="0" w:type="dxa"/>
            <w:right w:w="108" w:type="dxa"/>
          </w:tblCellMar>
        </w:tblPrEx>
        <w:trPr>
          <w:trHeight w:val="255" w:hRule="atLeast"/>
        </w:trPr>
        <w:tc>
          <w:tcPr>
            <w:tcW w:w="0" w:type="auto"/>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0" w:type="auto"/>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0" w:type="auto"/>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0" w:type="auto"/>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年初预算数</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决算数</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行次</w:t>
            </w:r>
          </w:p>
        </w:tc>
        <w:tc>
          <w:tcPr>
            <w:tcW w:w="0" w:type="auto"/>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一、“三公”经费支出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919,252.00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347,499.47</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1.因公出国（境）费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2.公务用车购置及运行维护费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242,036.47</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（1）公务用车购置费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（2）公务用车运行维护费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490,000.00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242,036.47</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3.公务接待费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429,252.00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105,463.00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（1）国内接待费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429,252.00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105,463.00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其中：外事接待费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（2）国（境）外接待费</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二、相关统计数</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1.因公出国（境）团组数（个）</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2.因公出国（境）人次数（人）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3.公务用车购置数（辆）</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4.公务用车保有量（辆）</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5.国内公务接待批次（个）</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其中：外事接待批次（个）</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6.国内公务接待人次（人）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792</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其中：外事接待人次（人）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7.国（境）外公务接待批次（个）</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8.国（境）外公务接待人次（人）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bl>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Style w:val="3"/>
        <w:tblpPr w:leftFromText="180" w:rightFromText="180" w:vertAnchor="text" w:horzAnchor="page" w:tblpX="109" w:tblpY="219"/>
        <w:tblOverlap w:val="never"/>
        <w:tblW w:w="9978" w:type="dxa"/>
        <w:tblInd w:w="0" w:type="dxa"/>
        <w:shd w:val="clear" w:color="auto" w:fill="auto"/>
        <w:tblLayout w:type="autofit"/>
        <w:tblCellMar>
          <w:top w:w="0" w:type="dxa"/>
          <w:left w:w="108" w:type="dxa"/>
          <w:bottom w:w="0" w:type="dxa"/>
          <w:right w:w="108" w:type="dxa"/>
        </w:tblCellMar>
      </w:tblPr>
      <w:tblGrid>
        <w:gridCol w:w="396"/>
        <w:gridCol w:w="396"/>
        <w:gridCol w:w="396"/>
        <w:gridCol w:w="2511"/>
        <w:gridCol w:w="770"/>
        <w:gridCol w:w="1377"/>
        <w:gridCol w:w="1377"/>
        <w:gridCol w:w="587"/>
        <w:gridCol w:w="1380"/>
        <w:gridCol w:w="788"/>
      </w:tblGrid>
      <w:tr>
        <w:tblPrEx>
          <w:shd w:val="clear" w:color="auto" w:fill="auto"/>
          <w:tblCellMar>
            <w:top w:w="0" w:type="dxa"/>
            <w:left w:w="108" w:type="dxa"/>
            <w:bottom w:w="0" w:type="dxa"/>
            <w:right w:w="108" w:type="dxa"/>
          </w:tblCellMar>
        </w:tblPrEx>
        <w:trPr>
          <w:trHeight w:val="581" w:hRule="atLeast"/>
        </w:trPr>
        <w:tc>
          <w:tcPr>
            <w:tcW w:w="9978" w:type="dxa"/>
            <w:gridSpan w:val="10"/>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44"/>
                <w:szCs w:val="44"/>
                <w:u w:val="none"/>
              </w:rPr>
            </w:pPr>
            <w:r>
              <w:rPr>
                <w:rFonts w:hint="eastAsia" w:ascii="宋体" w:hAnsi="宋体" w:eastAsia="宋体" w:cs="宋体"/>
                <w:i w:val="0"/>
                <w:iCs w:val="0"/>
                <w:color w:val="000000"/>
                <w:kern w:val="0"/>
                <w:sz w:val="44"/>
                <w:szCs w:val="44"/>
                <w:u w:val="none"/>
                <w:lang w:val="en-US" w:eastAsia="zh-CN" w:bidi="ar"/>
              </w:rPr>
              <w:t>政府性基金预算财政拨款收入支出决算表</w:t>
            </w:r>
          </w:p>
        </w:tc>
      </w:tr>
      <w:tr>
        <w:tblPrEx>
          <w:tblCellMar>
            <w:top w:w="0" w:type="dxa"/>
            <w:left w:w="108" w:type="dxa"/>
            <w:bottom w:w="0" w:type="dxa"/>
            <w:right w:w="108" w:type="dxa"/>
          </w:tblCellMar>
        </w:tblPrEx>
        <w:trPr>
          <w:trHeight w:val="510" w:hRule="atLeast"/>
        </w:trPr>
        <w:tc>
          <w:tcPr>
            <w:tcW w:w="396" w:type="dxa"/>
            <w:tcBorders>
              <w:top w:val="nil"/>
              <w:left w:val="nil"/>
              <w:bottom w:val="nil"/>
              <w:right w:val="nil"/>
            </w:tcBorders>
            <w:shd w:val="clear" w:color="auto" w:fill="auto"/>
            <w:noWrap/>
            <w:vAlign w:val="bottom"/>
          </w:tcPr>
          <w:p>
            <w:pPr>
              <w:rPr>
                <w:rFonts w:hint="eastAsia" w:ascii="Arial" w:hAnsi="Arial" w:cs="Arial"/>
                <w:i w:val="0"/>
                <w:iCs w:val="0"/>
                <w:color w:val="000000"/>
                <w:sz w:val="18"/>
                <w:szCs w:val="18"/>
                <w:u w:val="none"/>
              </w:rPr>
            </w:pPr>
          </w:p>
        </w:tc>
        <w:tc>
          <w:tcPr>
            <w:tcW w:w="39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396"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511"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77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7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7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58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168"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公开08表</w:t>
            </w:r>
          </w:p>
        </w:tc>
      </w:tr>
      <w:tr>
        <w:tblPrEx>
          <w:tblCellMar>
            <w:top w:w="0" w:type="dxa"/>
            <w:left w:w="108" w:type="dxa"/>
            <w:bottom w:w="0" w:type="dxa"/>
            <w:right w:w="108" w:type="dxa"/>
          </w:tblCellMar>
        </w:tblPrEx>
        <w:trPr>
          <w:trHeight w:val="510" w:hRule="atLeast"/>
        </w:trPr>
        <w:tc>
          <w:tcPr>
            <w:tcW w:w="3699" w:type="dxa"/>
            <w:gridSpan w:val="4"/>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编制单位：庐山市公安局</w:t>
            </w:r>
          </w:p>
        </w:tc>
        <w:tc>
          <w:tcPr>
            <w:tcW w:w="770"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1377" w:type="dxa"/>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2018年度</w:t>
            </w:r>
          </w:p>
        </w:tc>
        <w:tc>
          <w:tcPr>
            <w:tcW w:w="137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587" w:type="dxa"/>
            <w:tcBorders>
              <w:top w:val="nil"/>
              <w:left w:val="nil"/>
              <w:bottom w:val="nil"/>
              <w:right w:val="nil"/>
            </w:tcBorders>
            <w:shd w:val="clear" w:color="auto" w:fill="auto"/>
            <w:noWrap/>
            <w:vAlign w:val="bottom"/>
          </w:tcPr>
          <w:p>
            <w:pPr>
              <w:rPr>
                <w:rFonts w:hint="default" w:ascii="Arial" w:hAnsi="Arial" w:cs="Arial"/>
                <w:i w:val="0"/>
                <w:iCs w:val="0"/>
                <w:color w:val="000000"/>
                <w:sz w:val="18"/>
                <w:szCs w:val="18"/>
                <w:u w:val="none"/>
              </w:rPr>
            </w:pPr>
          </w:p>
        </w:tc>
        <w:tc>
          <w:tcPr>
            <w:tcW w:w="2168" w:type="dxa"/>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金额单位：元</w:t>
            </w:r>
          </w:p>
        </w:tc>
      </w:tr>
      <w:tr>
        <w:tblPrEx>
          <w:tblCellMar>
            <w:top w:w="0" w:type="dxa"/>
            <w:left w:w="108" w:type="dxa"/>
            <w:bottom w:w="0" w:type="dxa"/>
            <w:right w:w="108" w:type="dxa"/>
          </w:tblCellMar>
        </w:tblPrEx>
        <w:trPr>
          <w:trHeight w:val="300" w:hRule="atLeast"/>
        </w:trPr>
        <w:tc>
          <w:tcPr>
            <w:tcW w:w="369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    目</w:t>
            </w:r>
          </w:p>
        </w:tc>
        <w:tc>
          <w:tcPr>
            <w:tcW w:w="77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年初结转和结余</w:t>
            </w:r>
          </w:p>
        </w:tc>
        <w:tc>
          <w:tcPr>
            <w:tcW w:w="137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本年收入</w:t>
            </w:r>
          </w:p>
        </w:tc>
        <w:tc>
          <w:tcPr>
            <w:tcW w:w="3344"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本年支出</w:t>
            </w:r>
          </w:p>
        </w:tc>
        <w:tc>
          <w:tcPr>
            <w:tcW w:w="78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年末结转和结余</w:t>
            </w:r>
          </w:p>
        </w:tc>
      </w:tr>
      <w:tr>
        <w:tblPrEx>
          <w:tblCellMar>
            <w:top w:w="0" w:type="dxa"/>
            <w:left w:w="108" w:type="dxa"/>
            <w:bottom w:w="0" w:type="dxa"/>
            <w:right w:w="108" w:type="dxa"/>
          </w:tblCellMar>
        </w:tblPrEx>
        <w:trPr>
          <w:trHeight w:val="312" w:hRule="atLeast"/>
        </w:trPr>
        <w:tc>
          <w:tcPr>
            <w:tcW w:w="1188" w:type="dxa"/>
            <w:gridSpan w:val="3"/>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支出功能分类科目编码</w:t>
            </w:r>
          </w:p>
        </w:tc>
        <w:tc>
          <w:tcPr>
            <w:tcW w:w="2511"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科目名称</w:t>
            </w:r>
          </w:p>
        </w:tc>
        <w:tc>
          <w:tcPr>
            <w:tcW w:w="77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小计</w:t>
            </w:r>
          </w:p>
        </w:tc>
        <w:tc>
          <w:tcPr>
            <w:tcW w:w="587"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基本支出</w:t>
            </w:r>
          </w:p>
        </w:tc>
        <w:tc>
          <w:tcPr>
            <w:tcW w:w="1380"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78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118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1"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80"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12" w:hRule="atLeast"/>
        </w:trPr>
        <w:tc>
          <w:tcPr>
            <w:tcW w:w="1188" w:type="dxa"/>
            <w:gridSpan w:val="3"/>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511"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7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7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587"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1380"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78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300" w:hRule="atLeast"/>
        </w:trPr>
        <w:tc>
          <w:tcPr>
            <w:tcW w:w="396" w:type="dxa"/>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类</w:t>
            </w:r>
          </w:p>
        </w:tc>
        <w:tc>
          <w:tcPr>
            <w:tcW w:w="39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款</w:t>
            </w:r>
          </w:p>
        </w:tc>
        <w:tc>
          <w:tcPr>
            <w:tcW w:w="39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w:t>
            </w:r>
          </w:p>
        </w:tc>
        <w:tc>
          <w:tcPr>
            <w:tcW w:w="251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栏次</w:t>
            </w:r>
          </w:p>
        </w:tc>
        <w:tc>
          <w:tcPr>
            <w:tcW w:w="7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5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r>
      <w:tr>
        <w:tblPrEx>
          <w:tblCellMar>
            <w:top w:w="0" w:type="dxa"/>
            <w:left w:w="108" w:type="dxa"/>
            <w:bottom w:w="0" w:type="dxa"/>
            <w:right w:w="108" w:type="dxa"/>
          </w:tblCellMar>
        </w:tblPrEx>
        <w:trPr>
          <w:trHeight w:val="300" w:hRule="atLeast"/>
        </w:trPr>
        <w:tc>
          <w:tcPr>
            <w:tcW w:w="396" w:type="dxa"/>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9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39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18"/>
                <w:szCs w:val="18"/>
                <w:u w:val="none"/>
              </w:rPr>
            </w:pPr>
          </w:p>
        </w:tc>
        <w:tc>
          <w:tcPr>
            <w:tcW w:w="251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7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5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7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0" w:hRule="atLeast"/>
        </w:trPr>
        <w:tc>
          <w:tcPr>
            <w:tcW w:w="118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w:t>
            </w:r>
          </w:p>
        </w:tc>
        <w:tc>
          <w:tcPr>
            <w:tcW w:w="251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城乡社区支出</w:t>
            </w:r>
          </w:p>
        </w:tc>
        <w:tc>
          <w:tcPr>
            <w:tcW w:w="7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5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7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790" w:hRule="atLeast"/>
        </w:trPr>
        <w:tc>
          <w:tcPr>
            <w:tcW w:w="118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w:t>
            </w:r>
          </w:p>
        </w:tc>
        <w:tc>
          <w:tcPr>
            <w:tcW w:w="251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国有土地使用权出让收入及对应专项债务收入安排的支出</w:t>
            </w:r>
          </w:p>
        </w:tc>
        <w:tc>
          <w:tcPr>
            <w:tcW w:w="7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5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7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CellMar>
            <w:top w:w="0" w:type="dxa"/>
            <w:left w:w="108" w:type="dxa"/>
            <w:bottom w:w="0" w:type="dxa"/>
            <w:right w:w="108" w:type="dxa"/>
          </w:tblCellMar>
        </w:tblPrEx>
        <w:trPr>
          <w:trHeight w:val="309" w:hRule="atLeast"/>
        </w:trPr>
        <w:tc>
          <w:tcPr>
            <w:tcW w:w="1188" w:type="dxa"/>
            <w:gridSpan w:val="3"/>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2120801</w:t>
            </w:r>
          </w:p>
        </w:tc>
        <w:tc>
          <w:tcPr>
            <w:tcW w:w="251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征地和拆迁补偿支出</w:t>
            </w:r>
          </w:p>
        </w:tc>
        <w:tc>
          <w:tcPr>
            <w:tcW w:w="77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13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58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138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1,000,000.00</w:t>
            </w:r>
          </w:p>
        </w:tc>
        <w:tc>
          <w:tcPr>
            <w:tcW w:w="7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bl>
    <w:p>
      <w:pPr>
        <w:jc w:val="center"/>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both"/>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p>
      <w:pPr>
        <w:jc w:val="center"/>
        <w:rPr>
          <w:rFonts w:hint="eastAsia" w:ascii="黑体" w:eastAsia="黑体"/>
          <w:sz w:val="15"/>
          <w:szCs w:val="15"/>
        </w:rPr>
      </w:pPr>
    </w:p>
    <w:tbl>
      <w:tblPr>
        <w:tblStyle w:val="3"/>
        <w:tblW w:w="8190" w:type="dxa"/>
        <w:tblInd w:w="0" w:type="dxa"/>
        <w:shd w:val="clear" w:color="auto" w:fill="auto"/>
        <w:tblLayout w:type="autofit"/>
        <w:tblCellMar>
          <w:top w:w="0" w:type="dxa"/>
          <w:left w:w="0" w:type="dxa"/>
          <w:bottom w:w="0" w:type="dxa"/>
          <w:right w:w="0" w:type="dxa"/>
        </w:tblCellMar>
      </w:tblPr>
      <w:tblGrid>
        <w:gridCol w:w="5027"/>
        <w:gridCol w:w="1109"/>
        <w:gridCol w:w="2054"/>
      </w:tblGrid>
      <w:tr>
        <w:tblPrEx>
          <w:shd w:val="clear" w:color="auto" w:fill="auto"/>
          <w:tblCellMar>
            <w:top w:w="0" w:type="dxa"/>
            <w:left w:w="0" w:type="dxa"/>
            <w:bottom w:w="0" w:type="dxa"/>
            <w:right w:w="0" w:type="dxa"/>
          </w:tblCellMar>
        </w:tblPrEx>
        <w:trPr>
          <w:trHeight w:val="540" w:hRule="atLeast"/>
        </w:trPr>
        <w:tc>
          <w:tcPr>
            <w:tcW w:w="8190" w:type="dxa"/>
            <w:gridSpan w:val="3"/>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44"/>
                <w:szCs w:val="44"/>
                <w:u w:val="none"/>
              </w:rPr>
            </w:pPr>
            <w:r>
              <w:rPr>
                <w:rFonts w:hint="eastAsia" w:ascii="宋体" w:hAnsi="宋体" w:eastAsia="宋体" w:cs="宋体"/>
                <w:i w:val="0"/>
                <w:color w:val="000000"/>
                <w:kern w:val="0"/>
                <w:sz w:val="44"/>
                <w:szCs w:val="44"/>
                <w:u w:val="none"/>
                <w:lang w:val="en-US" w:eastAsia="zh-CN" w:bidi="ar"/>
              </w:rPr>
              <w:t>国有资产占用情况表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CellMar>
            <w:top w:w="0" w:type="dxa"/>
            <w:left w:w="0" w:type="dxa"/>
            <w:bottom w:w="0" w:type="dxa"/>
            <w:right w:w="0" w:type="dxa"/>
          </w:tblCellMar>
        </w:tblPrEx>
        <w:trPr>
          <w:trHeight w:val="255" w:hRule="atLeast"/>
        </w:trPr>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编制单位：庐山市公安局</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2018年度</w:t>
            </w:r>
          </w:p>
        </w:tc>
        <w:tc>
          <w:tcPr>
            <w:tcW w:w="0" w:type="auto"/>
            <w:tcBorders>
              <w:top w:val="nil"/>
              <w:left w:val="nil"/>
              <w:bottom w:val="nil"/>
              <w:right w:val="nil"/>
            </w:tcBorders>
            <w:shd w:val="clear" w:color="auto" w:fill="auto"/>
            <w:noWrap/>
            <w:tcMar>
              <w:top w:w="15" w:type="dxa"/>
              <w:left w:w="15" w:type="dxa"/>
              <w:right w:w="15"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单位：台、辆、套</w:t>
            </w:r>
          </w:p>
        </w:tc>
      </w:tr>
      <w:tr>
        <w:tblPrEx>
          <w:tblCellMar>
            <w:top w:w="0" w:type="dxa"/>
            <w:left w:w="0" w:type="dxa"/>
            <w:bottom w:w="0" w:type="dxa"/>
            <w:right w:w="0" w:type="dxa"/>
          </w:tblCellMar>
        </w:tblPrEx>
        <w:trPr>
          <w:trHeight w:val="30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  目</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0" w:type="auto"/>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决算数</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一、车辆数合计(台、辆)</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46</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1.副部（省）级及以上领导用车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2.主要领导干部用车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3.机要通信用车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4.应急保障用车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5.执法执勤用车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default" w:ascii="宋体" w:hAnsi="宋体" w:eastAsia="宋体" w:cs="宋体"/>
                <w:i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35</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6.特种专业技术用车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7.离退休干部用车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8.其他用车</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二、单价50万元（含）以上通用设备（台，套）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r>
      <w:tr>
        <w:tblPrEx>
          <w:tblCellMar>
            <w:top w:w="0" w:type="dxa"/>
            <w:left w:w="0" w:type="dxa"/>
            <w:bottom w:w="0" w:type="dxa"/>
            <w:right w:w="0" w:type="dxa"/>
          </w:tblCellMar>
        </w:tblPrEx>
        <w:trPr>
          <w:trHeight w:val="308" w:hRule="atLeast"/>
        </w:trPr>
        <w:tc>
          <w:tcPr>
            <w:tcW w:w="0" w:type="auto"/>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三、单价100万元（含）以上专用设备（台，套）</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w:t>
            </w:r>
          </w:p>
        </w:tc>
        <w:tc>
          <w:tcPr>
            <w:tcW w:w="0" w:type="auto"/>
            <w:tcBorders>
              <w:top w:val="nil"/>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CellMar>
            <w:top w:w="0" w:type="dxa"/>
            <w:left w:w="0" w:type="dxa"/>
            <w:bottom w:w="0" w:type="dxa"/>
            <w:right w:w="0" w:type="dxa"/>
          </w:tblCellMar>
        </w:tblPrEx>
        <w:trPr>
          <w:trHeight w:val="308" w:hRule="atLeast"/>
        </w:trPr>
        <w:tc>
          <w:tcPr>
            <w:tcW w:w="0" w:type="auto"/>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注：本表反映截止2018年12月31日，部门占用的国有资产情况。</w:t>
            </w:r>
          </w:p>
        </w:tc>
      </w:tr>
    </w:tbl>
    <w:p>
      <w:pPr>
        <w:numPr>
          <w:ilvl w:val="0"/>
          <w:numId w:val="0"/>
        </w:numPr>
        <w:ind w:firstLine="1606" w:firstLineChars="500"/>
        <w:jc w:val="both"/>
        <w:rPr>
          <w:rFonts w:hint="eastAsia" w:ascii="宋体" w:hAnsi="宋体"/>
          <w:b/>
          <w:sz w:val="32"/>
          <w:szCs w:val="32"/>
        </w:rPr>
      </w:pPr>
      <w:r>
        <w:rPr>
          <w:rFonts w:hint="eastAsia" w:ascii="宋体" w:hAnsi="宋体"/>
          <w:b/>
          <w:sz w:val="32"/>
          <w:szCs w:val="32"/>
          <w:lang w:eastAsia="zh-CN"/>
        </w:rPr>
        <w:t>第三部分</w:t>
      </w:r>
      <w:r>
        <w:rPr>
          <w:rFonts w:hint="eastAsia" w:ascii="宋体" w:hAnsi="宋体"/>
          <w:b/>
          <w:sz w:val="32"/>
          <w:szCs w:val="32"/>
        </w:rPr>
        <w:t xml:space="preserve"> 2018年度部门决算情况说明</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6386.37</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1577.96</w:t>
      </w:r>
      <w:r>
        <w:rPr>
          <w:rFonts w:hint="eastAsia" w:ascii="仿宋" w:hAnsi="仿宋" w:eastAsia="仿宋"/>
          <w:sz w:val="30"/>
          <w:szCs w:val="30"/>
        </w:rPr>
        <w:t>万元，较2017年</w:t>
      </w:r>
      <w:r>
        <w:rPr>
          <w:rFonts w:hint="eastAsia" w:ascii="仿宋" w:hAnsi="仿宋" w:eastAsia="仿宋"/>
          <w:sz w:val="30"/>
          <w:szCs w:val="30"/>
          <w:lang w:eastAsia="zh-CN"/>
        </w:rPr>
        <w:t>增加</w:t>
      </w:r>
      <w:r>
        <w:rPr>
          <w:rFonts w:hint="eastAsia" w:ascii="仿宋" w:hAnsi="仿宋" w:eastAsia="仿宋"/>
          <w:sz w:val="30"/>
          <w:szCs w:val="30"/>
          <w:lang w:val="en-US" w:eastAsia="zh-CN"/>
        </w:rPr>
        <w:t>359.54</w:t>
      </w:r>
      <w:r>
        <w:rPr>
          <w:rFonts w:hint="eastAsia" w:ascii="仿宋" w:hAnsi="仿宋" w:eastAsia="仿宋"/>
          <w:sz w:val="30"/>
          <w:szCs w:val="30"/>
        </w:rPr>
        <w:t>万元，</w:t>
      </w:r>
      <w:r>
        <w:rPr>
          <w:rFonts w:hint="eastAsia" w:ascii="仿宋" w:hAnsi="仿宋" w:eastAsia="仿宋"/>
          <w:sz w:val="30"/>
          <w:szCs w:val="30"/>
          <w:lang w:eastAsia="zh-CN"/>
        </w:rPr>
        <w:t>增长</w:t>
      </w:r>
      <w:r>
        <w:rPr>
          <w:rFonts w:hint="eastAsia" w:ascii="仿宋" w:hAnsi="仿宋" w:eastAsia="仿宋"/>
          <w:sz w:val="30"/>
          <w:szCs w:val="30"/>
          <w:lang w:val="en-US" w:eastAsia="zh-CN"/>
        </w:rPr>
        <w:t>29.51</w:t>
      </w:r>
      <w:r>
        <w:rPr>
          <w:rFonts w:hint="eastAsia" w:ascii="仿宋" w:hAnsi="仿宋" w:eastAsia="仿宋"/>
          <w:sz w:val="30"/>
          <w:szCs w:val="30"/>
        </w:rPr>
        <w:t xml:space="preserve"> %；本年收入合计</w:t>
      </w:r>
      <w:r>
        <w:rPr>
          <w:rFonts w:hint="eastAsia" w:ascii="仿宋" w:hAnsi="仿宋" w:eastAsia="仿宋"/>
          <w:sz w:val="30"/>
          <w:szCs w:val="30"/>
          <w:lang w:val="en-US" w:eastAsia="zh-CN"/>
        </w:rPr>
        <w:t>4808.41</w:t>
      </w:r>
      <w:r>
        <w:rPr>
          <w:rFonts w:hint="eastAsia" w:ascii="仿宋" w:hAnsi="仿宋" w:eastAsia="仿宋"/>
          <w:sz w:val="30"/>
          <w:szCs w:val="30"/>
        </w:rPr>
        <w:t>万元，较2017年减少</w:t>
      </w:r>
      <w:r>
        <w:rPr>
          <w:rFonts w:hint="eastAsia" w:ascii="仿宋" w:hAnsi="仿宋" w:eastAsia="仿宋"/>
          <w:sz w:val="30"/>
          <w:szCs w:val="30"/>
          <w:lang w:val="en-US" w:eastAsia="zh-CN"/>
        </w:rPr>
        <w:t>1184.27</w:t>
      </w:r>
      <w:r>
        <w:rPr>
          <w:rFonts w:hint="eastAsia" w:ascii="仿宋" w:hAnsi="仿宋" w:eastAsia="仿宋"/>
          <w:sz w:val="30"/>
          <w:szCs w:val="30"/>
        </w:rPr>
        <w:t>万元，下降</w:t>
      </w:r>
      <w:r>
        <w:rPr>
          <w:rFonts w:hint="eastAsia" w:ascii="仿宋" w:hAnsi="仿宋" w:eastAsia="仿宋"/>
          <w:sz w:val="30"/>
          <w:szCs w:val="30"/>
          <w:lang w:val="en-US" w:eastAsia="zh-CN"/>
        </w:rPr>
        <w:t>19.76</w:t>
      </w:r>
      <w:r>
        <w:rPr>
          <w:rFonts w:hint="eastAsia" w:ascii="仿宋" w:hAnsi="仿宋" w:eastAsia="仿宋"/>
          <w:sz w:val="30"/>
          <w:szCs w:val="30"/>
        </w:rPr>
        <w:t>%，主要原因是：</w:t>
      </w:r>
      <w:r>
        <w:rPr>
          <w:rFonts w:hint="eastAsia" w:ascii="仿宋" w:hAnsi="仿宋" w:eastAsia="仿宋"/>
          <w:sz w:val="30"/>
          <w:szCs w:val="30"/>
          <w:lang w:eastAsia="zh-CN"/>
        </w:rPr>
        <w:t>因为</w:t>
      </w:r>
      <w:r>
        <w:rPr>
          <w:rFonts w:hint="eastAsia" w:ascii="仿宋" w:hAnsi="仿宋" w:eastAsia="仿宋"/>
          <w:sz w:val="30"/>
          <w:szCs w:val="30"/>
          <w:lang w:val="en-US" w:eastAsia="zh-CN"/>
        </w:rPr>
        <w:t>2017年发放了车改补贴及执行新警衔标准并且补发，以及森林公安</w:t>
      </w:r>
      <w:r>
        <w:rPr>
          <w:rFonts w:hint="eastAsia" w:ascii="仿宋" w:hAnsi="仿宋" w:eastAsia="仿宋"/>
          <w:sz w:val="30"/>
          <w:szCs w:val="30"/>
        </w:rPr>
        <w:t>预算外资金减少和人员减少</w:t>
      </w:r>
      <w:r>
        <w:rPr>
          <w:rFonts w:hint="eastAsia" w:ascii="仿宋" w:hAnsi="仿宋" w:eastAsia="仿宋"/>
          <w:sz w:val="30"/>
          <w:szCs w:val="30"/>
          <w:lang w:eastAsia="zh-CN"/>
        </w:rPr>
        <w:t>，</w:t>
      </w:r>
      <w:r>
        <w:rPr>
          <w:rFonts w:hint="eastAsia" w:ascii="仿宋" w:hAnsi="仿宋" w:eastAsia="仿宋"/>
          <w:sz w:val="30"/>
          <w:szCs w:val="30"/>
          <w:lang w:val="en-US" w:eastAsia="zh-CN"/>
        </w:rPr>
        <w:t>所以2018年收入相比2017年收入有所减少</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4663.01</w:t>
      </w:r>
      <w:r>
        <w:rPr>
          <w:rFonts w:hint="eastAsia" w:ascii="仿宋" w:hAnsi="仿宋" w:eastAsia="仿宋"/>
          <w:sz w:val="30"/>
          <w:szCs w:val="30"/>
        </w:rPr>
        <w:t>万元，占</w:t>
      </w:r>
      <w:r>
        <w:rPr>
          <w:rFonts w:hint="eastAsia" w:ascii="仿宋" w:hAnsi="仿宋" w:eastAsia="仿宋"/>
          <w:sz w:val="30"/>
          <w:szCs w:val="30"/>
          <w:lang w:val="en-US" w:eastAsia="zh-CN"/>
        </w:rPr>
        <w:t>96.98</w:t>
      </w:r>
      <w:r>
        <w:rPr>
          <w:rFonts w:hint="eastAsia" w:ascii="仿宋" w:hAnsi="仿宋" w:eastAsia="仿宋"/>
          <w:sz w:val="30"/>
          <w:szCs w:val="30"/>
        </w:rPr>
        <w:t>%；其他收入</w:t>
      </w:r>
      <w:r>
        <w:rPr>
          <w:rFonts w:hint="eastAsia" w:ascii="仿宋" w:hAnsi="仿宋" w:eastAsia="仿宋"/>
          <w:sz w:val="30"/>
          <w:szCs w:val="30"/>
          <w:lang w:val="en-US" w:eastAsia="zh-CN"/>
        </w:rPr>
        <w:t>145.4</w:t>
      </w:r>
      <w:r>
        <w:rPr>
          <w:rFonts w:hint="eastAsia" w:ascii="仿宋" w:hAnsi="仿宋" w:eastAsia="仿宋"/>
          <w:sz w:val="30"/>
          <w:szCs w:val="30"/>
        </w:rPr>
        <w:t>万元，占</w:t>
      </w:r>
      <w:r>
        <w:rPr>
          <w:rFonts w:hint="eastAsia" w:ascii="仿宋" w:hAnsi="仿宋" w:eastAsia="仿宋"/>
          <w:sz w:val="30"/>
          <w:szCs w:val="30"/>
          <w:lang w:val="en-US" w:eastAsia="zh-CN"/>
        </w:rPr>
        <w:t>3.02</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6386.37</w:t>
      </w:r>
      <w:r>
        <w:rPr>
          <w:rFonts w:hint="eastAsia" w:ascii="仿宋" w:hAnsi="仿宋" w:eastAsia="仿宋"/>
          <w:sz w:val="30"/>
          <w:szCs w:val="30"/>
        </w:rPr>
        <w:t>万元，其中本年支出合计</w:t>
      </w:r>
      <w:r>
        <w:rPr>
          <w:rFonts w:hint="eastAsia" w:ascii="仿宋" w:hAnsi="仿宋" w:eastAsia="仿宋"/>
          <w:sz w:val="30"/>
          <w:szCs w:val="30"/>
          <w:lang w:val="en-US" w:eastAsia="zh-CN"/>
        </w:rPr>
        <w:t>4968.03</w:t>
      </w:r>
      <w:r>
        <w:rPr>
          <w:rFonts w:hint="eastAsia" w:ascii="仿宋" w:hAnsi="仿宋" w:eastAsia="仿宋"/>
          <w:sz w:val="30"/>
          <w:szCs w:val="30"/>
        </w:rPr>
        <w:t>万元，较2017年减少</w:t>
      </w:r>
      <w:r>
        <w:rPr>
          <w:rFonts w:hint="eastAsia" w:ascii="仿宋" w:hAnsi="仿宋" w:eastAsia="仿宋"/>
          <w:sz w:val="30"/>
          <w:szCs w:val="30"/>
          <w:lang w:val="en-US" w:eastAsia="zh-CN"/>
        </w:rPr>
        <w:t>555.19</w:t>
      </w:r>
      <w:r>
        <w:rPr>
          <w:rFonts w:hint="eastAsia" w:ascii="仿宋" w:hAnsi="仿宋" w:eastAsia="仿宋"/>
          <w:sz w:val="30"/>
          <w:szCs w:val="30"/>
        </w:rPr>
        <w:t>万元，下降</w:t>
      </w:r>
      <w:r>
        <w:rPr>
          <w:rFonts w:hint="eastAsia" w:ascii="仿宋" w:hAnsi="仿宋" w:eastAsia="仿宋"/>
          <w:sz w:val="30"/>
          <w:szCs w:val="30"/>
          <w:lang w:val="en-US" w:eastAsia="zh-CN"/>
        </w:rPr>
        <w:t>10.05</w:t>
      </w:r>
      <w:r>
        <w:rPr>
          <w:rFonts w:hint="eastAsia" w:ascii="仿宋" w:hAnsi="仿宋" w:eastAsia="仿宋"/>
          <w:sz w:val="30"/>
          <w:szCs w:val="30"/>
        </w:rPr>
        <w:t>%，主要原因是：</w:t>
      </w:r>
      <w:r>
        <w:rPr>
          <w:rFonts w:hint="eastAsia" w:ascii="仿宋" w:hAnsi="仿宋" w:eastAsia="仿宋"/>
          <w:sz w:val="30"/>
          <w:szCs w:val="30"/>
          <w:lang w:eastAsia="zh-CN"/>
        </w:rPr>
        <w:t>因为</w:t>
      </w:r>
      <w:r>
        <w:rPr>
          <w:rFonts w:hint="eastAsia" w:ascii="仿宋" w:hAnsi="仿宋" w:eastAsia="仿宋"/>
          <w:sz w:val="30"/>
          <w:szCs w:val="30"/>
          <w:lang w:val="en-US" w:eastAsia="zh-CN"/>
        </w:rPr>
        <w:t>2017年发放了车改补贴及执行新警衔标准并且补发，所以2018年支出相比2017年支出有所减少</w:t>
      </w:r>
      <w:r>
        <w:rPr>
          <w:rFonts w:hint="eastAsia" w:ascii="仿宋" w:hAnsi="仿宋" w:eastAsia="仿宋"/>
          <w:sz w:val="30"/>
          <w:szCs w:val="30"/>
        </w:rPr>
        <w:t>；年末结转和结余</w:t>
      </w:r>
      <w:r>
        <w:rPr>
          <w:rFonts w:hint="eastAsia" w:ascii="仿宋" w:hAnsi="仿宋" w:eastAsia="仿宋"/>
          <w:sz w:val="30"/>
          <w:szCs w:val="30"/>
          <w:lang w:val="en-US" w:eastAsia="zh-CN"/>
        </w:rPr>
        <w:t>1418.34</w:t>
      </w:r>
      <w:r>
        <w:rPr>
          <w:rFonts w:hint="eastAsia" w:ascii="仿宋" w:hAnsi="仿宋" w:eastAsia="仿宋"/>
          <w:sz w:val="30"/>
          <w:szCs w:val="30"/>
        </w:rPr>
        <w:t>万元，较2017年减少</w:t>
      </w:r>
      <w:r>
        <w:rPr>
          <w:rFonts w:hint="eastAsia" w:ascii="仿宋" w:hAnsi="仿宋" w:eastAsia="仿宋"/>
          <w:sz w:val="30"/>
          <w:szCs w:val="30"/>
          <w:lang w:val="en-US" w:eastAsia="zh-CN"/>
        </w:rPr>
        <w:t>269.55</w:t>
      </w:r>
      <w:r>
        <w:rPr>
          <w:rFonts w:hint="eastAsia" w:ascii="仿宋" w:hAnsi="仿宋" w:eastAsia="仿宋"/>
          <w:sz w:val="30"/>
          <w:szCs w:val="30"/>
        </w:rPr>
        <w:t>万元，下降</w:t>
      </w:r>
      <w:r>
        <w:rPr>
          <w:rFonts w:hint="eastAsia" w:ascii="仿宋" w:hAnsi="仿宋" w:eastAsia="仿宋"/>
          <w:sz w:val="30"/>
          <w:szCs w:val="30"/>
          <w:lang w:val="en-US" w:eastAsia="zh-CN"/>
        </w:rPr>
        <w:t>15.97</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3493.55</w:t>
      </w:r>
      <w:r>
        <w:rPr>
          <w:rFonts w:hint="eastAsia" w:ascii="仿宋" w:hAnsi="仿宋" w:eastAsia="仿宋"/>
          <w:sz w:val="30"/>
          <w:szCs w:val="30"/>
        </w:rPr>
        <w:t>万元，占</w:t>
      </w:r>
      <w:r>
        <w:rPr>
          <w:rFonts w:hint="eastAsia" w:ascii="仿宋" w:hAnsi="仿宋" w:eastAsia="仿宋"/>
          <w:sz w:val="30"/>
          <w:szCs w:val="30"/>
          <w:lang w:val="en-US" w:eastAsia="zh-CN"/>
        </w:rPr>
        <w:t>70.32</w:t>
      </w:r>
      <w:r>
        <w:rPr>
          <w:rFonts w:hint="eastAsia" w:ascii="仿宋" w:hAnsi="仿宋" w:eastAsia="仿宋"/>
          <w:sz w:val="30"/>
          <w:szCs w:val="30"/>
        </w:rPr>
        <w:t>%；项目支出</w:t>
      </w:r>
      <w:r>
        <w:rPr>
          <w:rFonts w:hint="eastAsia" w:ascii="仿宋" w:hAnsi="仿宋" w:eastAsia="仿宋"/>
          <w:sz w:val="30"/>
          <w:szCs w:val="30"/>
          <w:lang w:val="en-US" w:eastAsia="zh-CN"/>
        </w:rPr>
        <w:t>1474.48</w:t>
      </w:r>
      <w:r>
        <w:rPr>
          <w:rFonts w:hint="eastAsia" w:ascii="仿宋" w:hAnsi="仿宋" w:eastAsia="仿宋"/>
          <w:sz w:val="30"/>
          <w:szCs w:val="30"/>
        </w:rPr>
        <w:t>万元，占</w:t>
      </w:r>
      <w:r>
        <w:rPr>
          <w:rFonts w:hint="eastAsia" w:ascii="仿宋" w:hAnsi="仿宋" w:eastAsia="仿宋"/>
          <w:sz w:val="30"/>
          <w:szCs w:val="30"/>
          <w:lang w:val="en-US" w:eastAsia="zh-CN"/>
        </w:rPr>
        <w:t>29.68</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5248.58</w:t>
      </w:r>
      <w:r>
        <w:rPr>
          <w:rFonts w:hint="eastAsia" w:ascii="仿宋" w:hAnsi="仿宋" w:eastAsia="仿宋"/>
          <w:sz w:val="30"/>
          <w:szCs w:val="30"/>
        </w:rPr>
        <w:t>万元，决算数为</w:t>
      </w:r>
      <w:r>
        <w:rPr>
          <w:rFonts w:hint="eastAsia" w:ascii="仿宋" w:hAnsi="仿宋" w:eastAsia="仿宋"/>
          <w:sz w:val="30"/>
          <w:szCs w:val="30"/>
          <w:lang w:val="en-US" w:eastAsia="zh-CN"/>
        </w:rPr>
        <w:t>4822.63</w:t>
      </w:r>
      <w:r>
        <w:rPr>
          <w:rFonts w:hint="eastAsia" w:ascii="仿宋" w:hAnsi="仿宋" w:eastAsia="仿宋"/>
          <w:sz w:val="30"/>
          <w:szCs w:val="30"/>
        </w:rPr>
        <w:t>万元，完成年初预算的</w:t>
      </w:r>
      <w:r>
        <w:rPr>
          <w:rFonts w:hint="eastAsia" w:ascii="仿宋" w:hAnsi="仿宋" w:eastAsia="仿宋"/>
          <w:sz w:val="30"/>
          <w:szCs w:val="30"/>
          <w:lang w:val="en-US" w:eastAsia="zh-CN"/>
        </w:rPr>
        <w:t>91.88</w:t>
      </w:r>
      <w:r>
        <w:rPr>
          <w:rFonts w:hint="eastAsia" w:ascii="仿宋" w:hAnsi="仿宋" w:eastAsia="仿宋"/>
          <w:sz w:val="30"/>
          <w:szCs w:val="30"/>
        </w:rPr>
        <w:t>%。其中：</w:t>
      </w:r>
    </w:p>
    <w:p>
      <w:pPr>
        <w:numPr>
          <w:ilvl w:val="0"/>
          <w:numId w:val="2"/>
        </w:numPr>
        <w:ind w:firstLine="630"/>
        <w:jc w:val="left"/>
        <w:rPr>
          <w:rFonts w:hint="eastAsia" w:ascii="仿宋" w:hAnsi="仿宋" w:eastAsia="仿宋"/>
          <w:sz w:val="30"/>
          <w:szCs w:val="30"/>
        </w:rPr>
      </w:pPr>
      <w:r>
        <w:rPr>
          <w:rFonts w:hint="eastAsia" w:ascii="仿宋" w:hAnsi="仿宋" w:eastAsia="仿宋"/>
          <w:sz w:val="30"/>
          <w:szCs w:val="30"/>
        </w:rPr>
        <w:t>公共安全支出年初预算数为</w:t>
      </w:r>
      <w:r>
        <w:rPr>
          <w:rFonts w:hint="eastAsia" w:ascii="仿宋" w:hAnsi="仿宋" w:eastAsia="仿宋"/>
          <w:sz w:val="30"/>
          <w:szCs w:val="30"/>
          <w:lang w:val="en-US" w:eastAsia="zh-CN"/>
        </w:rPr>
        <w:t>4118.56</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4117.1</w:t>
      </w:r>
      <w:r>
        <w:rPr>
          <w:rFonts w:hint="eastAsia" w:ascii="仿宋" w:hAnsi="仿宋" w:eastAsia="仿宋"/>
          <w:sz w:val="30"/>
          <w:szCs w:val="30"/>
        </w:rPr>
        <w:t>万元，完成年初预算的</w:t>
      </w:r>
      <w:r>
        <w:rPr>
          <w:rFonts w:hint="eastAsia" w:ascii="仿宋" w:hAnsi="仿宋" w:eastAsia="仿宋"/>
          <w:sz w:val="30"/>
          <w:szCs w:val="30"/>
          <w:lang w:val="en-US" w:eastAsia="zh-CN"/>
        </w:rPr>
        <w:t>99.96</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教育</w:t>
      </w:r>
      <w:r>
        <w:rPr>
          <w:rFonts w:hint="eastAsia" w:ascii="仿宋" w:hAnsi="仿宋" w:eastAsia="仿宋"/>
          <w:sz w:val="30"/>
          <w:szCs w:val="30"/>
        </w:rPr>
        <w:t>支出年初预算数为</w:t>
      </w:r>
      <w:r>
        <w:rPr>
          <w:rFonts w:hint="eastAsia" w:ascii="仿宋" w:hAnsi="仿宋" w:eastAsia="仿宋"/>
          <w:sz w:val="30"/>
          <w:szCs w:val="30"/>
          <w:lang w:val="en-US" w:eastAsia="zh-CN"/>
        </w:rPr>
        <w:t>10.6</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社会保障和就业支出年初预算数为</w:t>
      </w:r>
      <w:r>
        <w:rPr>
          <w:rFonts w:hint="eastAsia" w:ascii="仿宋" w:hAnsi="仿宋" w:eastAsia="仿宋"/>
          <w:sz w:val="30"/>
          <w:szCs w:val="30"/>
          <w:lang w:val="en-US" w:eastAsia="zh-CN"/>
        </w:rPr>
        <w:t>540.29万元，决算数为475.19万元，完成年初预算的87.95%。</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医疗卫生与计划生育</w:t>
      </w:r>
      <w:r>
        <w:rPr>
          <w:rFonts w:hint="eastAsia" w:ascii="仿宋" w:hAnsi="仿宋" w:eastAsia="仿宋"/>
          <w:sz w:val="30"/>
          <w:szCs w:val="30"/>
        </w:rPr>
        <w:t>支出年初预算数为</w:t>
      </w:r>
      <w:r>
        <w:rPr>
          <w:rFonts w:hint="eastAsia" w:ascii="仿宋" w:hAnsi="仿宋" w:eastAsia="仿宋"/>
          <w:sz w:val="30"/>
          <w:szCs w:val="30"/>
          <w:lang w:val="en-US" w:eastAsia="zh-CN"/>
        </w:rPr>
        <w:t>182.77万元，决算数为96.54万元，完成年初预算的52.82%。</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val="en-US" w:eastAsia="zh-CN"/>
        </w:rPr>
        <w:t>城乡社区支出年初预算数为0万元，决算数为100万元，完成年初预算的100%。</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农林水</w:t>
      </w:r>
      <w:r>
        <w:rPr>
          <w:rFonts w:hint="eastAsia" w:ascii="仿宋" w:hAnsi="仿宋" w:eastAsia="仿宋"/>
          <w:sz w:val="30"/>
          <w:szCs w:val="30"/>
        </w:rPr>
        <w:t>支出年初预算数为</w:t>
      </w:r>
      <w:r>
        <w:rPr>
          <w:rFonts w:hint="eastAsia" w:ascii="仿宋" w:hAnsi="仿宋" w:eastAsia="仿宋"/>
          <w:sz w:val="30"/>
          <w:szCs w:val="30"/>
          <w:lang w:val="en-US" w:eastAsia="zh-CN"/>
        </w:rPr>
        <w:t>33.8</w:t>
      </w:r>
      <w:r>
        <w:rPr>
          <w:rFonts w:hint="eastAsia" w:ascii="仿宋" w:hAnsi="仿宋" w:eastAsia="仿宋"/>
          <w:sz w:val="30"/>
          <w:szCs w:val="30"/>
        </w:rPr>
        <w:t>万元，决算数为</w:t>
      </w:r>
      <w:r>
        <w:rPr>
          <w:rFonts w:hint="eastAsia" w:ascii="仿宋" w:hAnsi="仿宋" w:eastAsia="仿宋"/>
          <w:sz w:val="30"/>
          <w:szCs w:val="30"/>
          <w:lang w:val="en-US" w:eastAsia="zh-CN"/>
        </w:rPr>
        <w:t>33.8</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pPr>
        <w:numPr>
          <w:ilvl w:val="0"/>
          <w:numId w:val="2"/>
        </w:numPr>
        <w:ind w:left="0" w:leftChars="0" w:firstLine="630" w:firstLineChars="0"/>
        <w:jc w:val="left"/>
        <w:rPr>
          <w:rFonts w:hint="eastAsia" w:ascii="仿宋" w:hAnsi="仿宋" w:eastAsia="仿宋"/>
          <w:sz w:val="30"/>
          <w:szCs w:val="30"/>
        </w:rPr>
      </w:pPr>
      <w:r>
        <w:rPr>
          <w:rFonts w:hint="eastAsia" w:ascii="仿宋" w:hAnsi="仿宋" w:eastAsia="仿宋"/>
          <w:sz w:val="30"/>
          <w:szCs w:val="30"/>
          <w:lang w:eastAsia="zh-CN"/>
        </w:rPr>
        <w:t>住房保障</w:t>
      </w:r>
      <w:r>
        <w:rPr>
          <w:rFonts w:hint="eastAsia" w:ascii="仿宋" w:hAnsi="仿宋" w:eastAsia="仿宋"/>
          <w:sz w:val="30"/>
          <w:szCs w:val="30"/>
        </w:rPr>
        <w:t>支出年初预算数为</w:t>
      </w:r>
      <w:r>
        <w:rPr>
          <w:rFonts w:hint="eastAsia" w:ascii="仿宋" w:hAnsi="仿宋" w:eastAsia="仿宋"/>
          <w:sz w:val="30"/>
          <w:szCs w:val="30"/>
          <w:lang w:val="en-US" w:eastAsia="zh-CN"/>
        </w:rPr>
        <w:t>362.56</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万元，完成年初预算的</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3348.15</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2626.3</w:t>
      </w:r>
      <w:r>
        <w:rPr>
          <w:rFonts w:hint="eastAsia" w:ascii="仿宋" w:hAnsi="仿宋" w:eastAsia="仿宋"/>
          <w:sz w:val="30"/>
          <w:szCs w:val="30"/>
        </w:rPr>
        <w:t>万元，较2017年减少</w:t>
      </w:r>
      <w:r>
        <w:rPr>
          <w:rFonts w:hint="eastAsia" w:ascii="仿宋" w:hAnsi="仿宋" w:eastAsia="仿宋"/>
          <w:sz w:val="30"/>
          <w:szCs w:val="30"/>
          <w:lang w:val="en-US" w:eastAsia="zh-CN"/>
        </w:rPr>
        <w:t>602.39</w:t>
      </w:r>
      <w:r>
        <w:rPr>
          <w:rFonts w:hint="eastAsia" w:ascii="仿宋" w:hAnsi="仿宋" w:eastAsia="仿宋"/>
          <w:sz w:val="30"/>
          <w:szCs w:val="30"/>
        </w:rPr>
        <w:t>万元，下降</w:t>
      </w:r>
      <w:r>
        <w:rPr>
          <w:rFonts w:hint="eastAsia" w:ascii="仿宋" w:hAnsi="仿宋" w:eastAsia="仿宋"/>
          <w:sz w:val="30"/>
          <w:szCs w:val="30"/>
          <w:lang w:val="en-US" w:eastAsia="zh-CN"/>
        </w:rPr>
        <w:t>18.66</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583.95</w:t>
      </w:r>
      <w:r>
        <w:rPr>
          <w:rFonts w:hint="eastAsia" w:ascii="仿宋" w:hAnsi="仿宋" w:eastAsia="仿宋"/>
          <w:sz w:val="30"/>
          <w:szCs w:val="30"/>
        </w:rPr>
        <w:t>万元，较2017年减少</w:t>
      </w:r>
      <w:r>
        <w:rPr>
          <w:rFonts w:hint="eastAsia" w:ascii="仿宋" w:hAnsi="仿宋" w:eastAsia="仿宋"/>
          <w:sz w:val="30"/>
          <w:szCs w:val="30"/>
          <w:lang w:val="en-US" w:eastAsia="zh-CN"/>
        </w:rPr>
        <w:t>1106.4</w:t>
      </w:r>
      <w:r>
        <w:rPr>
          <w:rFonts w:hint="eastAsia" w:ascii="仿宋" w:hAnsi="仿宋" w:eastAsia="仿宋"/>
          <w:sz w:val="30"/>
          <w:szCs w:val="30"/>
        </w:rPr>
        <w:t>万元，下降</w:t>
      </w:r>
      <w:r>
        <w:rPr>
          <w:rFonts w:hint="eastAsia" w:ascii="仿宋" w:hAnsi="仿宋" w:eastAsia="仿宋"/>
          <w:sz w:val="30"/>
          <w:szCs w:val="30"/>
          <w:lang w:val="en-US" w:eastAsia="zh-CN"/>
        </w:rPr>
        <w:t>65.45</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87.19</w:t>
      </w:r>
      <w:r>
        <w:rPr>
          <w:rFonts w:hint="eastAsia" w:ascii="仿宋" w:hAnsi="仿宋" w:eastAsia="仿宋"/>
          <w:sz w:val="30"/>
          <w:szCs w:val="30"/>
        </w:rPr>
        <w:t>万元，较2017年减少</w:t>
      </w:r>
      <w:r>
        <w:rPr>
          <w:rFonts w:hint="eastAsia" w:ascii="仿宋" w:hAnsi="仿宋" w:eastAsia="仿宋"/>
          <w:sz w:val="30"/>
          <w:szCs w:val="30"/>
          <w:lang w:val="en-US" w:eastAsia="zh-CN"/>
        </w:rPr>
        <w:t>74.12</w:t>
      </w:r>
      <w:r>
        <w:rPr>
          <w:rFonts w:hint="eastAsia" w:ascii="仿宋" w:hAnsi="仿宋" w:eastAsia="仿宋"/>
          <w:sz w:val="30"/>
          <w:szCs w:val="30"/>
        </w:rPr>
        <w:t>万元，下降</w:t>
      </w:r>
      <w:r>
        <w:rPr>
          <w:rFonts w:hint="eastAsia" w:ascii="仿宋" w:hAnsi="仿宋" w:eastAsia="仿宋"/>
          <w:sz w:val="30"/>
          <w:szCs w:val="30"/>
          <w:lang w:val="en-US" w:eastAsia="zh-CN"/>
        </w:rPr>
        <w:t>45.95</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50.71</w:t>
      </w:r>
      <w:r>
        <w:rPr>
          <w:rFonts w:hint="eastAsia" w:ascii="仿宋" w:hAnsi="仿宋" w:eastAsia="仿宋"/>
          <w:sz w:val="30"/>
          <w:szCs w:val="30"/>
        </w:rPr>
        <w:t>万元，较2017年减少</w:t>
      </w:r>
      <w:r>
        <w:rPr>
          <w:rFonts w:hint="eastAsia" w:ascii="仿宋" w:hAnsi="仿宋" w:eastAsia="仿宋"/>
          <w:sz w:val="30"/>
          <w:szCs w:val="30"/>
          <w:lang w:val="en-US" w:eastAsia="zh-CN"/>
        </w:rPr>
        <w:t>392.14</w:t>
      </w:r>
      <w:r>
        <w:rPr>
          <w:rFonts w:hint="eastAsia" w:ascii="仿宋" w:hAnsi="仿宋" w:eastAsia="仿宋"/>
          <w:sz w:val="30"/>
          <w:szCs w:val="30"/>
        </w:rPr>
        <w:t>万元，下降</w:t>
      </w:r>
      <w:r>
        <w:rPr>
          <w:rFonts w:hint="eastAsia" w:ascii="仿宋" w:hAnsi="仿宋" w:eastAsia="仿宋"/>
          <w:sz w:val="30"/>
          <w:szCs w:val="30"/>
          <w:lang w:val="en-US" w:eastAsia="zh-CN"/>
        </w:rPr>
        <w:t>88.55</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91.93</w:t>
      </w:r>
      <w:r>
        <w:rPr>
          <w:rFonts w:hint="eastAsia" w:ascii="仿宋" w:hAnsi="仿宋" w:eastAsia="仿宋"/>
          <w:sz w:val="30"/>
          <w:szCs w:val="30"/>
        </w:rPr>
        <w:t>万元，决算数为</w:t>
      </w:r>
      <w:r>
        <w:rPr>
          <w:rFonts w:hint="eastAsia" w:ascii="仿宋" w:hAnsi="仿宋" w:eastAsia="仿宋"/>
          <w:sz w:val="30"/>
          <w:szCs w:val="30"/>
          <w:lang w:val="en-US" w:eastAsia="zh-CN"/>
        </w:rPr>
        <w:t>34.75</w:t>
      </w:r>
      <w:r>
        <w:rPr>
          <w:rFonts w:hint="eastAsia" w:ascii="仿宋" w:hAnsi="仿宋" w:eastAsia="仿宋"/>
          <w:sz w:val="30"/>
          <w:szCs w:val="30"/>
        </w:rPr>
        <w:t>万元，完成预算的</w:t>
      </w:r>
      <w:r>
        <w:rPr>
          <w:rFonts w:hint="eastAsia" w:ascii="仿宋" w:hAnsi="仿宋" w:eastAsia="仿宋"/>
          <w:sz w:val="30"/>
          <w:szCs w:val="30"/>
          <w:lang w:val="en-US" w:eastAsia="zh-CN"/>
        </w:rPr>
        <w:t>37.8</w:t>
      </w:r>
      <w:r>
        <w:rPr>
          <w:rFonts w:hint="eastAsia" w:ascii="仿宋" w:hAnsi="仿宋" w:eastAsia="仿宋"/>
          <w:sz w:val="30"/>
          <w:szCs w:val="30"/>
        </w:rPr>
        <w:t>%，决算数较2017年减少</w:t>
      </w:r>
      <w:r>
        <w:rPr>
          <w:rFonts w:hint="eastAsia" w:ascii="仿宋" w:hAnsi="仿宋" w:eastAsia="仿宋"/>
          <w:sz w:val="30"/>
          <w:szCs w:val="30"/>
          <w:lang w:val="en-US" w:eastAsia="zh-CN"/>
        </w:rPr>
        <w:t>99.43</w:t>
      </w:r>
      <w:r>
        <w:rPr>
          <w:rFonts w:hint="eastAsia" w:ascii="仿宋" w:hAnsi="仿宋" w:eastAsia="仿宋"/>
          <w:sz w:val="30"/>
          <w:szCs w:val="30"/>
        </w:rPr>
        <w:t>万元，下降</w:t>
      </w:r>
      <w:r>
        <w:rPr>
          <w:rFonts w:hint="eastAsia" w:ascii="仿宋" w:hAnsi="仿宋" w:eastAsia="仿宋"/>
          <w:sz w:val="30"/>
          <w:szCs w:val="30"/>
          <w:lang w:val="en-US" w:eastAsia="zh-CN"/>
        </w:rPr>
        <w:t>74.1</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%，决算数较2017年</w:t>
      </w:r>
      <w:r>
        <w:rPr>
          <w:rFonts w:hint="eastAsia" w:ascii="仿宋" w:hAnsi="仿宋" w:eastAsia="仿宋"/>
          <w:sz w:val="30"/>
          <w:szCs w:val="30"/>
          <w:lang w:eastAsia="zh-CN"/>
        </w:rPr>
        <w:t>相同</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42.93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10.55</w:t>
      </w:r>
      <w:r>
        <w:rPr>
          <w:rFonts w:hint="eastAsia" w:ascii="仿宋" w:hAnsi="仿宋" w:eastAsia="仿宋"/>
          <w:sz w:val="30"/>
          <w:szCs w:val="30"/>
        </w:rPr>
        <w:t>万元，完成预算的</w:t>
      </w:r>
      <w:r>
        <w:rPr>
          <w:rFonts w:hint="eastAsia" w:ascii="仿宋" w:hAnsi="仿宋" w:eastAsia="仿宋"/>
          <w:sz w:val="30"/>
          <w:szCs w:val="30"/>
          <w:lang w:val="en-US" w:eastAsia="zh-CN"/>
        </w:rPr>
        <w:t>24.57</w:t>
      </w:r>
      <w:r>
        <w:rPr>
          <w:rFonts w:hint="eastAsia" w:ascii="仿宋" w:hAnsi="仿宋" w:eastAsia="仿宋"/>
          <w:sz w:val="30"/>
          <w:szCs w:val="30"/>
        </w:rPr>
        <w:t>%，决算数较2017年减少</w:t>
      </w:r>
      <w:r>
        <w:rPr>
          <w:rFonts w:hint="eastAsia" w:ascii="仿宋" w:hAnsi="仿宋" w:eastAsia="仿宋"/>
          <w:sz w:val="30"/>
          <w:szCs w:val="30"/>
          <w:lang w:val="en-US" w:eastAsia="zh-CN"/>
        </w:rPr>
        <w:t>5.02</w:t>
      </w:r>
      <w:r>
        <w:rPr>
          <w:rFonts w:hint="eastAsia" w:ascii="仿宋" w:hAnsi="仿宋" w:eastAsia="仿宋"/>
          <w:sz w:val="30"/>
          <w:szCs w:val="30"/>
        </w:rPr>
        <w:t>万元，下降</w:t>
      </w:r>
      <w:r>
        <w:rPr>
          <w:rFonts w:hint="eastAsia" w:ascii="仿宋" w:hAnsi="仿宋" w:eastAsia="仿宋"/>
          <w:sz w:val="30"/>
          <w:szCs w:val="30"/>
          <w:lang w:val="en-US" w:eastAsia="zh-CN"/>
        </w:rPr>
        <w:t>32.24</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24.2</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%，决算数较2017年</w:t>
      </w:r>
      <w:r>
        <w:rPr>
          <w:rFonts w:hint="eastAsia" w:ascii="仿宋" w:hAnsi="仿宋" w:eastAsia="仿宋"/>
          <w:sz w:val="30"/>
          <w:szCs w:val="30"/>
          <w:lang w:eastAsia="zh-CN"/>
        </w:rPr>
        <w:t>相同</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49</w:t>
      </w:r>
      <w:r>
        <w:rPr>
          <w:rFonts w:hint="eastAsia" w:ascii="仿宋" w:hAnsi="仿宋" w:eastAsia="仿宋"/>
          <w:sz w:val="30"/>
          <w:szCs w:val="30"/>
        </w:rPr>
        <w:t>万元，决算数为</w:t>
      </w:r>
      <w:r>
        <w:rPr>
          <w:rFonts w:hint="eastAsia" w:ascii="仿宋" w:hAnsi="仿宋" w:eastAsia="仿宋"/>
          <w:sz w:val="30"/>
          <w:szCs w:val="30"/>
          <w:lang w:val="en-US" w:eastAsia="zh-CN"/>
        </w:rPr>
        <w:t>24.2</w:t>
      </w:r>
      <w:r>
        <w:rPr>
          <w:rFonts w:hint="eastAsia" w:ascii="仿宋" w:hAnsi="仿宋" w:eastAsia="仿宋"/>
          <w:sz w:val="30"/>
          <w:szCs w:val="30"/>
        </w:rPr>
        <w:t>万元，完成预算的</w:t>
      </w:r>
      <w:r>
        <w:rPr>
          <w:rFonts w:hint="eastAsia" w:ascii="仿宋" w:hAnsi="仿宋" w:eastAsia="仿宋"/>
          <w:sz w:val="30"/>
          <w:szCs w:val="30"/>
          <w:lang w:val="en-US" w:eastAsia="zh-CN"/>
        </w:rPr>
        <w:t>49.39</w:t>
      </w:r>
      <w:r>
        <w:rPr>
          <w:rFonts w:hint="eastAsia" w:ascii="仿宋" w:hAnsi="仿宋" w:eastAsia="仿宋"/>
          <w:sz w:val="30"/>
          <w:szCs w:val="30"/>
        </w:rPr>
        <w:t>%，决算数较2017年减少</w:t>
      </w:r>
      <w:r>
        <w:rPr>
          <w:rFonts w:hint="eastAsia" w:ascii="仿宋" w:hAnsi="仿宋" w:eastAsia="仿宋"/>
          <w:sz w:val="30"/>
          <w:szCs w:val="30"/>
          <w:lang w:val="en-US" w:eastAsia="zh-CN"/>
        </w:rPr>
        <w:t>94.39</w:t>
      </w:r>
      <w:r>
        <w:rPr>
          <w:rFonts w:hint="eastAsia" w:ascii="仿宋" w:hAnsi="仿宋" w:eastAsia="仿宋"/>
          <w:sz w:val="30"/>
          <w:szCs w:val="30"/>
        </w:rPr>
        <w:t>万元，下降</w:t>
      </w:r>
      <w:r>
        <w:rPr>
          <w:rFonts w:hint="eastAsia" w:ascii="仿宋" w:hAnsi="仿宋" w:eastAsia="仿宋"/>
          <w:sz w:val="30"/>
          <w:szCs w:val="30"/>
          <w:lang w:val="en-US" w:eastAsia="zh-CN"/>
        </w:rPr>
        <w:t>79.59</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634.66</w:t>
      </w:r>
      <w:r>
        <w:rPr>
          <w:rFonts w:hint="eastAsia" w:ascii="仿宋" w:hAnsi="仿宋" w:eastAsia="仿宋"/>
          <w:sz w:val="30"/>
          <w:szCs w:val="30"/>
        </w:rPr>
        <w:t>万元（与部门决算中行政单位和参照公务员法管理事业单位一般公共预算财政拨款基本支出中公用经费之和保持一致），较</w:t>
      </w:r>
      <w:r>
        <w:rPr>
          <w:rFonts w:hint="eastAsia" w:ascii="仿宋" w:hAnsi="仿宋" w:eastAsia="仿宋"/>
          <w:sz w:val="30"/>
          <w:szCs w:val="30"/>
          <w:lang w:val="en-US" w:eastAsia="zh-CN"/>
        </w:rPr>
        <w:t>2017年</w:t>
      </w:r>
      <w:r>
        <w:rPr>
          <w:rFonts w:hint="eastAsia" w:ascii="仿宋" w:hAnsi="仿宋" w:eastAsia="仿宋"/>
          <w:sz w:val="30"/>
          <w:szCs w:val="30"/>
        </w:rPr>
        <w:t>减少</w:t>
      </w:r>
      <w:r>
        <w:rPr>
          <w:rFonts w:hint="eastAsia" w:ascii="仿宋" w:hAnsi="仿宋" w:eastAsia="仿宋"/>
          <w:sz w:val="30"/>
          <w:szCs w:val="30"/>
          <w:lang w:val="en-US" w:eastAsia="zh-CN"/>
        </w:rPr>
        <w:t>1093.85</w:t>
      </w:r>
      <w:r>
        <w:rPr>
          <w:rFonts w:hint="eastAsia" w:ascii="仿宋" w:hAnsi="仿宋" w:eastAsia="仿宋"/>
          <w:sz w:val="30"/>
          <w:szCs w:val="30"/>
        </w:rPr>
        <w:t>万元，降低</w:t>
      </w:r>
      <w:r>
        <w:rPr>
          <w:rFonts w:hint="eastAsia" w:ascii="仿宋" w:hAnsi="仿宋" w:eastAsia="仿宋"/>
          <w:sz w:val="30"/>
          <w:szCs w:val="30"/>
          <w:lang w:val="en-US" w:eastAsia="zh-CN"/>
        </w:rPr>
        <w:t>63.28</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6"/>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w:t>
      </w:r>
      <w:r>
        <w:rPr>
          <w:rFonts w:hint="eastAsia" w:ascii="仿宋" w:hAnsi="仿宋" w:eastAsia="仿宋"/>
          <w:sz w:val="30"/>
          <w:szCs w:val="30"/>
          <w:lang w:val="en-US" w:eastAsia="zh-CN"/>
        </w:rPr>
        <w:t>497.03</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313.61</w:t>
      </w:r>
      <w:r>
        <w:rPr>
          <w:rFonts w:hint="eastAsia" w:ascii="仿宋" w:hAnsi="仿宋" w:eastAsia="仿宋"/>
          <w:sz w:val="30"/>
          <w:szCs w:val="30"/>
        </w:rPr>
        <w:t>万元、政府采购工程支出</w:t>
      </w:r>
      <w:r>
        <w:rPr>
          <w:rFonts w:hint="eastAsia" w:ascii="仿宋" w:hAnsi="仿宋" w:eastAsia="仿宋"/>
          <w:sz w:val="30"/>
          <w:szCs w:val="30"/>
          <w:lang w:val="en-US" w:eastAsia="zh-CN"/>
        </w:rPr>
        <w:t>159.05</w:t>
      </w:r>
      <w:r>
        <w:rPr>
          <w:rFonts w:hint="eastAsia" w:ascii="仿宋" w:hAnsi="仿宋" w:eastAsia="仿宋"/>
          <w:sz w:val="30"/>
          <w:szCs w:val="30"/>
        </w:rPr>
        <w:t>万元、政府采购服务支出</w:t>
      </w:r>
      <w:r>
        <w:rPr>
          <w:rFonts w:hint="eastAsia" w:ascii="仿宋" w:hAnsi="仿宋" w:eastAsia="仿宋"/>
          <w:sz w:val="30"/>
          <w:szCs w:val="30"/>
          <w:lang w:val="en-US" w:eastAsia="zh-CN"/>
        </w:rPr>
        <w:t>24.37</w:t>
      </w:r>
      <w:r>
        <w:rPr>
          <w:rFonts w:hint="eastAsia" w:ascii="仿宋" w:hAnsi="仿宋" w:eastAsia="仿宋"/>
          <w:sz w:val="30"/>
          <w:szCs w:val="30"/>
        </w:rPr>
        <w:t>万元。</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46</w:t>
      </w:r>
      <w:r>
        <w:rPr>
          <w:rFonts w:hint="eastAsia" w:ascii="仿宋" w:hAnsi="仿宋" w:eastAsia="仿宋"/>
          <w:kern w:val="0"/>
          <w:sz w:val="30"/>
          <w:szCs w:val="30"/>
        </w:rPr>
        <w:t>辆，其中，</w:t>
      </w:r>
      <w:r>
        <w:rPr>
          <w:rFonts w:hint="eastAsia" w:ascii="仿宋" w:hAnsi="仿宋" w:eastAsia="仿宋" w:cs="仿宋_GB2312"/>
          <w:kern w:val="0"/>
          <w:sz w:val="30"/>
          <w:szCs w:val="30"/>
        </w:rPr>
        <w:t>一般执法执勤用车</w:t>
      </w:r>
      <w:r>
        <w:rPr>
          <w:rFonts w:hint="eastAsia" w:ascii="仿宋" w:hAnsi="仿宋" w:eastAsia="仿宋" w:cs="仿宋_GB2312"/>
          <w:kern w:val="0"/>
          <w:sz w:val="30"/>
          <w:szCs w:val="30"/>
          <w:lang w:val="en-US" w:eastAsia="zh-CN"/>
        </w:rPr>
        <w:t>35</w:t>
      </w:r>
      <w:r>
        <w:rPr>
          <w:rFonts w:hint="eastAsia" w:ascii="仿宋" w:hAnsi="仿宋" w:eastAsia="仿宋" w:cs="仿宋_GB2312"/>
          <w:kern w:val="0"/>
          <w:sz w:val="30"/>
          <w:szCs w:val="30"/>
        </w:rPr>
        <w:t>辆、特种专业技术用车</w:t>
      </w:r>
      <w:r>
        <w:rPr>
          <w:rFonts w:hint="eastAsia" w:ascii="仿宋" w:hAnsi="仿宋" w:eastAsia="仿宋" w:cs="仿宋_GB2312"/>
          <w:kern w:val="0"/>
          <w:sz w:val="30"/>
          <w:szCs w:val="30"/>
          <w:lang w:val="en-US" w:eastAsia="zh-CN"/>
        </w:rPr>
        <w:t>11</w:t>
      </w:r>
      <w:r>
        <w:rPr>
          <w:rFonts w:hint="eastAsia" w:ascii="仿宋" w:hAnsi="仿宋" w:eastAsia="仿宋" w:cs="仿宋_GB2312"/>
          <w:kern w:val="0"/>
          <w:sz w:val="30"/>
          <w:szCs w:val="30"/>
        </w:rPr>
        <w:t>辆；单位价值</w:t>
      </w:r>
      <w:r>
        <w:rPr>
          <w:rFonts w:ascii="仿宋" w:hAnsi="仿宋" w:eastAsia="仿宋" w:cs="仿宋_GB2312"/>
          <w:kern w:val="0"/>
          <w:sz w:val="30"/>
          <w:szCs w:val="30"/>
        </w:rPr>
        <w:t>50</w:t>
      </w:r>
      <w:r>
        <w:rPr>
          <w:rFonts w:hint="eastAsia" w:ascii="仿宋" w:hAnsi="仿宋" w:eastAsia="仿宋" w:cs="仿宋_GB2312"/>
          <w:kern w:val="0"/>
          <w:sz w:val="30"/>
          <w:szCs w:val="30"/>
        </w:rPr>
        <w:t>万元以上通用设备</w:t>
      </w:r>
      <w:r>
        <w:rPr>
          <w:rFonts w:hint="eastAsia" w:ascii="仿宋" w:hAnsi="仿宋" w:eastAsia="仿宋" w:cs="仿宋_GB2312"/>
          <w:kern w:val="0"/>
          <w:sz w:val="30"/>
          <w:szCs w:val="30"/>
          <w:lang w:val="en-US" w:eastAsia="zh-CN"/>
        </w:rPr>
        <w:t>1</w:t>
      </w:r>
      <w:r>
        <w:rPr>
          <w:rFonts w:hint="eastAsia" w:ascii="仿宋" w:hAnsi="仿宋" w:eastAsia="仿宋" w:cs="仿宋_GB2312"/>
          <w:kern w:val="0"/>
          <w:sz w:val="30"/>
          <w:szCs w:val="30"/>
        </w:rPr>
        <w:t>台（套），单价</w:t>
      </w:r>
      <w:r>
        <w:rPr>
          <w:rFonts w:ascii="仿宋" w:hAnsi="仿宋" w:eastAsia="仿宋" w:cs="仿宋_GB2312"/>
          <w:kern w:val="0"/>
          <w:sz w:val="30"/>
          <w:szCs w:val="30"/>
        </w:rPr>
        <w:t>100</w:t>
      </w:r>
      <w:r>
        <w:rPr>
          <w:rFonts w:hint="eastAsia" w:ascii="仿宋" w:hAnsi="仿宋" w:eastAsia="仿宋" w:cs="仿宋_GB2312"/>
          <w:kern w:val="0"/>
          <w:sz w:val="30"/>
          <w:szCs w:val="30"/>
        </w:rPr>
        <w:t>万元以上专用设备</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台（套）。</w:t>
      </w:r>
    </w:p>
    <w:p>
      <w:pPr>
        <w:widowControl/>
        <w:spacing w:line="600" w:lineRule="exact"/>
        <w:ind w:firstLine="640"/>
        <w:jc w:val="center"/>
        <w:rPr>
          <w:rFonts w:hint="eastAsia" w:ascii="仿宋" w:hAnsi="仿宋" w:eastAsia="仿宋"/>
          <w:kern w:val="0"/>
          <w:sz w:val="30"/>
          <w:szCs w:val="30"/>
        </w:rPr>
      </w:pPr>
      <w:r>
        <w:rPr>
          <w:rFonts w:hint="eastAsia" w:ascii="宋体" w:hAnsi="宋体"/>
          <w:b/>
          <w:sz w:val="32"/>
          <w:szCs w:val="32"/>
        </w:rPr>
        <w:t>第四部分  名词解释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一、机关运行经费：是指各部门的公用经费，包括办公及印刷费、邮电费、差旅费、会议费、福利费、日常维修费、专用材料及一般设备购置费、办公用房水电费、办公用房取暖费、办公用房物业管理费、公务用车运行维护费及其他费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r>
        <w:rPr>
          <w:rFonts w:hint="eastAsia" w:ascii="仿宋" w:hAnsi="仿宋" w:eastAsia="仿宋" w:cstheme="minorBidi"/>
          <w:kern w:val="0"/>
          <w:sz w:val="30"/>
          <w:szCs w:val="30"/>
          <w:lang w:val="en-US" w:eastAsia="zh-CN" w:bidi="ar-SA"/>
        </w:rPr>
        <w:t>二、“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firstLine="600" w:firstLineChars="200"/>
        <w:jc w:val="left"/>
        <w:rPr>
          <w:rFonts w:hint="eastAsia" w:ascii="仿宋" w:hAnsi="仿宋" w:eastAsia="仿宋" w:cstheme="minorBidi"/>
          <w:kern w:val="0"/>
          <w:sz w:val="30"/>
          <w:szCs w:val="30"/>
          <w:lang w:val="en-US" w:eastAsia="zh-CN" w:bidi="ar-SA"/>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jc w:val="left"/>
        <w:rPr>
          <w:rFonts w:hint="eastAsia" w:ascii="仿宋" w:hAnsi="仿宋" w:eastAsia="仿宋" w:cstheme="minorBidi"/>
          <w:kern w:val="0"/>
          <w:sz w:val="30"/>
          <w:szCs w:val="30"/>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B1B69C"/>
    <w:multiLevelType w:val="singleLevel"/>
    <w:tmpl w:val="9CB1B69C"/>
    <w:lvl w:ilvl="0" w:tentative="0">
      <w:start w:val="2"/>
      <w:numFmt w:val="chineseCounting"/>
      <w:suff w:val="space"/>
      <w:lvlText w:val="第%1部分"/>
      <w:lvlJc w:val="left"/>
      <w:rPr>
        <w:rFonts w:hint="eastAsia"/>
      </w:rPr>
    </w:lvl>
  </w:abstractNum>
  <w:abstractNum w:abstractNumId="1">
    <w:nsid w:val="6A25F9AE"/>
    <w:multiLevelType w:val="singleLevel"/>
    <w:tmpl w:val="6A25F9A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3A8"/>
    <w:rsid w:val="005903A8"/>
    <w:rsid w:val="0C543088"/>
    <w:rsid w:val="15FA1F3C"/>
    <w:rsid w:val="1AEE3BC3"/>
    <w:rsid w:val="1C68633E"/>
    <w:rsid w:val="24704227"/>
    <w:rsid w:val="29583339"/>
    <w:rsid w:val="2F3B2FEE"/>
    <w:rsid w:val="356F7430"/>
    <w:rsid w:val="363F66E9"/>
    <w:rsid w:val="36F22925"/>
    <w:rsid w:val="38440A3B"/>
    <w:rsid w:val="3E9637CA"/>
    <w:rsid w:val="407A2DAF"/>
    <w:rsid w:val="47154D03"/>
    <w:rsid w:val="4B8F4DDF"/>
    <w:rsid w:val="4F9E201B"/>
    <w:rsid w:val="531D25D2"/>
    <w:rsid w:val="5A5666C5"/>
    <w:rsid w:val="5CAA7D32"/>
    <w:rsid w:val="5E2C4F1C"/>
    <w:rsid w:val="6EF60628"/>
    <w:rsid w:val="772D184C"/>
    <w:rsid w:val="7972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0"/>
    <w:basedOn w:val="1"/>
    <w:qFormat/>
    <w:uiPriority w:val="0"/>
    <w:pPr>
      <w:widowControl/>
    </w:pPr>
    <w:rPr>
      <w:kern w:val="0"/>
      <w:szCs w:val="21"/>
    </w:rPr>
  </w:style>
  <w:style w:type="character" w:customStyle="1" w:styleId="7">
    <w:name w:val="font11"/>
    <w:basedOn w:val="4"/>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35</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2019-11-05T07:27:00Z</dcterms:created>
  <dc:creator>Administrator</dc:creator>
  <cp:lastModifiedBy>Administrator</cp:lastModifiedBy>
  <dcterms:modified xsi:type="dcterms:W3CDTF">2021-07-11T11:51:45Z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FD505AA1815740498D3CF6A3FDEAB9ED</vt:lpwstr>
  </property>
</Properties>
</file>