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44"/>
          <w:szCs w:val="36"/>
        </w:rPr>
      </w:pPr>
      <w:r>
        <w:rPr>
          <w:rFonts w:hint="eastAsia" w:ascii="黑体" w:eastAsia="黑体"/>
          <w:sz w:val="44"/>
          <w:szCs w:val="36"/>
          <w:lang w:eastAsia="zh-CN"/>
        </w:rPr>
        <w:t>庐山市公安局</w:t>
      </w:r>
      <w:r>
        <w:rPr>
          <w:rFonts w:hint="eastAsia" w:ascii="黑体" w:eastAsia="黑体"/>
          <w:sz w:val="44"/>
          <w:szCs w:val="36"/>
        </w:rPr>
        <w:t>201</w:t>
      </w:r>
      <w:r>
        <w:rPr>
          <w:rFonts w:hint="eastAsia" w:ascii="黑体" w:eastAsia="黑体"/>
          <w:sz w:val="44"/>
          <w:szCs w:val="36"/>
          <w:lang w:val="en-US" w:eastAsia="zh-CN"/>
        </w:rPr>
        <w:t>8</w:t>
      </w:r>
      <w:r>
        <w:rPr>
          <w:rFonts w:hint="eastAsia" w:ascii="黑体" w:eastAsia="黑体"/>
          <w:sz w:val="44"/>
          <w:szCs w:val="36"/>
        </w:rPr>
        <w:t>年部门决算</w:t>
      </w:r>
    </w:p>
    <w:p>
      <w:pPr>
        <w:spacing w:line="600" w:lineRule="exact"/>
        <w:jc w:val="center"/>
        <w:rPr>
          <w:rFonts w:hint="eastAsia" w:ascii="黑体" w:eastAsia="黑体"/>
          <w:sz w:val="40"/>
          <w:szCs w:val="36"/>
        </w:rPr>
      </w:pPr>
    </w:p>
    <w:p>
      <w:pPr>
        <w:spacing w:line="600" w:lineRule="exact"/>
        <w:jc w:val="center"/>
        <w:rPr>
          <w:rFonts w:hint="eastAsia" w:ascii="黑体" w:eastAsia="黑体"/>
          <w:sz w:val="40"/>
          <w:szCs w:val="36"/>
        </w:rPr>
      </w:pPr>
      <w:r>
        <w:rPr>
          <w:rFonts w:hint="eastAsia" w:ascii="黑体" w:eastAsia="黑体"/>
          <w:sz w:val="40"/>
          <w:szCs w:val="36"/>
        </w:rPr>
        <w:t>目    录</w:t>
      </w:r>
    </w:p>
    <w:p>
      <w:pPr>
        <w:spacing w:line="600" w:lineRule="exact"/>
        <w:jc w:val="center"/>
        <w:rPr>
          <w:rFonts w:hint="eastAsia" w:ascii="黑体" w:eastAsia="黑体"/>
          <w:sz w:val="40"/>
          <w:szCs w:val="36"/>
        </w:rPr>
      </w:pPr>
    </w:p>
    <w:p>
      <w:pPr>
        <w:widowControl/>
        <w:spacing w:line="600" w:lineRule="exact"/>
        <w:ind w:firstLine="640"/>
        <w:jc w:val="left"/>
        <w:rPr>
          <w:rFonts w:hint="eastAsia" w:ascii="黑体" w:hAnsi="黑体" w:eastAsia="黑体"/>
          <w:b w:val="0"/>
          <w:bCs/>
          <w:sz w:val="32"/>
          <w:szCs w:val="32"/>
        </w:rPr>
      </w:pPr>
      <w:r>
        <w:rPr>
          <w:rFonts w:hint="eastAsia" w:ascii="黑体" w:hAnsi="黑体" w:eastAsia="黑体"/>
          <w:b w:val="0"/>
          <w:bCs/>
          <w:sz w:val="32"/>
          <w:szCs w:val="32"/>
        </w:rPr>
        <w:t xml:space="preserve">第一部分  </w:t>
      </w:r>
      <w:r>
        <w:rPr>
          <w:rFonts w:hint="eastAsia" w:ascii="黑体" w:hAnsi="黑体" w:eastAsia="黑体"/>
          <w:b w:val="0"/>
          <w:bCs/>
          <w:sz w:val="32"/>
          <w:szCs w:val="32"/>
          <w:lang w:eastAsia="zh-CN"/>
        </w:rPr>
        <w:t>庐山市公安局</w:t>
      </w:r>
      <w:r>
        <w:rPr>
          <w:rFonts w:hint="eastAsia" w:ascii="黑体" w:hAnsi="黑体" w:eastAsia="黑体"/>
          <w:b w:val="0"/>
          <w:bCs/>
          <w:sz w:val="32"/>
          <w:szCs w:val="32"/>
        </w:rPr>
        <w:t>概况</w:t>
      </w:r>
    </w:p>
    <w:p>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2018年度部门决算表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ind w:firstLine="640" w:firstLineChars="200"/>
        <w:jc w:val="left"/>
        <w:rPr>
          <w:rFonts w:hint="eastAsia" w:ascii="黑体" w:hAnsi="黑体" w:eastAsia="黑体"/>
          <w:sz w:val="32"/>
          <w:szCs w:val="32"/>
        </w:rPr>
      </w:pPr>
      <w:r>
        <w:rPr>
          <w:rFonts w:hint="eastAsia" w:ascii="黑体" w:hAnsi="黑体" w:eastAsia="黑体"/>
          <w:sz w:val="32"/>
          <w:szCs w:val="32"/>
        </w:rPr>
        <w:t>第三部分  2018年度部门决算情况说明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pPr>
        <w:widowControl/>
        <w:spacing w:line="600" w:lineRule="exact"/>
        <w:ind w:firstLine="640"/>
        <w:jc w:val="left"/>
        <w:rPr>
          <w:rFonts w:ascii="仿宋" w:hAnsi="仿宋" w:eastAsia="仿宋"/>
          <w:sz w:val="32"/>
          <w:szCs w:val="30"/>
        </w:rPr>
      </w:pPr>
      <w:r>
        <w:rPr>
          <w:rFonts w:hint="eastAsia" w:ascii="仿宋" w:hAnsi="仿宋" w:eastAsia="仿宋"/>
          <w:sz w:val="32"/>
          <w:szCs w:val="30"/>
        </w:rPr>
        <w:t xml:space="preserve">    </w:t>
      </w:r>
      <w:r>
        <w:rPr>
          <w:rFonts w:hint="eastAsia" w:ascii="黑体" w:hAnsi="黑体" w:eastAsia="黑体"/>
          <w:sz w:val="32"/>
          <w:szCs w:val="32"/>
        </w:rPr>
        <w:t>第四部分  名词解释</w:t>
      </w: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r>
        <w:rPr>
          <w:rFonts w:hint="eastAsia" w:ascii="宋体" w:hAnsi="宋体"/>
          <w:b/>
          <w:sz w:val="32"/>
          <w:szCs w:val="30"/>
        </w:rPr>
        <w:t xml:space="preserve">第一部分  </w:t>
      </w:r>
      <w:r>
        <w:rPr>
          <w:rFonts w:hint="eastAsia" w:ascii="宋体" w:hAnsi="宋体"/>
          <w:b/>
          <w:sz w:val="32"/>
          <w:szCs w:val="32"/>
        </w:rPr>
        <w:t>部门</w:t>
      </w:r>
      <w:r>
        <w:rPr>
          <w:rFonts w:hint="eastAsia" w:ascii="宋体" w:hAnsi="宋体"/>
          <w:b/>
          <w:sz w:val="32"/>
          <w:szCs w:val="30"/>
        </w:rPr>
        <w:t>概况</w:t>
      </w:r>
    </w:p>
    <w:p>
      <w:pPr>
        <w:ind w:firstLine="630"/>
        <w:jc w:val="left"/>
        <w:rPr>
          <w:rFonts w:hint="eastAsia" w:ascii="黑体" w:hAnsi="黑体" w:eastAsia="黑体"/>
          <w:sz w:val="30"/>
          <w:szCs w:val="30"/>
        </w:rPr>
      </w:pPr>
      <w:r>
        <w:rPr>
          <w:rFonts w:hint="eastAsia" w:ascii="黑体" w:hAnsi="黑体" w:eastAsia="黑体"/>
          <w:sz w:val="30"/>
          <w:szCs w:val="30"/>
        </w:rPr>
        <w:t>一、部门主要职能</w:t>
      </w:r>
    </w:p>
    <w:p>
      <w:pPr>
        <w:ind w:firstLine="640" w:firstLineChars="200"/>
        <w:rPr>
          <w:rFonts w:hint="eastAsia" w:ascii="仿宋_GB2312" w:hAnsi="仿宋_GB2312" w:eastAsia="仿宋_GB2312" w:cs="仿宋_GB2312"/>
          <w:sz w:val="32"/>
          <w:szCs w:val="32"/>
        </w:rPr>
      </w:pPr>
      <w:r>
        <w:rPr>
          <w:rFonts w:hint="eastAsia" w:ascii="仿宋_GB2312" w:hAnsi="宋体" w:eastAsia="仿宋_GB2312"/>
          <w:sz w:val="32"/>
          <w:szCs w:val="32"/>
          <w:lang w:eastAsia="zh-CN"/>
        </w:rPr>
        <w:t>庐山市</w:t>
      </w:r>
      <w:r>
        <w:rPr>
          <w:rFonts w:hint="eastAsia" w:ascii="仿宋_GB2312" w:hAnsi="宋体" w:eastAsia="仿宋_GB2312"/>
          <w:sz w:val="32"/>
          <w:szCs w:val="32"/>
        </w:rPr>
        <w:t>公安局是</w:t>
      </w:r>
      <w:r>
        <w:rPr>
          <w:rFonts w:hint="eastAsia" w:ascii="仿宋_GB2312" w:hAnsi="宋体" w:eastAsia="仿宋_GB2312"/>
          <w:sz w:val="32"/>
          <w:szCs w:val="32"/>
          <w:lang w:eastAsia="zh-CN"/>
        </w:rPr>
        <w:t>市</w:t>
      </w:r>
      <w:r>
        <w:rPr>
          <w:rFonts w:hint="eastAsia" w:ascii="仿宋_GB2312" w:hAnsi="宋体" w:eastAsia="仿宋_GB2312"/>
          <w:sz w:val="32"/>
          <w:szCs w:val="32"/>
        </w:rPr>
        <w:t>政府主管全</w:t>
      </w:r>
      <w:r>
        <w:rPr>
          <w:rFonts w:hint="eastAsia" w:ascii="仿宋_GB2312" w:hAnsi="宋体" w:eastAsia="仿宋_GB2312"/>
          <w:sz w:val="32"/>
          <w:szCs w:val="32"/>
          <w:lang w:eastAsia="zh-CN"/>
        </w:rPr>
        <w:t>市</w:t>
      </w:r>
      <w:r>
        <w:rPr>
          <w:rFonts w:hint="eastAsia" w:ascii="仿宋_GB2312" w:hAnsi="宋体" w:eastAsia="仿宋_GB2312"/>
          <w:sz w:val="32"/>
          <w:szCs w:val="32"/>
        </w:rPr>
        <w:t>公安工作的职能部门，领导、管理全</w:t>
      </w:r>
      <w:r>
        <w:rPr>
          <w:rFonts w:hint="eastAsia" w:ascii="仿宋_GB2312" w:hAnsi="宋体" w:eastAsia="仿宋_GB2312"/>
          <w:sz w:val="32"/>
          <w:szCs w:val="32"/>
          <w:lang w:eastAsia="zh-CN"/>
        </w:rPr>
        <w:t>市</w:t>
      </w:r>
      <w:r>
        <w:rPr>
          <w:rFonts w:hint="eastAsia" w:ascii="仿宋_GB2312" w:hAnsi="宋体" w:eastAsia="仿宋_GB2312"/>
          <w:sz w:val="32"/>
          <w:szCs w:val="32"/>
        </w:rPr>
        <w:t>范围内的公安工</w:t>
      </w:r>
      <w:r>
        <w:rPr>
          <w:rFonts w:hint="eastAsia" w:ascii="仿宋_GB2312" w:hAnsi="仿宋_GB2312" w:eastAsia="仿宋_GB2312"/>
          <w:sz w:val="32"/>
          <w:szCs w:val="32"/>
        </w:rPr>
        <w:t>作，主要任务是</w:t>
      </w:r>
      <w:r>
        <w:rPr>
          <w:rFonts w:hint="eastAsia" w:ascii="仿宋_GB2312" w:hAnsi="仿宋_GB2312" w:eastAsia="仿宋_GB2312"/>
          <w:color w:val="000000"/>
          <w:sz w:val="32"/>
          <w:szCs w:val="32"/>
        </w:rPr>
        <w:fldChar w:fldCharType="begin"/>
      </w:r>
      <w:r>
        <w:rPr>
          <w:rFonts w:hint="eastAsia" w:ascii="仿宋_GB2312" w:hAnsi="仿宋_GB2312" w:eastAsia="仿宋_GB2312"/>
          <w:color w:val="000000"/>
          <w:sz w:val="32"/>
          <w:szCs w:val="32"/>
        </w:rPr>
        <w:instrText xml:space="preserve"> HYPERLINK "http://baike.baidu.com/view/2257669.htm" \t "_blank" </w:instrText>
      </w:r>
      <w:r>
        <w:rPr>
          <w:rFonts w:hint="eastAsia" w:ascii="仿宋_GB2312" w:hAnsi="仿宋_GB2312" w:eastAsia="仿宋_GB2312"/>
          <w:color w:val="000000"/>
          <w:sz w:val="32"/>
          <w:szCs w:val="32"/>
        </w:rPr>
        <w:fldChar w:fldCharType="separate"/>
      </w:r>
      <w:r>
        <w:rPr>
          <w:rFonts w:hint="eastAsia" w:ascii="仿宋_GB2312" w:hAnsi="仿宋_GB2312" w:eastAsia="仿宋_GB2312"/>
          <w:color w:val="000000"/>
          <w:sz w:val="32"/>
          <w:szCs w:val="32"/>
        </w:rPr>
        <w:t>维护国家安全</w:t>
      </w:r>
      <w:r>
        <w:rPr>
          <w:rFonts w:hint="eastAsia" w:ascii="仿宋_GB2312" w:hAnsi="仿宋_GB2312" w:eastAsia="仿宋_GB2312"/>
          <w:color w:val="000000"/>
          <w:sz w:val="32"/>
          <w:szCs w:val="32"/>
        </w:rPr>
        <w:fldChar w:fldCharType="end"/>
      </w:r>
      <w:r>
        <w:rPr>
          <w:rFonts w:hint="eastAsia" w:ascii="仿宋_GB2312" w:hAnsi="仿宋_GB2312" w:eastAsia="仿宋_GB2312"/>
          <w:color w:val="000000"/>
          <w:sz w:val="32"/>
          <w:szCs w:val="32"/>
        </w:rPr>
        <w:t>，维护社会治安秩序，保护公民的人身安全、</w:t>
      </w:r>
      <w:r>
        <w:rPr>
          <w:rFonts w:hint="eastAsia" w:ascii="仿宋_GB2312" w:hAnsi="仿宋_GB2312" w:eastAsia="仿宋_GB2312"/>
          <w:color w:val="000000"/>
          <w:sz w:val="32"/>
          <w:szCs w:val="32"/>
        </w:rPr>
        <w:fldChar w:fldCharType="begin"/>
      </w:r>
      <w:r>
        <w:rPr>
          <w:rFonts w:hint="eastAsia" w:ascii="仿宋_GB2312" w:hAnsi="仿宋_GB2312" w:eastAsia="仿宋_GB2312"/>
          <w:color w:val="000000"/>
          <w:sz w:val="32"/>
          <w:szCs w:val="32"/>
        </w:rPr>
        <w:instrText xml:space="preserve"> HYPERLINK "http://baike.baidu.com/view/46899.htm" \t "_blank" </w:instrText>
      </w:r>
      <w:r>
        <w:rPr>
          <w:rFonts w:hint="eastAsia" w:ascii="仿宋_GB2312" w:hAnsi="仿宋_GB2312" w:eastAsia="仿宋_GB2312"/>
          <w:color w:val="000000"/>
          <w:sz w:val="32"/>
          <w:szCs w:val="32"/>
        </w:rPr>
        <w:fldChar w:fldCharType="separate"/>
      </w:r>
      <w:r>
        <w:rPr>
          <w:rFonts w:hint="eastAsia" w:ascii="仿宋_GB2312" w:hAnsi="仿宋_GB2312" w:eastAsia="仿宋_GB2312"/>
          <w:color w:val="000000"/>
          <w:sz w:val="32"/>
          <w:szCs w:val="32"/>
        </w:rPr>
        <w:t>人身自由</w:t>
      </w:r>
      <w:r>
        <w:rPr>
          <w:rFonts w:hint="eastAsia" w:ascii="仿宋_GB2312" w:hAnsi="仿宋_GB2312" w:eastAsia="仿宋_GB2312"/>
          <w:color w:val="000000"/>
          <w:sz w:val="32"/>
          <w:szCs w:val="32"/>
        </w:rPr>
        <w:fldChar w:fldCharType="end"/>
      </w:r>
      <w:r>
        <w:rPr>
          <w:rFonts w:hint="eastAsia" w:ascii="仿宋_GB2312" w:hAnsi="仿宋_GB2312" w:eastAsia="仿宋_GB2312"/>
          <w:sz w:val="32"/>
          <w:szCs w:val="32"/>
        </w:rPr>
        <w:t>和合法财产，保护公共财产，预防、制止和惩治违法犯</w:t>
      </w:r>
      <w:r>
        <w:rPr>
          <w:rFonts w:hint="eastAsia" w:ascii="仿宋_GB2312" w:eastAsia="仿宋_GB2312"/>
          <w:sz w:val="32"/>
          <w:szCs w:val="32"/>
        </w:rPr>
        <w:t>罪活动，保障改革开放和社会主义现代化建设的顺利进行。</w:t>
      </w:r>
    </w:p>
    <w:p>
      <w:pPr>
        <w:ind w:firstLine="630"/>
        <w:jc w:val="left"/>
        <w:rPr>
          <w:rFonts w:hint="eastAsia" w:ascii="黑体" w:hAnsi="黑体" w:eastAsia="黑体"/>
          <w:sz w:val="30"/>
          <w:szCs w:val="30"/>
        </w:rPr>
      </w:pPr>
      <w:r>
        <w:rPr>
          <w:rFonts w:hint="eastAsia" w:ascii="黑体" w:hAnsi="黑体" w:eastAsia="黑体"/>
          <w:sz w:val="30"/>
          <w:szCs w:val="30"/>
        </w:rPr>
        <w:t>二、部门基本情况</w:t>
      </w:r>
    </w:p>
    <w:p>
      <w:pPr>
        <w:ind w:firstLine="640" w:firstLineChars="200"/>
        <w:rPr>
          <w:rFonts w:hint="eastAsia" w:ascii="仿宋_GB2312" w:hAnsi="仿宋_GB2312" w:eastAsia="仿宋_GB2312"/>
          <w:color w:val="000000"/>
          <w:sz w:val="32"/>
          <w:szCs w:val="32"/>
        </w:rPr>
      </w:pPr>
      <w:r>
        <w:rPr>
          <w:rFonts w:hint="eastAsia" w:ascii="仿宋_GB2312" w:hAnsi="仿宋_GB2312" w:eastAsia="仿宋_GB2312"/>
          <w:color w:val="000000"/>
          <w:sz w:val="32"/>
          <w:szCs w:val="32"/>
        </w:rPr>
        <w:t>纳入本套部门决算汇编范围的单位共</w:t>
      </w:r>
      <w:r>
        <w:rPr>
          <w:rFonts w:hint="eastAsia" w:ascii="仿宋_GB2312" w:hAnsi="仿宋_GB2312" w:eastAsia="仿宋_GB2312"/>
          <w:color w:val="000000"/>
          <w:sz w:val="32"/>
          <w:szCs w:val="32"/>
          <w:lang w:val="en-US" w:eastAsia="zh-CN"/>
        </w:rPr>
        <w:t>1</w:t>
      </w:r>
      <w:r>
        <w:rPr>
          <w:rFonts w:hint="eastAsia" w:ascii="仿宋_GB2312" w:hAnsi="仿宋_GB2312" w:eastAsia="仿宋_GB2312"/>
          <w:color w:val="000000"/>
          <w:sz w:val="32"/>
          <w:szCs w:val="32"/>
        </w:rPr>
        <w:t>个，为</w:t>
      </w:r>
      <w:r>
        <w:rPr>
          <w:rFonts w:hint="eastAsia" w:ascii="仿宋_GB2312" w:hAnsi="仿宋_GB2312" w:eastAsia="仿宋_GB2312"/>
          <w:color w:val="000000"/>
          <w:sz w:val="32"/>
          <w:szCs w:val="32"/>
          <w:lang w:eastAsia="zh-CN"/>
        </w:rPr>
        <w:t>庐山市</w:t>
      </w:r>
      <w:r>
        <w:rPr>
          <w:rFonts w:hint="eastAsia" w:ascii="仿宋_GB2312" w:hAnsi="仿宋_GB2312" w:eastAsia="仿宋_GB2312"/>
          <w:color w:val="000000"/>
          <w:sz w:val="32"/>
          <w:szCs w:val="32"/>
        </w:rPr>
        <w:t>公安局。</w:t>
      </w:r>
    </w:p>
    <w:p>
      <w:pPr>
        <w:ind w:firstLine="640" w:firstLineChars="200"/>
        <w:rPr>
          <w:rFonts w:hint="eastAsia" w:ascii="仿宋_GB2312" w:hAnsi="仿宋_GB2312" w:eastAsia="仿宋_GB2312"/>
          <w:color w:val="000000"/>
          <w:sz w:val="32"/>
          <w:szCs w:val="32"/>
        </w:rPr>
      </w:pPr>
      <w:r>
        <w:rPr>
          <w:rFonts w:hint="eastAsia" w:ascii="仿宋_GB2312" w:hAnsi="仿宋_GB2312" w:eastAsia="仿宋_GB2312"/>
          <w:color w:val="000000"/>
          <w:sz w:val="32"/>
          <w:szCs w:val="32"/>
        </w:rPr>
        <w:t>本部门201</w:t>
      </w:r>
      <w:r>
        <w:rPr>
          <w:rFonts w:hint="eastAsia" w:ascii="仿宋_GB2312" w:hAnsi="仿宋_GB2312" w:eastAsia="仿宋_GB2312"/>
          <w:color w:val="000000"/>
          <w:sz w:val="32"/>
          <w:szCs w:val="32"/>
          <w:lang w:val="en-US" w:eastAsia="zh-CN"/>
        </w:rPr>
        <w:t>8</w:t>
      </w:r>
      <w:r>
        <w:rPr>
          <w:rFonts w:hint="eastAsia" w:ascii="仿宋_GB2312" w:hAnsi="仿宋_GB2312" w:eastAsia="仿宋_GB2312"/>
          <w:color w:val="000000"/>
          <w:sz w:val="32"/>
          <w:szCs w:val="32"/>
        </w:rPr>
        <w:t>年年末编制人数</w:t>
      </w:r>
      <w:r>
        <w:rPr>
          <w:rFonts w:hint="eastAsia" w:ascii="仿宋_GB2312" w:hAnsi="仿宋_GB2312" w:eastAsia="仿宋_GB2312"/>
          <w:color w:val="000000"/>
          <w:sz w:val="32"/>
          <w:szCs w:val="32"/>
          <w:lang w:val="en-US" w:eastAsia="zh-CN"/>
        </w:rPr>
        <w:t>210</w:t>
      </w:r>
      <w:r>
        <w:rPr>
          <w:rFonts w:hint="eastAsia" w:ascii="仿宋_GB2312" w:hAnsi="仿宋_GB2312" w:eastAsia="仿宋_GB2312"/>
          <w:color w:val="000000"/>
          <w:sz w:val="32"/>
          <w:szCs w:val="32"/>
        </w:rPr>
        <w:t>人，其中行政编制</w:t>
      </w:r>
      <w:r>
        <w:rPr>
          <w:rFonts w:hint="eastAsia" w:ascii="仿宋_GB2312" w:hAnsi="仿宋_GB2312" w:eastAsia="仿宋_GB2312"/>
          <w:color w:val="000000"/>
          <w:sz w:val="32"/>
          <w:szCs w:val="32"/>
          <w:lang w:val="en-US" w:eastAsia="zh-CN"/>
        </w:rPr>
        <w:t>198</w:t>
      </w:r>
      <w:r>
        <w:rPr>
          <w:rFonts w:hint="eastAsia" w:ascii="仿宋_GB2312" w:hAnsi="仿宋_GB2312" w:eastAsia="仿宋_GB2312"/>
          <w:color w:val="000000"/>
          <w:sz w:val="32"/>
          <w:szCs w:val="32"/>
        </w:rPr>
        <w:t>人，</w:t>
      </w:r>
      <w:r>
        <w:rPr>
          <w:rFonts w:hint="eastAsia" w:ascii="仿宋_GB2312" w:hAnsi="仿宋_GB2312" w:eastAsia="仿宋_GB2312"/>
          <w:color w:val="000000"/>
          <w:sz w:val="32"/>
          <w:szCs w:val="32"/>
          <w:lang w:eastAsia="zh-CN"/>
        </w:rPr>
        <w:t>工勤</w:t>
      </w:r>
      <w:r>
        <w:rPr>
          <w:rFonts w:hint="eastAsia" w:ascii="仿宋_GB2312" w:hAnsi="仿宋_GB2312" w:eastAsia="仿宋_GB2312"/>
          <w:color w:val="000000"/>
          <w:sz w:val="32"/>
          <w:szCs w:val="32"/>
        </w:rPr>
        <w:t>编制</w:t>
      </w:r>
      <w:r>
        <w:rPr>
          <w:rFonts w:hint="eastAsia" w:ascii="仿宋_GB2312" w:hAnsi="仿宋_GB2312" w:eastAsia="仿宋_GB2312"/>
          <w:color w:val="000000"/>
          <w:sz w:val="32"/>
          <w:szCs w:val="32"/>
          <w:lang w:val="en-US" w:eastAsia="zh-CN"/>
        </w:rPr>
        <w:t>12</w:t>
      </w:r>
      <w:r>
        <w:rPr>
          <w:rFonts w:hint="eastAsia" w:ascii="仿宋_GB2312" w:hAnsi="仿宋_GB2312" w:eastAsia="仿宋_GB2312"/>
          <w:color w:val="000000"/>
          <w:sz w:val="32"/>
          <w:szCs w:val="32"/>
        </w:rPr>
        <w:t>人；年末实有人数</w:t>
      </w:r>
      <w:r>
        <w:rPr>
          <w:rFonts w:hint="eastAsia" w:ascii="仿宋_GB2312" w:hAnsi="仿宋_GB2312" w:eastAsia="仿宋_GB2312"/>
          <w:color w:val="000000"/>
          <w:sz w:val="32"/>
          <w:szCs w:val="32"/>
          <w:lang w:val="en-US" w:eastAsia="zh-CN"/>
        </w:rPr>
        <w:t>212</w:t>
      </w:r>
      <w:r>
        <w:rPr>
          <w:rFonts w:hint="eastAsia" w:ascii="仿宋_GB2312" w:hAnsi="仿宋_GB2312" w:eastAsia="仿宋_GB2312"/>
          <w:color w:val="000000"/>
          <w:sz w:val="32"/>
          <w:szCs w:val="32"/>
        </w:rPr>
        <w:t>人，其中</w:t>
      </w:r>
      <w:r>
        <w:rPr>
          <w:rFonts w:hint="eastAsia" w:ascii="仿宋_GB2312" w:hAnsi="仿宋_GB2312" w:eastAsia="仿宋_GB2312"/>
          <w:color w:val="000000"/>
          <w:sz w:val="32"/>
          <w:szCs w:val="32"/>
          <w:lang w:eastAsia="zh-CN"/>
        </w:rPr>
        <w:t>行政</w:t>
      </w:r>
      <w:r>
        <w:rPr>
          <w:rFonts w:hint="eastAsia" w:ascii="仿宋_GB2312" w:hAnsi="仿宋_GB2312" w:eastAsia="仿宋_GB2312"/>
          <w:color w:val="000000"/>
          <w:sz w:val="32"/>
          <w:szCs w:val="32"/>
        </w:rPr>
        <w:t>人员</w:t>
      </w:r>
      <w:r>
        <w:rPr>
          <w:rFonts w:hint="eastAsia" w:ascii="仿宋_GB2312" w:hAnsi="仿宋_GB2312" w:eastAsia="仿宋_GB2312"/>
          <w:color w:val="000000"/>
          <w:sz w:val="32"/>
          <w:szCs w:val="32"/>
          <w:lang w:val="en-US" w:eastAsia="zh-CN"/>
        </w:rPr>
        <w:t>204</w:t>
      </w:r>
      <w:r>
        <w:rPr>
          <w:rFonts w:hint="eastAsia" w:ascii="仿宋_GB2312" w:hAnsi="仿宋_GB2312" w:eastAsia="仿宋_GB2312"/>
          <w:color w:val="000000"/>
          <w:sz w:val="32"/>
          <w:szCs w:val="32"/>
        </w:rPr>
        <w:t>人，</w:t>
      </w:r>
      <w:r>
        <w:rPr>
          <w:rFonts w:hint="eastAsia" w:ascii="仿宋_GB2312" w:hAnsi="仿宋_GB2312" w:eastAsia="仿宋_GB2312"/>
          <w:color w:val="000000"/>
          <w:sz w:val="32"/>
          <w:szCs w:val="32"/>
          <w:lang w:eastAsia="zh-CN"/>
        </w:rPr>
        <w:t>工勤</w:t>
      </w:r>
      <w:r>
        <w:rPr>
          <w:rFonts w:hint="eastAsia" w:ascii="仿宋_GB2312" w:hAnsi="仿宋_GB2312" w:eastAsia="仿宋_GB2312"/>
          <w:color w:val="000000"/>
          <w:sz w:val="32"/>
          <w:szCs w:val="32"/>
        </w:rPr>
        <w:t>人员</w:t>
      </w:r>
      <w:r>
        <w:rPr>
          <w:rFonts w:hint="eastAsia" w:ascii="仿宋_GB2312" w:hAnsi="仿宋_GB2312" w:eastAsia="仿宋_GB2312"/>
          <w:color w:val="000000"/>
          <w:sz w:val="32"/>
          <w:szCs w:val="32"/>
          <w:lang w:val="en-US" w:eastAsia="zh-CN"/>
        </w:rPr>
        <w:t>8</w:t>
      </w:r>
      <w:r>
        <w:rPr>
          <w:rFonts w:hint="eastAsia" w:ascii="仿宋_GB2312" w:hAnsi="仿宋_GB2312" w:eastAsia="仿宋_GB2312"/>
          <w:color w:val="000000"/>
          <w:sz w:val="32"/>
          <w:szCs w:val="32"/>
        </w:rPr>
        <w:t>人。</w:t>
      </w:r>
    </w:p>
    <w:p>
      <w:pPr>
        <w:ind w:firstLine="630"/>
        <w:jc w:val="left"/>
        <w:rPr>
          <w:rFonts w:hint="eastAsia" w:ascii="仿宋" w:hAnsi="仿宋" w:eastAsia="仿宋"/>
          <w:sz w:val="30"/>
          <w:szCs w:val="30"/>
        </w:rPr>
      </w:pPr>
    </w:p>
    <w:p>
      <w:pPr>
        <w:ind w:firstLine="630"/>
        <w:jc w:val="left"/>
        <w:rPr>
          <w:rFonts w:hint="eastAsia" w:ascii="仿宋" w:hAnsi="仿宋" w:eastAsia="仿宋"/>
          <w:sz w:val="30"/>
          <w:szCs w:val="30"/>
        </w:rPr>
      </w:pPr>
    </w:p>
    <w:p>
      <w:pPr>
        <w:ind w:firstLine="630"/>
        <w:jc w:val="left"/>
        <w:rPr>
          <w:rFonts w:hint="eastAsia" w:ascii="仿宋" w:hAnsi="仿宋" w:eastAsia="仿宋"/>
          <w:sz w:val="30"/>
          <w:szCs w:val="30"/>
        </w:rPr>
      </w:pPr>
    </w:p>
    <w:p>
      <w:pPr>
        <w:ind w:firstLine="630"/>
        <w:jc w:val="left"/>
        <w:rPr>
          <w:rFonts w:hint="eastAsia" w:ascii="仿宋" w:hAnsi="仿宋" w:eastAsia="仿宋"/>
          <w:sz w:val="30"/>
          <w:szCs w:val="30"/>
        </w:rPr>
      </w:pPr>
    </w:p>
    <w:p>
      <w:pPr>
        <w:ind w:firstLine="630"/>
        <w:jc w:val="left"/>
        <w:rPr>
          <w:rFonts w:hint="eastAsia" w:ascii="仿宋" w:hAnsi="仿宋" w:eastAsia="仿宋"/>
          <w:sz w:val="30"/>
          <w:szCs w:val="30"/>
        </w:rPr>
      </w:pPr>
    </w:p>
    <w:p>
      <w:pPr>
        <w:ind w:firstLine="630"/>
        <w:jc w:val="left"/>
        <w:rPr>
          <w:rFonts w:hint="eastAsia" w:ascii="仿宋" w:hAnsi="仿宋" w:eastAsia="仿宋"/>
          <w:sz w:val="30"/>
          <w:szCs w:val="30"/>
        </w:rPr>
      </w:pPr>
    </w:p>
    <w:p>
      <w:pPr>
        <w:ind w:firstLine="630"/>
        <w:jc w:val="left"/>
        <w:rPr>
          <w:rFonts w:hint="eastAsia" w:ascii="仿宋" w:hAnsi="仿宋" w:eastAsia="仿宋"/>
          <w:sz w:val="30"/>
          <w:szCs w:val="30"/>
        </w:rPr>
      </w:pPr>
    </w:p>
    <w:p>
      <w:pPr>
        <w:ind w:firstLine="630"/>
        <w:jc w:val="left"/>
        <w:rPr>
          <w:rFonts w:hint="eastAsia" w:ascii="仿宋" w:hAnsi="仿宋" w:eastAsia="仿宋"/>
          <w:sz w:val="30"/>
          <w:szCs w:val="30"/>
        </w:rPr>
      </w:pPr>
    </w:p>
    <w:p>
      <w:pPr>
        <w:ind w:firstLine="630"/>
        <w:jc w:val="left"/>
        <w:rPr>
          <w:rFonts w:hint="eastAsia" w:ascii="仿宋" w:hAnsi="仿宋" w:eastAsia="仿宋"/>
          <w:sz w:val="30"/>
          <w:szCs w:val="30"/>
        </w:rPr>
      </w:pPr>
    </w:p>
    <w:p>
      <w:pPr>
        <w:numPr>
          <w:ilvl w:val="0"/>
          <w:numId w:val="1"/>
        </w:numPr>
        <w:ind w:firstLine="630"/>
        <w:jc w:val="center"/>
        <w:rPr>
          <w:rFonts w:hint="eastAsia" w:ascii="宋体" w:hAnsi="宋体"/>
          <w:b/>
          <w:sz w:val="32"/>
          <w:szCs w:val="32"/>
        </w:rPr>
      </w:pPr>
      <w:r>
        <w:rPr>
          <w:rFonts w:hint="eastAsia" w:ascii="宋体" w:hAnsi="宋体"/>
          <w:b/>
          <w:sz w:val="32"/>
          <w:szCs w:val="32"/>
        </w:rPr>
        <w:t xml:space="preserve"> 2018年度部门决算表</w:t>
      </w:r>
    </w:p>
    <w:tbl>
      <w:tblPr>
        <w:tblStyle w:val="3"/>
        <w:tblW w:w="8336" w:type="dxa"/>
        <w:tblInd w:w="0" w:type="dxa"/>
        <w:shd w:val="clear" w:color="auto" w:fill="auto"/>
        <w:tblLayout w:type="fixed"/>
        <w:tblCellMar>
          <w:top w:w="0" w:type="dxa"/>
          <w:left w:w="0" w:type="dxa"/>
          <w:bottom w:w="0" w:type="dxa"/>
          <w:right w:w="0" w:type="dxa"/>
        </w:tblCellMar>
      </w:tblPr>
      <w:tblGrid>
        <w:gridCol w:w="2796"/>
        <w:gridCol w:w="435"/>
        <w:gridCol w:w="1125"/>
        <w:gridCol w:w="2460"/>
        <w:gridCol w:w="480"/>
        <w:gridCol w:w="1040"/>
      </w:tblGrid>
      <w:tr>
        <w:tblPrEx>
          <w:shd w:val="clear" w:color="auto" w:fill="auto"/>
          <w:tblCellMar>
            <w:top w:w="0" w:type="dxa"/>
            <w:left w:w="0" w:type="dxa"/>
            <w:bottom w:w="0" w:type="dxa"/>
            <w:right w:w="0" w:type="dxa"/>
          </w:tblCellMar>
        </w:tblPrEx>
        <w:trPr>
          <w:trHeight w:val="540" w:hRule="atLeast"/>
        </w:trPr>
        <w:tc>
          <w:tcPr>
            <w:tcW w:w="8336" w:type="dxa"/>
            <w:gridSpan w:val="6"/>
            <w:tcBorders>
              <w:top w:val="nil"/>
              <w:left w:val="nil"/>
              <w:bottom w:val="nil"/>
              <w:right w:val="nil"/>
            </w:tcBorders>
            <w:shd w:val="clear" w:color="auto" w:fill="auto"/>
            <w:noWrap/>
            <w:tcMar>
              <w:top w:w="15" w:type="dxa"/>
              <w:left w:w="15" w:type="dxa"/>
              <w:right w:w="15" w:type="dxa"/>
            </w:tcMar>
            <w:vAlign w:val="bottom"/>
          </w:tcPr>
          <w:p>
            <w:pPr>
              <w:jc w:val="center"/>
              <w:rPr>
                <w:rFonts w:hint="default" w:ascii="Arial" w:hAnsi="Arial" w:cs="Arial"/>
                <w:i w:val="0"/>
                <w:color w:val="000000"/>
                <w:sz w:val="20"/>
                <w:szCs w:val="20"/>
                <w:u w:val="none"/>
              </w:rPr>
            </w:pPr>
            <w:r>
              <w:rPr>
                <w:rFonts w:hint="eastAsia" w:ascii="宋体" w:hAnsi="宋体" w:eastAsia="宋体" w:cs="宋体"/>
                <w:i w:val="0"/>
                <w:color w:val="000000"/>
                <w:kern w:val="0"/>
                <w:sz w:val="44"/>
                <w:szCs w:val="44"/>
                <w:u w:val="none"/>
                <w:lang w:val="en-US" w:eastAsia="zh-CN" w:bidi="ar"/>
              </w:rPr>
              <w:t>收入支出决算总表</w:t>
            </w:r>
          </w:p>
        </w:tc>
      </w:tr>
      <w:tr>
        <w:tblPrEx>
          <w:tblCellMar>
            <w:top w:w="0" w:type="dxa"/>
            <w:left w:w="0" w:type="dxa"/>
            <w:bottom w:w="0" w:type="dxa"/>
            <w:right w:w="0" w:type="dxa"/>
          </w:tblCellMar>
        </w:tblPrEx>
        <w:trPr>
          <w:trHeight w:val="255" w:hRule="atLeast"/>
        </w:trPr>
        <w:tc>
          <w:tcPr>
            <w:tcW w:w="279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3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12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46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8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040"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CellMar>
            <w:top w:w="0" w:type="dxa"/>
            <w:left w:w="0" w:type="dxa"/>
            <w:bottom w:w="0" w:type="dxa"/>
            <w:right w:w="0" w:type="dxa"/>
          </w:tblCellMar>
        </w:tblPrEx>
        <w:trPr>
          <w:trHeight w:val="255" w:hRule="atLeast"/>
        </w:trPr>
        <w:tc>
          <w:tcPr>
            <w:tcW w:w="3231"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编制单位：庐山市公安局（本级）</w:t>
            </w:r>
          </w:p>
        </w:tc>
        <w:tc>
          <w:tcPr>
            <w:tcW w:w="3585"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2018年度</w:t>
            </w:r>
          </w:p>
        </w:tc>
        <w:tc>
          <w:tcPr>
            <w:tcW w:w="1520"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tblCellMar>
            <w:top w:w="0" w:type="dxa"/>
            <w:left w:w="0" w:type="dxa"/>
            <w:bottom w:w="0" w:type="dxa"/>
            <w:right w:w="0" w:type="dxa"/>
          </w:tblCellMar>
        </w:tblPrEx>
        <w:trPr>
          <w:trHeight w:val="308" w:hRule="atLeast"/>
        </w:trPr>
        <w:tc>
          <w:tcPr>
            <w:tcW w:w="435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收     入</w:t>
            </w:r>
          </w:p>
        </w:tc>
        <w:tc>
          <w:tcPr>
            <w:tcW w:w="3980" w:type="dxa"/>
            <w:gridSpan w:val="3"/>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     出</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    目</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行次</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决算数</w:t>
            </w: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项目（按功能分类）</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行次</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决算数</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    次</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    次</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一、财政拨款收入</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4,350.38</w:t>
            </w: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一、一般公共服务支出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其中：政府性基金预算财政拨款</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二、外交支出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二、上级补助收入</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三、国防支出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三、事业收入</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四、公共安全支出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3,956.63</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四、经营收入</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五、教育支出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五、附属单位上缴收入</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六、科学技术支出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六、其他收入</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145.39</w:t>
            </w: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七、文化体育与传媒支出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34</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八、社会保障和就业支出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424.09</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九、医疗卫生与计划生育支出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89.15</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十、节能环保支出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十一、城乡社区支出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十二、农林水支出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十三、交通运输支出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十四、资源勘探信息等支出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十五、商业服务业等支出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十六、金融支出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43</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十七、援助其他地区支出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十八、国土海洋气象等支出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十九、住房保障支出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46</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二十、粮油物资储备支出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二十一、其他支出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二十二、债务还本支出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49</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二十三、债务付息支出</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本年收入合计</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4,495.77</w:t>
            </w: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本年支出合计</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4,578.87</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用事业基金弥补收支差额</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结余分配</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52</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年初结转和结余</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1,437.11</w:t>
            </w: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年末结转和结余</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53</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1,354.01</w:t>
            </w:r>
          </w:p>
        </w:tc>
      </w:tr>
      <w:tr>
        <w:tblPrEx>
          <w:tblCellMar>
            <w:top w:w="0" w:type="dxa"/>
            <w:left w:w="0" w:type="dxa"/>
            <w:bottom w:w="0" w:type="dxa"/>
            <w:right w:w="0" w:type="dxa"/>
          </w:tblCellMar>
        </w:tblPrEx>
        <w:trPr>
          <w:trHeight w:val="308" w:hRule="atLeast"/>
        </w:trPr>
        <w:tc>
          <w:tcPr>
            <w:tcW w:w="27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总计</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w:t>
            </w:r>
          </w:p>
        </w:tc>
        <w:tc>
          <w:tcPr>
            <w:tcW w:w="11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5,932.88</w:t>
            </w:r>
          </w:p>
        </w:tc>
        <w:tc>
          <w:tcPr>
            <w:tcW w:w="2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总计</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54</w:t>
            </w:r>
          </w:p>
        </w:tc>
        <w:tc>
          <w:tcPr>
            <w:tcW w:w="10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5,932.88</w:t>
            </w:r>
          </w:p>
        </w:tc>
      </w:tr>
      <w:tr>
        <w:tblPrEx>
          <w:tblCellMar>
            <w:top w:w="0" w:type="dxa"/>
            <w:left w:w="0" w:type="dxa"/>
            <w:bottom w:w="0" w:type="dxa"/>
            <w:right w:w="0" w:type="dxa"/>
          </w:tblCellMar>
        </w:tblPrEx>
        <w:trPr>
          <w:trHeight w:val="308" w:hRule="atLeast"/>
        </w:trPr>
        <w:tc>
          <w:tcPr>
            <w:tcW w:w="8336" w:type="dxa"/>
            <w:gridSpan w:val="6"/>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注：本表反映部门本年度的总收支和年末结转结余情况。</w:t>
            </w:r>
          </w:p>
        </w:tc>
      </w:tr>
    </w:tbl>
    <w:p>
      <w:pPr>
        <w:jc w:val="center"/>
        <w:rPr>
          <w:rFonts w:hint="eastAsia" w:ascii="黑体" w:eastAsia="黑体"/>
          <w:sz w:val="15"/>
          <w:szCs w:val="15"/>
        </w:rPr>
      </w:pPr>
    </w:p>
    <w:p>
      <w:pPr>
        <w:jc w:val="both"/>
        <w:rPr>
          <w:rFonts w:hint="eastAsia" w:ascii="黑体" w:eastAsia="黑体"/>
          <w:sz w:val="15"/>
          <w:szCs w:val="15"/>
        </w:rPr>
      </w:pPr>
    </w:p>
    <w:p>
      <w:pPr>
        <w:jc w:val="both"/>
        <w:rPr>
          <w:rFonts w:hint="eastAsia" w:ascii="黑体" w:eastAsia="黑体"/>
          <w:sz w:val="15"/>
          <w:szCs w:val="15"/>
        </w:rPr>
      </w:pPr>
    </w:p>
    <w:p>
      <w:pPr>
        <w:jc w:val="both"/>
        <w:rPr>
          <w:rFonts w:hint="eastAsia" w:ascii="黑体" w:eastAsia="黑体"/>
          <w:sz w:val="15"/>
          <w:szCs w:val="15"/>
        </w:rPr>
      </w:pPr>
    </w:p>
    <w:p>
      <w:pPr>
        <w:jc w:val="both"/>
        <w:rPr>
          <w:rFonts w:hint="eastAsia" w:ascii="黑体" w:eastAsia="黑体"/>
          <w:sz w:val="15"/>
          <w:szCs w:val="15"/>
        </w:rPr>
      </w:pPr>
    </w:p>
    <w:tbl>
      <w:tblPr>
        <w:tblStyle w:val="3"/>
        <w:tblW w:w="11510" w:type="dxa"/>
        <w:tblInd w:w="0" w:type="dxa"/>
        <w:shd w:val="clear" w:color="auto" w:fill="auto"/>
        <w:tblLayout w:type="fixed"/>
        <w:tblCellMar>
          <w:top w:w="0" w:type="dxa"/>
          <w:left w:w="0" w:type="dxa"/>
          <w:bottom w:w="0" w:type="dxa"/>
          <w:right w:w="0" w:type="dxa"/>
        </w:tblCellMar>
      </w:tblPr>
      <w:tblGrid>
        <w:gridCol w:w="240"/>
        <w:gridCol w:w="21"/>
        <w:gridCol w:w="219"/>
        <w:gridCol w:w="111"/>
        <w:gridCol w:w="129"/>
        <w:gridCol w:w="216"/>
        <w:gridCol w:w="1926"/>
        <w:gridCol w:w="69"/>
        <w:gridCol w:w="1005"/>
        <w:gridCol w:w="990"/>
        <w:gridCol w:w="51"/>
        <w:gridCol w:w="594"/>
        <w:gridCol w:w="570"/>
        <w:gridCol w:w="660"/>
        <w:gridCol w:w="111"/>
        <w:gridCol w:w="609"/>
        <w:gridCol w:w="126"/>
        <w:gridCol w:w="729"/>
        <w:gridCol w:w="231"/>
        <w:gridCol w:w="2903"/>
      </w:tblGrid>
      <w:tr>
        <w:tblPrEx>
          <w:shd w:val="clear" w:color="auto" w:fill="auto"/>
          <w:tblCellMar>
            <w:top w:w="0" w:type="dxa"/>
            <w:left w:w="0" w:type="dxa"/>
            <w:bottom w:w="0" w:type="dxa"/>
            <w:right w:w="0" w:type="dxa"/>
          </w:tblCellMar>
        </w:tblPrEx>
        <w:trPr>
          <w:gridAfter w:val="2"/>
          <w:wAfter w:w="3134" w:type="dxa"/>
          <w:trHeight w:val="540" w:hRule="atLeast"/>
        </w:trPr>
        <w:tc>
          <w:tcPr>
            <w:tcW w:w="8376" w:type="dxa"/>
            <w:gridSpan w:val="18"/>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44"/>
                <w:szCs w:val="44"/>
                <w:u w:val="none"/>
              </w:rPr>
            </w:pPr>
            <w:r>
              <w:rPr>
                <w:rFonts w:hint="eastAsia" w:ascii="宋体" w:hAnsi="宋体" w:eastAsia="宋体" w:cs="宋体"/>
                <w:i w:val="0"/>
                <w:color w:val="000000"/>
                <w:kern w:val="0"/>
                <w:sz w:val="44"/>
                <w:szCs w:val="44"/>
                <w:u w:val="none"/>
                <w:lang w:val="en-US" w:eastAsia="zh-CN" w:bidi="ar"/>
              </w:rPr>
              <w:t>收入决算表</w:t>
            </w:r>
          </w:p>
        </w:tc>
      </w:tr>
      <w:tr>
        <w:tblPrEx>
          <w:tblCellMar>
            <w:top w:w="0" w:type="dxa"/>
            <w:left w:w="0" w:type="dxa"/>
            <w:bottom w:w="0" w:type="dxa"/>
            <w:right w:w="0" w:type="dxa"/>
          </w:tblCellMar>
        </w:tblPrEx>
        <w:trPr>
          <w:gridAfter w:val="2"/>
          <w:wAfter w:w="3134" w:type="dxa"/>
          <w:trHeight w:val="255" w:hRule="atLeast"/>
        </w:trPr>
        <w:tc>
          <w:tcPr>
            <w:tcW w:w="240" w:type="dxa"/>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240"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40"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206" w:type="dxa"/>
            <w:gridSpan w:val="5"/>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875" w:type="dxa"/>
            <w:gridSpan w:val="4"/>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575" w:type="dxa"/>
            <w:gridSpan w:val="4"/>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公开02表</w:t>
            </w:r>
          </w:p>
        </w:tc>
      </w:tr>
      <w:tr>
        <w:tblPrEx>
          <w:tblCellMar>
            <w:top w:w="0" w:type="dxa"/>
            <w:left w:w="0" w:type="dxa"/>
            <w:bottom w:w="0" w:type="dxa"/>
            <w:right w:w="0" w:type="dxa"/>
          </w:tblCellMar>
        </w:tblPrEx>
        <w:trPr>
          <w:gridAfter w:val="2"/>
          <w:wAfter w:w="3134" w:type="dxa"/>
          <w:trHeight w:val="255" w:hRule="atLeast"/>
        </w:trPr>
        <w:tc>
          <w:tcPr>
            <w:tcW w:w="4926" w:type="dxa"/>
            <w:gridSpan w:val="10"/>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编制单位：庐山市公安局（本级）</w:t>
            </w:r>
          </w:p>
        </w:tc>
        <w:tc>
          <w:tcPr>
            <w:tcW w:w="3450" w:type="dxa"/>
            <w:gridSpan w:val="8"/>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both"/>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2018年度            金额单位：万元</w:t>
            </w:r>
          </w:p>
        </w:tc>
      </w:tr>
      <w:tr>
        <w:tblPrEx>
          <w:tblCellMar>
            <w:top w:w="0" w:type="dxa"/>
            <w:left w:w="0" w:type="dxa"/>
            <w:bottom w:w="0" w:type="dxa"/>
            <w:right w:w="0" w:type="dxa"/>
          </w:tblCellMar>
        </w:tblPrEx>
        <w:trPr>
          <w:gridAfter w:val="2"/>
          <w:wAfter w:w="3134" w:type="dxa"/>
          <w:trHeight w:val="308" w:hRule="atLeast"/>
        </w:trPr>
        <w:tc>
          <w:tcPr>
            <w:tcW w:w="2931"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    目</w:t>
            </w:r>
          </w:p>
        </w:tc>
        <w:tc>
          <w:tcPr>
            <w:tcW w:w="1005" w:type="dxa"/>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本年收入合计</w:t>
            </w:r>
          </w:p>
        </w:tc>
        <w:tc>
          <w:tcPr>
            <w:tcW w:w="990" w:type="dxa"/>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财政拨款收入</w:t>
            </w:r>
          </w:p>
        </w:tc>
        <w:tc>
          <w:tcPr>
            <w:tcW w:w="645" w:type="dxa"/>
            <w:gridSpan w:val="2"/>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上级补助收入</w:t>
            </w:r>
          </w:p>
        </w:tc>
        <w:tc>
          <w:tcPr>
            <w:tcW w:w="570" w:type="dxa"/>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事业收入</w:t>
            </w:r>
          </w:p>
        </w:tc>
        <w:tc>
          <w:tcPr>
            <w:tcW w:w="660" w:type="dxa"/>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经营收入</w:t>
            </w:r>
          </w:p>
        </w:tc>
        <w:tc>
          <w:tcPr>
            <w:tcW w:w="720" w:type="dxa"/>
            <w:gridSpan w:val="2"/>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附属单位上缴收入</w:t>
            </w:r>
          </w:p>
        </w:tc>
        <w:tc>
          <w:tcPr>
            <w:tcW w:w="855" w:type="dxa"/>
            <w:gridSpan w:val="2"/>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其他收入</w:t>
            </w:r>
          </w:p>
        </w:tc>
      </w:tr>
      <w:tr>
        <w:tblPrEx>
          <w:tblCellMar>
            <w:top w:w="0" w:type="dxa"/>
            <w:left w:w="0" w:type="dxa"/>
            <w:bottom w:w="0" w:type="dxa"/>
            <w:right w:w="0" w:type="dxa"/>
          </w:tblCellMar>
        </w:tblPrEx>
        <w:trPr>
          <w:gridAfter w:val="2"/>
          <w:wAfter w:w="3134" w:type="dxa"/>
          <w:trHeight w:val="385" w:hRule="atLeast"/>
        </w:trPr>
        <w:tc>
          <w:tcPr>
            <w:tcW w:w="720" w:type="dxa"/>
            <w:gridSpan w:val="5"/>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支出功能分类  科目编码</w:t>
            </w:r>
          </w:p>
        </w:tc>
        <w:tc>
          <w:tcPr>
            <w:tcW w:w="2211" w:type="dxa"/>
            <w:gridSpan w:val="3"/>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科目名称</w:t>
            </w:r>
          </w:p>
        </w:tc>
        <w:tc>
          <w:tcPr>
            <w:tcW w:w="1005"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9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5"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7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20"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55"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2"/>
          <w:wAfter w:w="3134" w:type="dxa"/>
          <w:trHeight w:val="369" w:hRule="atLeast"/>
        </w:trPr>
        <w:tc>
          <w:tcPr>
            <w:tcW w:w="720" w:type="dxa"/>
            <w:gridSpan w:val="5"/>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211" w:type="dxa"/>
            <w:gridSpan w:val="3"/>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05"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9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5"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7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20"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55"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2"/>
          <w:wAfter w:w="3134" w:type="dxa"/>
          <w:trHeight w:val="323" w:hRule="atLeast"/>
        </w:trPr>
        <w:tc>
          <w:tcPr>
            <w:tcW w:w="720" w:type="dxa"/>
            <w:gridSpan w:val="5"/>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211" w:type="dxa"/>
            <w:gridSpan w:val="3"/>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05"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9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5"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7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20"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55"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2"/>
          <w:wAfter w:w="3134" w:type="dxa"/>
          <w:trHeight w:val="492" w:hRule="atLeast"/>
        </w:trPr>
        <w:tc>
          <w:tcPr>
            <w:tcW w:w="240" w:type="dxa"/>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类</w:t>
            </w:r>
          </w:p>
        </w:tc>
        <w:tc>
          <w:tcPr>
            <w:tcW w:w="240" w:type="dxa"/>
            <w:gridSpan w:val="2"/>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款</w:t>
            </w:r>
          </w:p>
        </w:tc>
        <w:tc>
          <w:tcPr>
            <w:tcW w:w="240" w:type="dxa"/>
            <w:gridSpan w:val="2"/>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栏次</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7 </w:t>
            </w:r>
          </w:p>
        </w:tc>
      </w:tr>
      <w:tr>
        <w:tblPrEx>
          <w:tblCellMar>
            <w:top w:w="0" w:type="dxa"/>
            <w:left w:w="0" w:type="dxa"/>
            <w:bottom w:w="0" w:type="dxa"/>
            <w:right w:w="0" w:type="dxa"/>
          </w:tblCellMar>
        </w:tblPrEx>
        <w:trPr>
          <w:gridAfter w:val="2"/>
          <w:wAfter w:w="3134" w:type="dxa"/>
          <w:trHeight w:val="308" w:hRule="atLeast"/>
        </w:trPr>
        <w:tc>
          <w:tcPr>
            <w:tcW w:w="240"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40" w:type="dxa"/>
            <w:gridSpan w:val="2"/>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40" w:type="dxa"/>
            <w:gridSpan w:val="2"/>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4,495.77</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4,350.38</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145.39</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公共安全支出</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3,873.53</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3,728.14</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145.39</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公安</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3,873.53</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3,728.14</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145.39</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2040201</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行政运行</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3,777.31</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3,631.92</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145.39</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2040250</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事业运行</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45.51</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45.51</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2040299</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其他公安支出</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50.71</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50.71</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社会保障和就业支出</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424.09</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424.09</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行政事业单位离退休</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388.47</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388.47</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2080505</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机关事业单位基本养老保险缴费支出</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277.88</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277.88</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2080506</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机关事业单位职业年金缴费支出</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108.58</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108.58</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2080599</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其他行政事业单位离退休支出</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20808</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抚恤</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35.62</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35.62</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2080801</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死亡抚恤</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29.92</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29.92</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2080899</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其他优抚支出</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5.70</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5.70</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医疗卫生与计划生育支出</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89.15</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89.15</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行政事业单位医疗</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89.15</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89.15</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2101101</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行政单位医疗</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83.87</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83.87</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2101102</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事业单位医疗</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5.28</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5.28</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212</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城乡社区支出</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21208</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国有土地使用权出让收入及对应专项债务收入安排的支出</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2120801</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征地和拆迁补偿支出</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213</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农林水支出</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21305</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扶贫</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720"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2130599</w:t>
            </w:r>
          </w:p>
        </w:tc>
        <w:tc>
          <w:tcPr>
            <w:tcW w:w="2211"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其他扶贫支出</w:t>
            </w:r>
          </w:p>
        </w:tc>
        <w:tc>
          <w:tcPr>
            <w:tcW w:w="10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9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64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2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2"/>
          <w:wAfter w:w="3134" w:type="dxa"/>
          <w:trHeight w:val="308" w:hRule="atLeast"/>
        </w:trPr>
        <w:tc>
          <w:tcPr>
            <w:tcW w:w="8376" w:type="dxa"/>
            <w:gridSpan w:val="18"/>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注：本表反映部门本年度取得的各项收入情况。</w:t>
            </w:r>
          </w:p>
        </w:tc>
      </w:tr>
      <w:tr>
        <w:tblPrEx>
          <w:tblCellMar>
            <w:top w:w="0" w:type="dxa"/>
            <w:left w:w="0" w:type="dxa"/>
            <w:bottom w:w="0" w:type="dxa"/>
            <w:right w:w="0" w:type="dxa"/>
          </w:tblCellMar>
        </w:tblPrEx>
        <w:trPr>
          <w:gridAfter w:val="1"/>
          <w:wAfter w:w="2903" w:type="dxa"/>
          <w:trHeight w:val="540" w:hRule="atLeast"/>
        </w:trPr>
        <w:tc>
          <w:tcPr>
            <w:tcW w:w="8607" w:type="dxa"/>
            <w:gridSpan w:val="19"/>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44"/>
                <w:szCs w:val="44"/>
                <w:u w:val="none"/>
              </w:rPr>
            </w:pPr>
            <w:r>
              <w:rPr>
                <w:rFonts w:hint="eastAsia" w:ascii="宋体" w:hAnsi="宋体" w:eastAsia="宋体" w:cs="宋体"/>
                <w:i w:val="0"/>
                <w:color w:val="000000"/>
                <w:kern w:val="0"/>
                <w:sz w:val="44"/>
                <w:szCs w:val="44"/>
                <w:u w:val="none"/>
                <w:lang w:val="en-US" w:eastAsia="zh-CN" w:bidi="ar"/>
              </w:rPr>
              <w:t>支出决算表</w:t>
            </w:r>
          </w:p>
        </w:tc>
      </w:tr>
      <w:tr>
        <w:tblPrEx>
          <w:tblCellMar>
            <w:top w:w="0" w:type="dxa"/>
            <w:left w:w="0" w:type="dxa"/>
            <w:bottom w:w="0" w:type="dxa"/>
            <w:right w:w="0" w:type="dxa"/>
          </w:tblCellMar>
        </w:tblPrEx>
        <w:trPr>
          <w:gridAfter w:val="1"/>
          <w:wAfter w:w="2903" w:type="dxa"/>
          <w:trHeight w:val="255" w:hRule="atLeast"/>
        </w:trPr>
        <w:tc>
          <w:tcPr>
            <w:tcW w:w="261" w:type="dxa"/>
            <w:gridSpan w:val="2"/>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330"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345"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92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115" w:type="dxa"/>
            <w:gridSpan w:val="4"/>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935" w:type="dxa"/>
            <w:gridSpan w:val="4"/>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695" w:type="dxa"/>
            <w:gridSpan w:val="4"/>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公开03表</w:t>
            </w:r>
          </w:p>
        </w:tc>
      </w:tr>
      <w:tr>
        <w:tblPrEx>
          <w:tblCellMar>
            <w:top w:w="0" w:type="dxa"/>
            <w:left w:w="0" w:type="dxa"/>
            <w:bottom w:w="0" w:type="dxa"/>
            <w:right w:w="0" w:type="dxa"/>
          </w:tblCellMar>
        </w:tblPrEx>
        <w:trPr>
          <w:gridAfter w:val="1"/>
          <w:wAfter w:w="2903" w:type="dxa"/>
          <w:trHeight w:val="255" w:hRule="atLeast"/>
        </w:trPr>
        <w:tc>
          <w:tcPr>
            <w:tcW w:w="2862" w:type="dxa"/>
            <w:gridSpan w:val="7"/>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编制单位：庐山市公安局（本级）</w:t>
            </w:r>
          </w:p>
        </w:tc>
        <w:tc>
          <w:tcPr>
            <w:tcW w:w="2115" w:type="dxa"/>
            <w:gridSpan w:val="4"/>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935" w:type="dxa"/>
            <w:gridSpan w:val="4"/>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2018年度</w:t>
            </w:r>
          </w:p>
        </w:tc>
        <w:tc>
          <w:tcPr>
            <w:tcW w:w="1695" w:type="dxa"/>
            <w:gridSpan w:val="4"/>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tblCellMar>
            <w:top w:w="0" w:type="dxa"/>
            <w:left w:w="0" w:type="dxa"/>
            <w:bottom w:w="0" w:type="dxa"/>
            <w:right w:w="0" w:type="dxa"/>
          </w:tblCellMar>
        </w:tblPrEx>
        <w:trPr>
          <w:gridAfter w:val="1"/>
          <w:wAfter w:w="2903" w:type="dxa"/>
          <w:trHeight w:val="308" w:hRule="atLeast"/>
        </w:trPr>
        <w:tc>
          <w:tcPr>
            <w:tcW w:w="2862"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    目</w:t>
            </w:r>
          </w:p>
        </w:tc>
        <w:tc>
          <w:tcPr>
            <w:tcW w:w="1074" w:type="dxa"/>
            <w:gridSpan w:val="2"/>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本年支出合计</w:t>
            </w:r>
          </w:p>
        </w:tc>
        <w:tc>
          <w:tcPr>
            <w:tcW w:w="1041" w:type="dxa"/>
            <w:gridSpan w:val="2"/>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基本支出</w:t>
            </w:r>
          </w:p>
        </w:tc>
        <w:tc>
          <w:tcPr>
            <w:tcW w:w="1164" w:type="dxa"/>
            <w:gridSpan w:val="2"/>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项目支出</w:t>
            </w:r>
          </w:p>
        </w:tc>
        <w:tc>
          <w:tcPr>
            <w:tcW w:w="771" w:type="dxa"/>
            <w:gridSpan w:val="2"/>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上缴上级支出</w:t>
            </w:r>
          </w:p>
        </w:tc>
        <w:tc>
          <w:tcPr>
            <w:tcW w:w="735" w:type="dxa"/>
            <w:gridSpan w:val="2"/>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经营支出</w:t>
            </w:r>
          </w:p>
        </w:tc>
        <w:tc>
          <w:tcPr>
            <w:tcW w:w="960" w:type="dxa"/>
            <w:gridSpan w:val="2"/>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对附属单位补助支出</w:t>
            </w:r>
          </w:p>
        </w:tc>
      </w:tr>
      <w:tr>
        <w:tblPrEx>
          <w:tblCellMar>
            <w:top w:w="0" w:type="dxa"/>
            <w:left w:w="0" w:type="dxa"/>
            <w:bottom w:w="0" w:type="dxa"/>
            <w:right w:w="0" w:type="dxa"/>
          </w:tblCellMar>
        </w:tblPrEx>
        <w:trPr>
          <w:gridAfter w:val="1"/>
          <w:wAfter w:w="2903" w:type="dxa"/>
          <w:trHeight w:val="308" w:hRule="atLeast"/>
        </w:trPr>
        <w:tc>
          <w:tcPr>
            <w:tcW w:w="936" w:type="dxa"/>
            <w:gridSpan w:val="6"/>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支出功能分类科目编码</w:t>
            </w:r>
          </w:p>
        </w:tc>
        <w:tc>
          <w:tcPr>
            <w:tcW w:w="1926"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科目名称</w:t>
            </w:r>
          </w:p>
        </w:tc>
        <w:tc>
          <w:tcPr>
            <w:tcW w:w="1074"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41"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64"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71"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35"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60" w:type="dxa"/>
            <w:gridSpan w:val="2"/>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1"/>
          <w:wAfter w:w="2903" w:type="dxa"/>
          <w:trHeight w:val="308" w:hRule="atLeast"/>
        </w:trPr>
        <w:tc>
          <w:tcPr>
            <w:tcW w:w="936" w:type="dxa"/>
            <w:gridSpan w:val="6"/>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26"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74"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41"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64"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71"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35"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60" w:type="dxa"/>
            <w:gridSpan w:val="2"/>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1"/>
          <w:wAfter w:w="2903" w:type="dxa"/>
          <w:trHeight w:val="308" w:hRule="atLeast"/>
        </w:trPr>
        <w:tc>
          <w:tcPr>
            <w:tcW w:w="936" w:type="dxa"/>
            <w:gridSpan w:val="6"/>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26"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74"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41"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64"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71"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35"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60" w:type="dxa"/>
            <w:gridSpan w:val="2"/>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1"/>
          <w:wAfter w:w="2903" w:type="dxa"/>
          <w:trHeight w:val="308" w:hRule="atLeast"/>
        </w:trPr>
        <w:tc>
          <w:tcPr>
            <w:tcW w:w="261" w:type="dxa"/>
            <w:gridSpan w:val="2"/>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类</w:t>
            </w:r>
          </w:p>
        </w:tc>
        <w:tc>
          <w:tcPr>
            <w:tcW w:w="330" w:type="dxa"/>
            <w:gridSpan w:val="2"/>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款</w:t>
            </w:r>
          </w:p>
        </w:tc>
        <w:tc>
          <w:tcPr>
            <w:tcW w:w="345" w:type="dxa"/>
            <w:gridSpan w:val="2"/>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栏次</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r>
      <w:tr>
        <w:tblPrEx>
          <w:tblCellMar>
            <w:top w:w="0" w:type="dxa"/>
            <w:left w:w="0" w:type="dxa"/>
            <w:bottom w:w="0" w:type="dxa"/>
            <w:right w:w="0" w:type="dxa"/>
          </w:tblCellMar>
        </w:tblPrEx>
        <w:trPr>
          <w:gridAfter w:val="1"/>
          <w:wAfter w:w="2903" w:type="dxa"/>
          <w:trHeight w:val="308" w:hRule="atLeast"/>
        </w:trPr>
        <w:tc>
          <w:tcPr>
            <w:tcW w:w="261" w:type="dxa"/>
            <w:gridSpan w:val="2"/>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30" w:type="dxa"/>
            <w:gridSpan w:val="2"/>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5" w:type="dxa"/>
            <w:gridSpan w:val="2"/>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4,578.87</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3,104.39</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1,474.48</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公共安全支出</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3,956.63</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2,582.15</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1,374.48</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公安</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3,956.63</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2,582.15</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1,374.48</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2040201</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行政运行</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3,860.41</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2,485.93</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1,374.48</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2040250</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事业运行</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45.51</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45.51</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2040299</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其他公安支出</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50.71</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50.71</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社会保障和就业支出</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424.09</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424.09</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行政事业单位离退休</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388.47</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388.47</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2080505</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机关事业单位基本养老保险缴费支出</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277.88</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277.88</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2080506</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机关事业单位职业年金缴费支出</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108.58</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108.58</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2080599</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其他行政事业单位离退休支出</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20808</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抚恤</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35.62</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35.62</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2080801</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死亡抚恤</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29.92</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29.92</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2080899</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其他优抚支出</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5.70</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5.70</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医疗卫生与计划生育支出</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89.15</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89.15</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行政事业单位医疗</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89.15</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89.15</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2101101</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行政单位医疗</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83.87</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83.87</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2101102</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事业单位医疗</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5.28</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5.28</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212</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城乡社区支出</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21208</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国有土地使用权出让收入及对应专项债务收入安排的支出</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2120801</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征地和拆迁补偿支出</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213</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农林水支出</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21305</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扶贫</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2903" w:type="dxa"/>
          <w:trHeight w:val="308" w:hRule="atLeast"/>
        </w:trPr>
        <w:tc>
          <w:tcPr>
            <w:tcW w:w="936"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2130599</w:t>
            </w:r>
          </w:p>
        </w:tc>
        <w:tc>
          <w:tcPr>
            <w:tcW w:w="19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其他扶贫支出</w:t>
            </w:r>
          </w:p>
        </w:tc>
        <w:tc>
          <w:tcPr>
            <w:tcW w:w="107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104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116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7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3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11510" w:type="dxa"/>
            <w:gridSpan w:val="20"/>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注：本表反映部门本年度各项支出情况。</w:t>
            </w:r>
          </w:p>
        </w:tc>
      </w:tr>
    </w:tbl>
    <w:p>
      <w:pPr>
        <w:jc w:val="both"/>
        <w:rPr>
          <w:rFonts w:hint="eastAsia" w:ascii="黑体" w:eastAsia="黑体"/>
          <w:sz w:val="18"/>
          <w:szCs w:val="18"/>
        </w:rPr>
      </w:pPr>
    </w:p>
    <w:p>
      <w:pPr>
        <w:jc w:val="both"/>
        <w:rPr>
          <w:rFonts w:hint="eastAsia" w:ascii="黑体" w:eastAsia="黑体"/>
          <w:sz w:val="15"/>
          <w:szCs w:val="15"/>
        </w:rPr>
      </w:pPr>
    </w:p>
    <w:tbl>
      <w:tblPr>
        <w:tblStyle w:val="3"/>
        <w:tblW w:w="9381" w:type="dxa"/>
        <w:tblInd w:w="0" w:type="dxa"/>
        <w:shd w:val="clear" w:color="auto" w:fill="auto"/>
        <w:tblLayout w:type="fixed"/>
        <w:tblCellMar>
          <w:top w:w="0" w:type="dxa"/>
          <w:left w:w="0" w:type="dxa"/>
          <w:bottom w:w="0" w:type="dxa"/>
          <w:right w:w="0" w:type="dxa"/>
        </w:tblCellMar>
      </w:tblPr>
      <w:tblGrid>
        <w:gridCol w:w="2361"/>
        <w:gridCol w:w="465"/>
        <w:gridCol w:w="810"/>
        <w:gridCol w:w="2400"/>
        <w:gridCol w:w="435"/>
        <w:gridCol w:w="855"/>
        <w:gridCol w:w="1170"/>
        <w:gridCol w:w="885"/>
      </w:tblGrid>
      <w:tr>
        <w:tblPrEx>
          <w:shd w:val="clear" w:color="auto" w:fill="auto"/>
          <w:tblCellMar>
            <w:top w:w="0" w:type="dxa"/>
            <w:left w:w="0" w:type="dxa"/>
            <w:bottom w:w="0" w:type="dxa"/>
            <w:right w:w="0" w:type="dxa"/>
          </w:tblCellMar>
        </w:tblPrEx>
        <w:trPr>
          <w:trHeight w:val="540" w:hRule="atLeast"/>
        </w:trPr>
        <w:tc>
          <w:tcPr>
            <w:tcW w:w="9381" w:type="dxa"/>
            <w:gridSpan w:val="8"/>
            <w:tcBorders>
              <w:top w:val="nil"/>
              <w:left w:val="nil"/>
              <w:bottom w:val="nil"/>
              <w:right w:val="nil"/>
            </w:tcBorders>
            <w:shd w:val="clear" w:color="auto" w:fill="auto"/>
            <w:noWrap/>
            <w:tcMar>
              <w:top w:w="15" w:type="dxa"/>
              <w:left w:w="15" w:type="dxa"/>
              <w:right w:w="15" w:type="dxa"/>
            </w:tcMar>
            <w:vAlign w:val="bottom"/>
          </w:tcPr>
          <w:p>
            <w:pPr>
              <w:jc w:val="center"/>
              <w:rPr>
                <w:rFonts w:hint="default" w:ascii="Arial" w:hAnsi="Arial" w:cs="Arial"/>
                <w:i w:val="0"/>
                <w:color w:val="000000"/>
                <w:sz w:val="20"/>
                <w:szCs w:val="20"/>
                <w:u w:val="none"/>
              </w:rPr>
            </w:pPr>
            <w:r>
              <w:rPr>
                <w:rFonts w:hint="eastAsia" w:ascii="宋体" w:hAnsi="宋体" w:eastAsia="宋体" w:cs="宋体"/>
                <w:i w:val="0"/>
                <w:color w:val="000000"/>
                <w:kern w:val="0"/>
                <w:sz w:val="44"/>
                <w:szCs w:val="44"/>
                <w:u w:val="none"/>
                <w:lang w:val="en-US" w:eastAsia="zh-CN" w:bidi="ar"/>
              </w:rPr>
              <w:t>财政拨款收入支出决算总表</w:t>
            </w:r>
          </w:p>
        </w:tc>
      </w:tr>
      <w:tr>
        <w:tblPrEx>
          <w:tblCellMar>
            <w:top w:w="0" w:type="dxa"/>
            <w:left w:w="0" w:type="dxa"/>
            <w:bottom w:w="0" w:type="dxa"/>
            <w:right w:w="0" w:type="dxa"/>
          </w:tblCellMar>
        </w:tblPrEx>
        <w:trPr>
          <w:trHeight w:val="255" w:hRule="atLeast"/>
        </w:trPr>
        <w:tc>
          <w:tcPr>
            <w:tcW w:w="2361"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6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1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40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3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5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055"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公开04表</w:t>
            </w:r>
          </w:p>
        </w:tc>
      </w:tr>
      <w:tr>
        <w:tblPrEx>
          <w:tblCellMar>
            <w:top w:w="0" w:type="dxa"/>
            <w:left w:w="0" w:type="dxa"/>
            <w:bottom w:w="0" w:type="dxa"/>
            <w:right w:w="0" w:type="dxa"/>
          </w:tblCellMar>
        </w:tblPrEx>
        <w:trPr>
          <w:trHeight w:val="255" w:hRule="atLeast"/>
        </w:trPr>
        <w:tc>
          <w:tcPr>
            <w:tcW w:w="3636" w:type="dxa"/>
            <w:gridSpan w:val="3"/>
            <w:tcBorders>
              <w:top w:val="nil"/>
              <w:left w:val="nil"/>
              <w:bottom w:val="nil"/>
              <w:right w:val="nil"/>
            </w:tcBorders>
            <w:shd w:val="clear" w:color="auto" w:fill="auto"/>
            <w:noWrap/>
            <w:tcMar>
              <w:top w:w="15" w:type="dxa"/>
              <w:left w:w="15" w:type="dxa"/>
              <w:right w:w="15" w:type="dxa"/>
            </w:tcMar>
            <w:vAlign w:val="top"/>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编制单位：庐山市公安局（本级）</w:t>
            </w:r>
          </w:p>
        </w:tc>
        <w:tc>
          <w:tcPr>
            <w:tcW w:w="2400"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2018年度</w:t>
            </w:r>
          </w:p>
        </w:tc>
        <w:tc>
          <w:tcPr>
            <w:tcW w:w="43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5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055"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tblCellMar>
            <w:top w:w="0" w:type="dxa"/>
            <w:left w:w="0" w:type="dxa"/>
            <w:bottom w:w="0" w:type="dxa"/>
            <w:right w:w="0" w:type="dxa"/>
          </w:tblCellMar>
        </w:tblPrEx>
        <w:trPr>
          <w:trHeight w:val="308" w:hRule="atLeast"/>
        </w:trPr>
        <w:tc>
          <w:tcPr>
            <w:tcW w:w="363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收     入</w:t>
            </w:r>
          </w:p>
        </w:tc>
        <w:tc>
          <w:tcPr>
            <w:tcW w:w="5745" w:type="dxa"/>
            <w:gridSpan w:val="5"/>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     出</w:t>
            </w:r>
          </w:p>
        </w:tc>
      </w:tr>
      <w:tr>
        <w:tblPrEx>
          <w:tblCellMar>
            <w:top w:w="0" w:type="dxa"/>
            <w:left w:w="0" w:type="dxa"/>
            <w:bottom w:w="0" w:type="dxa"/>
            <w:right w:w="0" w:type="dxa"/>
          </w:tblCellMar>
        </w:tblPrEx>
        <w:trPr>
          <w:trHeight w:val="292" w:hRule="atLeast"/>
        </w:trPr>
        <w:tc>
          <w:tcPr>
            <w:tcW w:w="2361" w:type="dxa"/>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    目</w:t>
            </w:r>
          </w:p>
        </w:tc>
        <w:tc>
          <w:tcPr>
            <w:tcW w:w="465"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行次</w:t>
            </w:r>
          </w:p>
        </w:tc>
        <w:tc>
          <w:tcPr>
            <w:tcW w:w="810"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决算数</w:t>
            </w:r>
          </w:p>
        </w:tc>
        <w:tc>
          <w:tcPr>
            <w:tcW w:w="240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项目（按功能分类）</w:t>
            </w:r>
          </w:p>
        </w:tc>
        <w:tc>
          <w:tcPr>
            <w:tcW w:w="435"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行次</w:t>
            </w:r>
          </w:p>
        </w:tc>
        <w:tc>
          <w:tcPr>
            <w:tcW w:w="291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决算数</w:t>
            </w:r>
          </w:p>
        </w:tc>
      </w:tr>
      <w:tr>
        <w:tblPrEx>
          <w:tblCellMar>
            <w:top w:w="0" w:type="dxa"/>
            <w:left w:w="0" w:type="dxa"/>
            <w:bottom w:w="0" w:type="dxa"/>
            <w:right w:w="0" w:type="dxa"/>
          </w:tblCellMar>
        </w:tblPrEx>
        <w:trPr>
          <w:trHeight w:val="677" w:hRule="atLeast"/>
        </w:trPr>
        <w:tc>
          <w:tcPr>
            <w:tcW w:w="2361"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65"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10"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4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35"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117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一般公共预算     财政拨款</w:t>
            </w:r>
          </w:p>
        </w:tc>
        <w:tc>
          <w:tcPr>
            <w:tcW w:w="8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政府性基金预算     财政拨款</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    次</w:t>
            </w: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    次</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一、一般公共预算财政拨款</w:t>
            </w: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4,250.38</w:t>
            </w: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一、一般公共服务支出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二、政府性基金预算财政拨款</w:t>
            </w: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二、外交支出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w:t>
            </w:r>
            <w:r>
              <w:rPr>
                <w:rFonts w:hint="eastAsia" w:ascii="宋体" w:hAnsi="宋体" w:eastAsia="宋体" w:cs="宋体"/>
                <w:i w:val="0"/>
                <w:color w:val="000000"/>
                <w:kern w:val="0"/>
                <w:sz w:val="18"/>
                <w:szCs w:val="18"/>
                <w:u w:val="none"/>
                <w:lang w:val="en-US" w:eastAsia="zh-CN" w:bidi="ar"/>
              </w:rPr>
              <w:t>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三、国防支出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四、公共安全支出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3,811.23</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3,811.23</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五、教育支出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34</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六、科学技术支出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七、文化体育与传媒支出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八、社会保障和就业支出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424.09</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424.09</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九、医疗卫生与计划生育支出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89.15</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89.15</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十、节能环保支出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十一、城乡社区支出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十二、农林水支出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十三、交通运输支出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十四、资源勘探信息等支出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43</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十五、商业服务业等支出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十六、金融支出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十七、援助其他地区支出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46</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十八、国土海洋气象等支出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十九、住房保障支出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362.56</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二十、粮油物资储备支出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49</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二十一、其他支出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二十二、债务还本支出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二十三、债务付息支出</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52</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本年收入合计</w:t>
            </w: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4,350.38</w:t>
            </w: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本年支出合计</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53</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4,433.47</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4,333.47</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100.00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年初财政拨款结转和结余</w:t>
            </w: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1,437.10</w:t>
            </w: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年末财政拨款结转和结余</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54</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1,354.01</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1,354.01</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一、一般公共预算财政拨款</w:t>
            </w: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1,437.10</w:t>
            </w: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二、政府性基金预算财政拨款</w:t>
            </w: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23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总计</w:t>
            </w:r>
          </w:p>
        </w:tc>
        <w:tc>
          <w:tcPr>
            <w:tcW w:w="4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5,787.48</w:t>
            </w:r>
          </w:p>
        </w:tc>
        <w:tc>
          <w:tcPr>
            <w:tcW w:w="24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总计</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w:t>
            </w:r>
          </w:p>
        </w:tc>
        <w:tc>
          <w:tcPr>
            <w:tcW w:w="8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5,787.48</w:t>
            </w:r>
          </w:p>
        </w:tc>
        <w:tc>
          <w:tcPr>
            <w:tcW w:w="11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5,687.48</w:t>
            </w:r>
          </w:p>
        </w:tc>
        <w:tc>
          <w:tcPr>
            <w:tcW w:w="8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100.00</w:t>
            </w:r>
          </w:p>
        </w:tc>
      </w:tr>
      <w:tr>
        <w:tblPrEx>
          <w:tblCellMar>
            <w:top w:w="0" w:type="dxa"/>
            <w:left w:w="0" w:type="dxa"/>
            <w:bottom w:w="0" w:type="dxa"/>
            <w:right w:w="0" w:type="dxa"/>
          </w:tblCellMar>
        </w:tblPrEx>
        <w:trPr>
          <w:trHeight w:val="308" w:hRule="atLeast"/>
        </w:trPr>
        <w:tc>
          <w:tcPr>
            <w:tcW w:w="9381" w:type="dxa"/>
            <w:gridSpan w:val="8"/>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注：本表反映部门本年度一般公共预算财政拨款和政府性基金预算财政拨款的总收支和年末结转结余情况。</w:t>
            </w:r>
          </w:p>
        </w:tc>
      </w:tr>
    </w:tbl>
    <w:p>
      <w:pPr>
        <w:jc w:val="both"/>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tbl>
      <w:tblPr>
        <w:tblStyle w:val="3"/>
        <w:tblW w:w="8336" w:type="dxa"/>
        <w:tblInd w:w="0" w:type="dxa"/>
        <w:shd w:val="clear" w:color="auto" w:fill="auto"/>
        <w:tblLayout w:type="autofit"/>
        <w:tblCellMar>
          <w:top w:w="0" w:type="dxa"/>
          <w:left w:w="0" w:type="dxa"/>
          <w:bottom w:w="0" w:type="dxa"/>
          <w:right w:w="0" w:type="dxa"/>
        </w:tblCellMar>
      </w:tblPr>
      <w:tblGrid>
        <w:gridCol w:w="273"/>
        <w:gridCol w:w="273"/>
        <w:gridCol w:w="273"/>
        <w:gridCol w:w="3972"/>
        <w:gridCol w:w="1196"/>
        <w:gridCol w:w="809"/>
        <w:gridCol w:w="1540"/>
      </w:tblGrid>
      <w:tr>
        <w:tblPrEx>
          <w:shd w:val="clear" w:color="auto" w:fill="auto"/>
          <w:tblCellMar>
            <w:top w:w="0" w:type="dxa"/>
            <w:left w:w="0" w:type="dxa"/>
            <w:bottom w:w="0" w:type="dxa"/>
            <w:right w:w="0" w:type="dxa"/>
          </w:tblCellMar>
        </w:tblPrEx>
        <w:trPr>
          <w:trHeight w:val="540" w:hRule="atLeast"/>
        </w:trPr>
        <w:tc>
          <w:tcPr>
            <w:tcW w:w="8336" w:type="dxa"/>
            <w:gridSpan w:val="7"/>
            <w:tcBorders>
              <w:top w:val="nil"/>
              <w:left w:val="nil"/>
              <w:bottom w:val="nil"/>
              <w:right w:val="nil"/>
            </w:tcBorders>
            <w:shd w:val="clear" w:color="auto" w:fill="auto"/>
            <w:noWrap/>
            <w:tcMar>
              <w:top w:w="15" w:type="dxa"/>
              <w:left w:w="15" w:type="dxa"/>
              <w:right w:w="15" w:type="dxa"/>
            </w:tcMar>
            <w:vAlign w:val="bottom"/>
          </w:tcPr>
          <w:p>
            <w:pPr>
              <w:jc w:val="center"/>
              <w:rPr>
                <w:rFonts w:hint="default" w:ascii="Arial" w:hAnsi="Arial" w:cs="Arial"/>
                <w:i w:val="0"/>
                <w:color w:val="000000"/>
                <w:sz w:val="20"/>
                <w:szCs w:val="20"/>
                <w:u w:val="none"/>
              </w:rPr>
            </w:pPr>
            <w:r>
              <w:rPr>
                <w:rFonts w:hint="eastAsia" w:ascii="宋体" w:hAnsi="宋体" w:eastAsia="宋体" w:cs="宋体"/>
                <w:i w:val="0"/>
                <w:color w:val="000000"/>
                <w:kern w:val="0"/>
                <w:sz w:val="44"/>
                <w:szCs w:val="44"/>
                <w:u w:val="none"/>
                <w:lang w:val="en-US" w:eastAsia="zh-CN" w:bidi="ar"/>
              </w:rPr>
              <w:t>一般公共预算财政拨款支出决算表</w:t>
            </w:r>
          </w:p>
        </w:tc>
      </w:tr>
      <w:tr>
        <w:tblPrEx>
          <w:tblCellMar>
            <w:top w:w="0" w:type="dxa"/>
            <w:left w:w="0" w:type="dxa"/>
            <w:bottom w:w="0" w:type="dxa"/>
            <w:right w:w="0" w:type="dxa"/>
          </w:tblCellMar>
        </w:tblPrEx>
        <w:trPr>
          <w:trHeight w:val="255" w:hRule="atLeast"/>
        </w:trPr>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公开05表</w:t>
            </w:r>
          </w:p>
        </w:tc>
      </w:tr>
      <w:tr>
        <w:tblPrEx>
          <w:tblCellMar>
            <w:top w:w="0" w:type="dxa"/>
            <w:left w:w="0" w:type="dxa"/>
            <w:bottom w:w="0" w:type="dxa"/>
            <w:right w:w="0" w:type="dxa"/>
          </w:tblCellMar>
        </w:tblPrEx>
        <w:trPr>
          <w:trHeight w:val="255" w:hRule="atLeast"/>
        </w:trPr>
        <w:tc>
          <w:tcPr>
            <w:tcW w:w="5289" w:type="dxa"/>
            <w:gridSpan w:val="4"/>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编制单位：庐山市公安局（本级）</w:t>
            </w: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2018年度</w:t>
            </w: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tblCellMar>
            <w:top w:w="0" w:type="dxa"/>
            <w:left w:w="0" w:type="dxa"/>
            <w:bottom w:w="0" w:type="dxa"/>
            <w:right w:w="0" w:type="dxa"/>
          </w:tblCellMar>
        </w:tblPrEx>
        <w:trPr>
          <w:trHeight w:val="308"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    目</w:t>
            </w:r>
          </w:p>
        </w:tc>
        <w:tc>
          <w:tcPr>
            <w:tcW w:w="0" w:type="auto"/>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本年支出合计</w:t>
            </w:r>
          </w:p>
        </w:tc>
        <w:tc>
          <w:tcPr>
            <w:tcW w:w="0" w:type="auto"/>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基本支出</w:t>
            </w:r>
          </w:p>
        </w:tc>
        <w:tc>
          <w:tcPr>
            <w:tcW w:w="0" w:type="auto"/>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项目支出</w:t>
            </w:r>
          </w:p>
        </w:tc>
      </w:tr>
      <w:tr>
        <w:tblPrEx>
          <w:tblCellMar>
            <w:top w:w="0" w:type="dxa"/>
            <w:left w:w="0" w:type="dxa"/>
            <w:bottom w:w="0" w:type="dxa"/>
            <w:right w:w="0" w:type="dxa"/>
          </w:tblCellMar>
        </w:tblPrEx>
        <w:trPr>
          <w:trHeight w:val="308" w:hRule="atLeast"/>
        </w:trPr>
        <w:tc>
          <w:tcPr>
            <w:tcW w:w="2187" w:type="dxa"/>
            <w:gridSpan w:val="3"/>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支出功能分类  科目编码</w:t>
            </w:r>
          </w:p>
        </w:tc>
        <w:tc>
          <w:tcPr>
            <w:tcW w:w="0" w:type="auto"/>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科目名称</w:t>
            </w:r>
          </w:p>
        </w:tc>
        <w:tc>
          <w:tcPr>
            <w:tcW w:w="0" w:type="auto"/>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2187"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0" w:type="auto"/>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2187"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0" w:type="auto"/>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0" w:type="auto"/>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类</w:t>
            </w:r>
          </w:p>
        </w:tc>
        <w:tc>
          <w:tcPr>
            <w:tcW w:w="0" w:type="auto"/>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款</w:t>
            </w:r>
          </w:p>
        </w:tc>
        <w:tc>
          <w:tcPr>
            <w:tcW w:w="0" w:type="auto"/>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栏次</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r>
      <w:tr>
        <w:tblPrEx>
          <w:tblCellMar>
            <w:top w:w="0" w:type="dxa"/>
            <w:left w:w="0" w:type="dxa"/>
            <w:bottom w:w="0" w:type="dxa"/>
            <w:right w:w="0" w:type="dxa"/>
          </w:tblCellMar>
        </w:tblPrEx>
        <w:trPr>
          <w:trHeight w:val="308" w:hRule="atLeast"/>
        </w:trPr>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4,333.47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2,958.99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1,374.48</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公共安全支出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3,811.23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2,436.75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1,374.48</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公安</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3,811.23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2,436.75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1,374.48</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行政运行</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3,715.01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2,340.53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1,374.48</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2040250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事业运行</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45.51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45.51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2040299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其他公安支出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50.71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50.71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社会保障和就业支出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424.09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424.09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行政事业单位离退休</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388.47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388.47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机关事业单位基本养老保险缴费支出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277.88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277.88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机关事业单位职业年金缴费支出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108.58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108.58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2080599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其他行政事业单位离退休支出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抚恤</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35.62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35.62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2080801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死亡抚恤</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29.92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29.92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2080899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其他优抚支出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医疗卫生与计划生育支出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89.15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89.15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行政事业单位医疗</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89.15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89.15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行政单位医疗</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83.87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83.87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2101102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事业单位医疗</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5.28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5.28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农林水支出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21305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扶贫</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2130599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其他扶贫支出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7"/>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注：本表反映部门本年度一般公共预算财政拨款支出情况。</w:t>
            </w:r>
          </w:p>
        </w:tc>
      </w:tr>
    </w:tbl>
    <w:p>
      <w:pPr>
        <w:jc w:val="center"/>
        <w:rPr>
          <w:rFonts w:hint="eastAsia" w:ascii="黑体" w:eastAsia="黑体"/>
          <w:sz w:val="18"/>
          <w:szCs w:val="18"/>
        </w:rPr>
      </w:pPr>
    </w:p>
    <w:p>
      <w:pPr>
        <w:jc w:val="center"/>
        <w:rPr>
          <w:rFonts w:hint="eastAsia" w:ascii="黑体" w:eastAsia="黑体"/>
          <w:sz w:val="18"/>
          <w:szCs w:val="18"/>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both"/>
        <w:rPr>
          <w:rFonts w:hint="eastAsia" w:ascii="黑体" w:eastAsia="黑体"/>
          <w:sz w:val="15"/>
          <w:szCs w:val="15"/>
        </w:rPr>
      </w:pPr>
    </w:p>
    <w:tbl>
      <w:tblPr>
        <w:tblStyle w:val="3"/>
        <w:tblW w:w="8646" w:type="dxa"/>
        <w:tblInd w:w="0" w:type="dxa"/>
        <w:shd w:val="clear" w:color="auto" w:fill="auto"/>
        <w:tblLayout w:type="fixed"/>
        <w:tblCellMar>
          <w:top w:w="0" w:type="dxa"/>
          <w:left w:w="0" w:type="dxa"/>
          <w:bottom w:w="0" w:type="dxa"/>
          <w:right w:w="0" w:type="dxa"/>
        </w:tblCellMar>
      </w:tblPr>
      <w:tblGrid>
        <w:gridCol w:w="732"/>
        <w:gridCol w:w="1305"/>
        <w:gridCol w:w="870"/>
        <w:gridCol w:w="630"/>
        <w:gridCol w:w="1314"/>
        <w:gridCol w:w="690"/>
        <w:gridCol w:w="480"/>
        <w:gridCol w:w="2046"/>
        <w:gridCol w:w="579"/>
      </w:tblGrid>
      <w:tr>
        <w:tblPrEx>
          <w:shd w:val="clear" w:color="auto" w:fill="auto"/>
          <w:tblCellMar>
            <w:top w:w="0" w:type="dxa"/>
            <w:left w:w="0" w:type="dxa"/>
            <w:bottom w:w="0" w:type="dxa"/>
            <w:right w:w="0" w:type="dxa"/>
          </w:tblCellMar>
        </w:tblPrEx>
        <w:trPr>
          <w:trHeight w:val="90" w:hRule="atLeast"/>
        </w:trPr>
        <w:tc>
          <w:tcPr>
            <w:tcW w:w="8646" w:type="dxa"/>
            <w:gridSpan w:val="9"/>
            <w:tcBorders>
              <w:top w:val="nil"/>
              <w:left w:val="nil"/>
              <w:bottom w:val="nil"/>
              <w:right w:val="nil"/>
            </w:tcBorders>
            <w:shd w:val="clear" w:color="auto" w:fill="auto"/>
            <w:noWrap/>
            <w:tcMar>
              <w:top w:w="15" w:type="dxa"/>
              <w:left w:w="15" w:type="dxa"/>
              <w:right w:w="15" w:type="dxa"/>
            </w:tcMar>
            <w:vAlign w:val="bottom"/>
          </w:tcPr>
          <w:p>
            <w:pPr>
              <w:jc w:val="center"/>
              <w:rPr>
                <w:rFonts w:hint="default" w:ascii="Arial" w:hAnsi="Arial" w:cs="Arial"/>
                <w:i w:val="0"/>
                <w:color w:val="000000"/>
                <w:sz w:val="20"/>
                <w:szCs w:val="20"/>
                <w:u w:val="none"/>
              </w:rPr>
            </w:pPr>
            <w:r>
              <w:rPr>
                <w:rFonts w:hint="eastAsia" w:ascii="宋体" w:hAnsi="宋体" w:eastAsia="宋体" w:cs="宋体"/>
                <w:i w:val="0"/>
                <w:color w:val="000000"/>
                <w:kern w:val="0"/>
                <w:sz w:val="44"/>
                <w:szCs w:val="44"/>
                <w:u w:val="none"/>
                <w:lang w:val="en-US" w:eastAsia="zh-CN" w:bidi="ar"/>
              </w:rPr>
              <w:t>一般公共预算财政拨款基本支出决算表</w:t>
            </w:r>
          </w:p>
        </w:tc>
      </w:tr>
      <w:tr>
        <w:tblPrEx>
          <w:tblCellMar>
            <w:top w:w="0" w:type="dxa"/>
            <w:left w:w="0" w:type="dxa"/>
            <w:bottom w:w="0" w:type="dxa"/>
            <w:right w:w="0" w:type="dxa"/>
          </w:tblCellMar>
        </w:tblPrEx>
        <w:trPr>
          <w:trHeight w:val="255" w:hRule="atLeast"/>
        </w:trPr>
        <w:tc>
          <w:tcPr>
            <w:tcW w:w="732"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30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7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63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314"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69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8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625"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公开06表</w:t>
            </w:r>
          </w:p>
        </w:tc>
      </w:tr>
      <w:tr>
        <w:tblPrEx>
          <w:tblCellMar>
            <w:top w:w="0" w:type="dxa"/>
            <w:left w:w="0" w:type="dxa"/>
            <w:bottom w:w="0" w:type="dxa"/>
            <w:right w:w="0" w:type="dxa"/>
          </w:tblCellMar>
        </w:tblPrEx>
        <w:trPr>
          <w:trHeight w:val="255" w:hRule="atLeast"/>
        </w:trPr>
        <w:tc>
          <w:tcPr>
            <w:tcW w:w="2907" w:type="dxa"/>
            <w:gridSpan w:val="3"/>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编制单位：庐山市公安局（本级）</w:t>
            </w:r>
          </w:p>
        </w:tc>
        <w:tc>
          <w:tcPr>
            <w:tcW w:w="63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314"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2018年度</w:t>
            </w:r>
          </w:p>
        </w:tc>
        <w:tc>
          <w:tcPr>
            <w:tcW w:w="69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8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625"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tblCellMar>
            <w:top w:w="0" w:type="dxa"/>
            <w:left w:w="0" w:type="dxa"/>
            <w:bottom w:w="0" w:type="dxa"/>
            <w:right w:w="0" w:type="dxa"/>
          </w:tblCellMar>
        </w:tblPrEx>
        <w:trPr>
          <w:trHeight w:val="308" w:hRule="atLeast"/>
        </w:trPr>
        <w:tc>
          <w:tcPr>
            <w:tcW w:w="290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人员经费</w:t>
            </w:r>
          </w:p>
        </w:tc>
        <w:tc>
          <w:tcPr>
            <w:tcW w:w="5739" w:type="dxa"/>
            <w:gridSpan w:val="6"/>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公用经费</w:t>
            </w:r>
          </w:p>
        </w:tc>
      </w:tr>
      <w:tr>
        <w:tblPrEx>
          <w:tblCellMar>
            <w:top w:w="0" w:type="dxa"/>
            <w:left w:w="0" w:type="dxa"/>
            <w:bottom w:w="0" w:type="dxa"/>
            <w:right w:w="0" w:type="dxa"/>
          </w:tblCellMar>
        </w:tblPrEx>
        <w:trPr>
          <w:trHeight w:val="662" w:hRule="atLeast"/>
        </w:trPr>
        <w:tc>
          <w:tcPr>
            <w:tcW w:w="73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经济分类科目编码</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科目名称</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金额</w:t>
            </w:r>
          </w:p>
        </w:tc>
        <w:tc>
          <w:tcPr>
            <w:tcW w:w="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经济分类科目编码</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科目名称</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金额</w:t>
            </w:r>
          </w:p>
        </w:tc>
        <w:tc>
          <w:tcPr>
            <w:tcW w:w="4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经济分类科目编码</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科目名称</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金额</w:t>
            </w:r>
          </w:p>
        </w:tc>
      </w:tr>
      <w:tr>
        <w:tblPrEx>
          <w:tblCellMar>
            <w:top w:w="0" w:type="dxa"/>
            <w:left w:w="0" w:type="dxa"/>
            <w:bottom w:w="0" w:type="dxa"/>
            <w:right w:w="0" w:type="dxa"/>
          </w:tblCellMar>
        </w:tblPrEx>
        <w:trPr>
          <w:trHeight w:val="317"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301</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工资福利支出</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2,401.91</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302</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商品和服务支出</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494.60</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307</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债务利息及费用支出</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242"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30101</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基本工资</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693.84</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30201</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办公费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30.73</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30701</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国内债务付息</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302"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30102</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津贴补贴</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962.29</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30202</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印刷费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5.30</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30702</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国外债务付息</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242"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30103</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奖金</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348.23</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30203</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咨询费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3.22</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30703</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国内债务发行费用</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257"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30106</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伙食补助费</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30204</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手续费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30704</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国外债务发行费用</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272"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30107</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绩效工资</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30205</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水费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5.85</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310</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资本性支出</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549"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30108</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机关事业单位基本养老保险缴费</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286.97</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30206</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电费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31.37</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31001</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房屋建筑物购建</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257"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30109</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职业年金缴费</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30207</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邮电费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2.00</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31002</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办公设备购置</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429"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30110</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职工基本医疗保险缴费</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89.36</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30208</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取暖费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31003</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专用设备购置</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414"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30111</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公务员医疗补助缴款</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30209</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物业管理费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31005</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基础设施建设</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309"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30112</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其他社会保障缴费</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16.21</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30211</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差旅费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15.35</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31006</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大型修缮</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267"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30113</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住房公积金</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30212</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因公出国（境）费用</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31007</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信息网络及软件购置更新</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197"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30114</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医疗费</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5.01</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30213</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维修（护）费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24.71</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31008</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物资储备</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272"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30199</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其他工资福利支出</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30214</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租赁费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0.16</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31009</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土地补偿</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399"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303</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对个人和家庭的补助</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62.48</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30215</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会议费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31010</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安置补助</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257"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30301</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离休费</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30216</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培训费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31011</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地上附着物和青苗补偿</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317"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30302</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退休费</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30217</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公务接待费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7.18</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31012</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拆迁补偿</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242"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30303</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退职（役）费</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30218</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专用材料费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31013</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公务用车购置</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272"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30304</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抚恤金</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36.22</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30224</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被装购置费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31019</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其他交通工具购置</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242"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30305</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生活补贴</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30225</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专用燃料费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31021</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文物和陈列品购置</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272"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30306</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救济费</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30226</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劳务费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121.78</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31022</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无形资产购置</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302"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30307</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医疗费补助</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10.67</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30227</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委托业务费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31099</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其他资本性支出</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287"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30308</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助学金</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30228</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工会经费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32.83</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312</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对企业补助</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272"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30309</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奖励金</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30229</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福利费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77.74</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31201</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资本金注入</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377"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30310</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个人农业生产补贴</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30231</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公务用车运行维护费</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0.57</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31203</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政府投资基金股权投资</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362"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30399</w:t>
            </w: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其他对个人和家庭的补助支出</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15.59</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30239</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其他交通费用</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87.03</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31204</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费用补贴</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287"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30240</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税金及附加费用</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31205</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利息补贴</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422"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30299</w:t>
            </w: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其他商品和服务支出</w:t>
            </w: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48.78</w:t>
            </w: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31299</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其他对企业补助</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242"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5"/>
                <w:szCs w:val="15"/>
                <w:u w:val="none"/>
              </w:rPr>
            </w:pP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399</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其他支出</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302"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5"/>
                <w:szCs w:val="15"/>
                <w:u w:val="none"/>
              </w:rPr>
            </w:pP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39906</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赠与</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287"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5"/>
                <w:szCs w:val="15"/>
                <w:u w:val="none"/>
              </w:rPr>
            </w:pP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39907</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国家赔偿费用支出</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242"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5"/>
                <w:szCs w:val="15"/>
                <w:u w:val="none"/>
              </w:rPr>
            </w:pP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39908</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对民间非营利组织和群众性自治组织补贴</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197" w:hRule="atLeast"/>
        </w:trPr>
        <w:tc>
          <w:tcPr>
            <w:tcW w:w="73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13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1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5"/>
                <w:szCs w:val="15"/>
                <w:u w:val="none"/>
              </w:rPr>
            </w:pPr>
          </w:p>
        </w:tc>
        <w:tc>
          <w:tcPr>
            <w:tcW w:w="6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5"/>
                <w:szCs w:val="15"/>
                <w:u w:val="none"/>
              </w:rPr>
            </w:pPr>
          </w:p>
        </w:tc>
        <w:tc>
          <w:tcPr>
            <w:tcW w:w="4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39999</w:t>
            </w:r>
          </w:p>
        </w:tc>
        <w:tc>
          <w:tcPr>
            <w:tcW w:w="20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其他支出</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0.00</w:t>
            </w:r>
          </w:p>
        </w:tc>
      </w:tr>
      <w:tr>
        <w:tblPrEx>
          <w:tblCellMar>
            <w:top w:w="0" w:type="dxa"/>
            <w:left w:w="0" w:type="dxa"/>
            <w:bottom w:w="0" w:type="dxa"/>
            <w:right w:w="0" w:type="dxa"/>
          </w:tblCellMar>
        </w:tblPrEx>
        <w:trPr>
          <w:trHeight w:val="407" w:hRule="atLeast"/>
        </w:trPr>
        <w:tc>
          <w:tcPr>
            <w:tcW w:w="2037" w:type="dxa"/>
            <w:gridSpan w:val="2"/>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人员经费合计</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2,464.39</w:t>
            </w:r>
          </w:p>
        </w:tc>
        <w:tc>
          <w:tcPr>
            <w:tcW w:w="5160"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公用支出合计</w:t>
            </w:r>
          </w:p>
        </w:tc>
        <w:tc>
          <w:tcPr>
            <w:tcW w:w="5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494.60</w:t>
            </w:r>
          </w:p>
        </w:tc>
      </w:tr>
      <w:tr>
        <w:tblPrEx>
          <w:tblCellMar>
            <w:top w:w="0" w:type="dxa"/>
            <w:left w:w="0" w:type="dxa"/>
            <w:bottom w:w="0" w:type="dxa"/>
            <w:right w:w="0" w:type="dxa"/>
          </w:tblCellMar>
        </w:tblPrEx>
        <w:trPr>
          <w:trHeight w:val="354" w:hRule="atLeast"/>
        </w:trPr>
        <w:tc>
          <w:tcPr>
            <w:tcW w:w="8646" w:type="dxa"/>
            <w:gridSpan w:val="9"/>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注：本表反映部门本年度一般公共预算财政拨款基本支出明细情况。</w:t>
            </w:r>
          </w:p>
        </w:tc>
      </w:tr>
    </w:tbl>
    <w:p>
      <w:pPr>
        <w:jc w:val="both"/>
        <w:rPr>
          <w:rFonts w:hint="eastAsia" w:ascii="黑体" w:eastAsia="黑体"/>
          <w:sz w:val="15"/>
          <w:szCs w:val="15"/>
        </w:rPr>
      </w:pPr>
    </w:p>
    <w:p>
      <w:pPr>
        <w:jc w:val="both"/>
        <w:rPr>
          <w:rFonts w:hint="eastAsia" w:ascii="黑体" w:eastAsia="黑体"/>
          <w:sz w:val="15"/>
          <w:szCs w:val="15"/>
        </w:rPr>
      </w:pPr>
    </w:p>
    <w:p>
      <w:pPr>
        <w:jc w:val="both"/>
        <w:rPr>
          <w:rFonts w:hint="eastAsia" w:ascii="黑体" w:eastAsia="黑体"/>
          <w:sz w:val="15"/>
          <w:szCs w:val="15"/>
        </w:rPr>
      </w:pPr>
    </w:p>
    <w:tbl>
      <w:tblPr>
        <w:tblStyle w:val="3"/>
        <w:tblW w:w="8406" w:type="dxa"/>
        <w:tblInd w:w="0" w:type="dxa"/>
        <w:shd w:val="clear" w:color="auto" w:fill="auto"/>
        <w:tblLayout w:type="fixed"/>
        <w:tblCellMar>
          <w:top w:w="0" w:type="dxa"/>
          <w:left w:w="0" w:type="dxa"/>
          <w:bottom w:w="0" w:type="dxa"/>
          <w:right w:w="0" w:type="dxa"/>
        </w:tblCellMar>
      </w:tblPr>
      <w:tblGrid>
        <w:gridCol w:w="270"/>
        <w:gridCol w:w="270"/>
        <w:gridCol w:w="270"/>
        <w:gridCol w:w="2496"/>
        <w:gridCol w:w="435"/>
        <w:gridCol w:w="225"/>
        <w:gridCol w:w="930"/>
        <w:gridCol w:w="60"/>
        <w:gridCol w:w="855"/>
        <w:gridCol w:w="455"/>
        <w:gridCol w:w="415"/>
        <w:gridCol w:w="945"/>
        <w:gridCol w:w="780"/>
      </w:tblGrid>
      <w:tr>
        <w:tblPrEx>
          <w:shd w:val="clear" w:color="auto" w:fill="auto"/>
          <w:tblCellMar>
            <w:top w:w="0" w:type="dxa"/>
            <w:left w:w="0" w:type="dxa"/>
            <w:bottom w:w="0" w:type="dxa"/>
            <w:right w:w="0" w:type="dxa"/>
          </w:tblCellMar>
        </w:tblPrEx>
        <w:trPr>
          <w:trHeight w:val="255" w:hRule="atLeast"/>
        </w:trPr>
        <w:tc>
          <w:tcPr>
            <w:tcW w:w="8406" w:type="dxa"/>
            <w:gridSpan w:val="13"/>
            <w:tcBorders>
              <w:top w:val="nil"/>
              <w:left w:val="nil"/>
              <w:bottom w:val="nil"/>
              <w:right w:val="nil"/>
            </w:tcBorders>
            <w:shd w:val="clear" w:color="auto" w:fill="auto"/>
            <w:noWrap/>
            <w:tcMar>
              <w:top w:w="15" w:type="dxa"/>
              <w:left w:w="15" w:type="dxa"/>
              <w:right w:w="15" w:type="dxa"/>
            </w:tcMar>
            <w:vAlign w:val="bottom"/>
          </w:tcPr>
          <w:p>
            <w:pPr>
              <w:jc w:val="center"/>
              <w:rPr>
                <w:rFonts w:hint="eastAsia" w:ascii="宋体" w:hAnsi="宋体" w:eastAsia="宋体" w:cs="宋体"/>
                <w:i w:val="0"/>
                <w:color w:val="000000"/>
                <w:sz w:val="20"/>
                <w:szCs w:val="20"/>
                <w:u w:val="none"/>
              </w:rPr>
            </w:pPr>
            <w:r>
              <w:rPr>
                <w:rFonts w:hint="eastAsia" w:asciiTheme="majorEastAsia" w:hAnsiTheme="majorEastAsia" w:eastAsiaTheme="majorEastAsia" w:cstheme="majorEastAsia"/>
                <w:sz w:val="36"/>
                <w:szCs w:val="36"/>
                <w:lang w:eastAsia="zh-CN"/>
              </w:rPr>
              <w:t>一般公共预算财政拨款“三公”经费支出决算表</w:t>
            </w:r>
          </w:p>
        </w:tc>
      </w:tr>
      <w:tr>
        <w:tblPrEx>
          <w:tblCellMar>
            <w:top w:w="0" w:type="dxa"/>
            <w:left w:w="0" w:type="dxa"/>
            <w:bottom w:w="0" w:type="dxa"/>
            <w:right w:w="0" w:type="dxa"/>
          </w:tblCellMar>
        </w:tblPrEx>
        <w:trPr>
          <w:trHeight w:val="255" w:hRule="atLeast"/>
        </w:trPr>
        <w:tc>
          <w:tcPr>
            <w:tcW w:w="3741" w:type="dxa"/>
            <w:gridSpan w:val="5"/>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1215" w:type="dxa"/>
            <w:gridSpan w:val="3"/>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310"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140" w:type="dxa"/>
            <w:gridSpan w:val="3"/>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CellMar>
            <w:top w:w="0" w:type="dxa"/>
            <w:left w:w="0" w:type="dxa"/>
            <w:bottom w:w="0" w:type="dxa"/>
            <w:right w:w="0" w:type="dxa"/>
          </w:tblCellMar>
        </w:tblPrEx>
        <w:trPr>
          <w:trHeight w:val="255" w:hRule="atLeast"/>
        </w:trPr>
        <w:tc>
          <w:tcPr>
            <w:tcW w:w="3741" w:type="dxa"/>
            <w:gridSpan w:val="5"/>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编制单位：庐山市公安局（本级）</w:t>
            </w:r>
          </w:p>
        </w:tc>
        <w:tc>
          <w:tcPr>
            <w:tcW w:w="1215" w:type="dxa"/>
            <w:gridSpan w:val="3"/>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2018年度</w:t>
            </w:r>
          </w:p>
        </w:tc>
        <w:tc>
          <w:tcPr>
            <w:tcW w:w="1310"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140" w:type="dxa"/>
            <w:gridSpan w:val="3"/>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tblCellMar>
            <w:top w:w="0" w:type="dxa"/>
            <w:left w:w="0" w:type="dxa"/>
            <w:bottom w:w="0" w:type="dxa"/>
            <w:right w:w="0" w:type="dxa"/>
          </w:tblCellMar>
        </w:tblPrEx>
        <w:trPr>
          <w:trHeight w:val="308" w:hRule="atLeast"/>
        </w:trPr>
        <w:tc>
          <w:tcPr>
            <w:tcW w:w="3741"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w:t>
            </w:r>
          </w:p>
        </w:tc>
        <w:tc>
          <w:tcPr>
            <w:tcW w:w="1215" w:type="dxa"/>
            <w:gridSpan w:val="3"/>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栏次</w:t>
            </w:r>
          </w:p>
        </w:tc>
        <w:tc>
          <w:tcPr>
            <w:tcW w:w="1310" w:type="dxa"/>
            <w:gridSpan w:val="2"/>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140" w:type="dxa"/>
            <w:gridSpan w:val="3"/>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决算数</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行次</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一、“三公”经费支出</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61.43</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27.78</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1.因公出国（境）费</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2.公务用车购置及运行维护费</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29.00</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20.60</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（1）公务用车购置费</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（2）公务用车运行维护费</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29.00</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20.60</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3.公务接待费</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32.43</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7.18</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（1）国内接待费</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32.43</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7.18</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其中：外事接待费</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（2）国（境）外接待费</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二、相关统计数</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1.因公出国（境）团组数（个）</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2.因公出国（境）人次数（人）</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3.公务用车购置数（辆）</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4.公务用车保有量（辆）</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5.国内公务接待批次（个）</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其中：外事接待批次（个）</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6.国内公务接待人次（人）</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552</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其中：外事接待人次（人）</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7.国（境）外公务接待批次（个）</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3741"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8.国（境）外公务接待人次（人）</w:t>
            </w:r>
          </w:p>
        </w:tc>
        <w:tc>
          <w:tcPr>
            <w:tcW w:w="121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31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40"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815" w:hRule="atLeast"/>
        </w:trPr>
        <w:tc>
          <w:tcPr>
            <w:tcW w:w="8406" w:type="dxa"/>
            <w:gridSpan w:val="13"/>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注：本表反映部门本年度“三公”经费支出预决算情况。其中，预算数为“三公”经费年初预算数，决算数是包括当年一般公共预算财政拨款和以前年度结转资金安排的实际支出。</w:t>
            </w:r>
          </w:p>
        </w:tc>
      </w:tr>
      <w:tr>
        <w:tblPrEx>
          <w:tblCellMar>
            <w:top w:w="0" w:type="dxa"/>
            <w:left w:w="0" w:type="dxa"/>
            <w:bottom w:w="0" w:type="dxa"/>
            <w:right w:w="0" w:type="dxa"/>
          </w:tblCellMar>
        </w:tblPrEx>
        <w:trPr>
          <w:trHeight w:val="540" w:hRule="atLeast"/>
        </w:trPr>
        <w:tc>
          <w:tcPr>
            <w:tcW w:w="8406" w:type="dxa"/>
            <w:gridSpan w:val="13"/>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44"/>
                <w:szCs w:val="44"/>
                <w:u w:val="none"/>
              </w:rPr>
            </w:pPr>
            <w:r>
              <w:rPr>
                <w:rFonts w:hint="eastAsia" w:ascii="宋体" w:hAnsi="宋体" w:eastAsia="宋体" w:cs="宋体"/>
                <w:i w:val="0"/>
                <w:color w:val="000000"/>
                <w:kern w:val="0"/>
                <w:sz w:val="44"/>
                <w:szCs w:val="44"/>
                <w:u w:val="none"/>
                <w:lang w:val="en-US" w:eastAsia="zh-CN" w:bidi="ar"/>
              </w:rPr>
              <w:t>政府性基金预算财政拨款收入支出决算表</w:t>
            </w:r>
          </w:p>
        </w:tc>
      </w:tr>
      <w:tr>
        <w:tblPrEx>
          <w:tblCellMar>
            <w:top w:w="0" w:type="dxa"/>
            <w:left w:w="0" w:type="dxa"/>
            <w:bottom w:w="0" w:type="dxa"/>
            <w:right w:w="0" w:type="dxa"/>
          </w:tblCellMar>
        </w:tblPrEx>
        <w:trPr>
          <w:trHeight w:val="255" w:hRule="atLeast"/>
        </w:trPr>
        <w:tc>
          <w:tcPr>
            <w:tcW w:w="270" w:type="dxa"/>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27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7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49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660"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3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15"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70"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725"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CellMar>
            <w:top w:w="0" w:type="dxa"/>
            <w:left w:w="0" w:type="dxa"/>
            <w:bottom w:w="0" w:type="dxa"/>
            <w:right w:w="0" w:type="dxa"/>
          </w:tblCellMar>
        </w:tblPrEx>
        <w:trPr>
          <w:trHeight w:val="255" w:hRule="atLeast"/>
        </w:trPr>
        <w:tc>
          <w:tcPr>
            <w:tcW w:w="3966" w:type="dxa"/>
            <w:gridSpan w:val="6"/>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编制单位：庐山市公安局（本级）</w:t>
            </w:r>
          </w:p>
        </w:tc>
        <w:tc>
          <w:tcPr>
            <w:tcW w:w="930"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2018年度</w:t>
            </w:r>
          </w:p>
        </w:tc>
        <w:tc>
          <w:tcPr>
            <w:tcW w:w="915"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70"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725"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tblCellMar>
            <w:top w:w="0" w:type="dxa"/>
            <w:left w:w="0" w:type="dxa"/>
            <w:bottom w:w="0" w:type="dxa"/>
            <w:right w:w="0" w:type="dxa"/>
          </w:tblCellMar>
        </w:tblPrEx>
        <w:trPr>
          <w:trHeight w:val="308" w:hRule="atLeast"/>
        </w:trPr>
        <w:tc>
          <w:tcPr>
            <w:tcW w:w="330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    目</w:t>
            </w:r>
          </w:p>
        </w:tc>
        <w:tc>
          <w:tcPr>
            <w:tcW w:w="660" w:type="dxa"/>
            <w:gridSpan w:val="2"/>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年初结转和结余</w:t>
            </w:r>
          </w:p>
        </w:tc>
        <w:tc>
          <w:tcPr>
            <w:tcW w:w="930" w:type="dxa"/>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本年收入</w:t>
            </w:r>
          </w:p>
        </w:tc>
        <w:tc>
          <w:tcPr>
            <w:tcW w:w="2730" w:type="dxa"/>
            <w:gridSpan w:val="5"/>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本年支出</w:t>
            </w:r>
          </w:p>
        </w:tc>
        <w:tc>
          <w:tcPr>
            <w:tcW w:w="780" w:type="dxa"/>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年末结转和结余</w:t>
            </w:r>
          </w:p>
        </w:tc>
      </w:tr>
      <w:tr>
        <w:tblPrEx>
          <w:tblCellMar>
            <w:top w:w="0" w:type="dxa"/>
            <w:left w:w="0" w:type="dxa"/>
            <w:bottom w:w="0" w:type="dxa"/>
            <w:right w:w="0" w:type="dxa"/>
          </w:tblCellMar>
        </w:tblPrEx>
        <w:trPr>
          <w:trHeight w:val="308" w:hRule="atLeast"/>
        </w:trPr>
        <w:tc>
          <w:tcPr>
            <w:tcW w:w="810" w:type="dxa"/>
            <w:gridSpan w:val="3"/>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支出功能分类科目编码</w:t>
            </w:r>
          </w:p>
        </w:tc>
        <w:tc>
          <w:tcPr>
            <w:tcW w:w="2496"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科目名称</w:t>
            </w:r>
          </w:p>
        </w:tc>
        <w:tc>
          <w:tcPr>
            <w:tcW w:w="660"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3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15" w:type="dxa"/>
            <w:gridSpan w:val="2"/>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870" w:type="dxa"/>
            <w:gridSpan w:val="2"/>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基本支出</w:t>
            </w:r>
          </w:p>
        </w:tc>
        <w:tc>
          <w:tcPr>
            <w:tcW w:w="945"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项目支出</w:t>
            </w:r>
          </w:p>
        </w:tc>
        <w:tc>
          <w:tcPr>
            <w:tcW w:w="78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810"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496"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0"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3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15" w:type="dxa"/>
            <w:gridSpan w:val="2"/>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70" w:type="dxa"/>
            <w:gridSpan w:val="2"/>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5"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810"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496"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0"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3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15" w:type="dxa"/>
            <w:gridSpan w:val="2"/>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70" w:type="dxa"/>
            <w:gridSpan w:val="2"/>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5"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270" w:type="dxa"/>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类</w:t>
            </w:r>
          </w:p>
        </w:tc>
        <w:tc>
          <w:tcPr>
            <w:tcW w:w="270"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款</w:t>
            </w:r>
          </w:p>
        </w:tc>
        <w:tc>
          <w:tcPr>
            <w:tcW w:w="270"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w:t>
            </w:r>
          </w:p>
        </w:tc>
        <w:tc>
          <w:tcPr>
            <w:tcW w:w="249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栏次</w:t>
            </w:r>
          </w:p>
        </w:tc>
        <w:tc>
          <w:tcPr>
            <w:tcW w:w="6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9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91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7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r>
      <w:tr>
        <w:tblPrEx>
          <w:tblCellMar>
            <w:top w:w="0" w:type="dxa"/>
            <w:left w:w="0" w:type="dxa"/>
            <w:bottom w:w="0" w:type="dxa"/>
            <w:right w:w="0" w:type="dxa"/>
          </w:tblCellMar>
        </w:tblPrEx>
        <w:trPr>
          <w:trHeight w:val="308" w:hRule="atLeast"/>
        </w:trPr>
        <w:tc>
          <w:tcPr>
            <w:tcW w:w="270"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70"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70"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49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6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91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7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10"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212</w:t>
            </w:r>
          </w:p>
        </w:tc>
        <w:tc>
          <w:tcPr>
            <w:tcW w:w="249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城乡社区支出</w:t>
            </w:r>
          </w:p>
        </w:tc>
        <w:tc>
          <w:tcPr>
            <w:tcW w:w="6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91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7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10"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21208</w:t>
            </w:r>
          </w:p>
        </w:tc>
        <w:tc>
          <w:tcPr>
            <w:tcW w:w="249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国有土地使用权出让收入及对应专项债务收入安排的支出</w:t>
            </w:r>
          </w:p>
        </w:tc>
        <w:tc>
          <w:tcPr>
            <w:tcW w:w="6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91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7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10"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2120801</w:t>
            </w:r>
          </w:p>
        </w:tc>
        <w:tc>
          <w:tcPr>
            <w:tcW w:w="249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征地和拆迁补偿支出</w:t>
            </w:r>
          </w:p>
        </w:tc>
        <w:tc>
          <w:tcPr>
            <w:tcW w:w="6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91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7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10"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9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1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7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7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810"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9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1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7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7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810"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9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1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7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7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810"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9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1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7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7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810"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9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6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1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7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7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8406" w:type="dxa"/>
            <w:gridSpan w:val="13"/>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注：本表反映部门本年度政府性基金预算财政拨款收入、支出及结转和结余情况。</w:t>
            </w:r>
          </w:p>
        </w:tc>
      </w:tr>
    </w:tbl>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tbl>
      <w:tblPr>
        <w:tblStyle w:val="3"/>
        <w:tblW w:w="8190" w:type="dxa"/>
        <w:tblInd w:w="0" w:type="dxa"/>
        <w:shd w:val="clear" w:color="auto" w:fill="auto"/>
        <w:tblLayout w:type="autofit"/>
        <w:tblCellMar>
          <w:top w:w="0" w:type="dxa"/>
          <w:left w:w="0" w:type="dxa"/>
          <w:bottom w:w="0" w:type="dxa"/>
          <w:right w:w="0" w:type="dxa"/>
        </w:tblCellMar>
      </w:tblPr>
      <w:tblGrid>
        <w:gridCol w:w="5027"/>
        <w:gridCol w:w="1109"/>
        <w:gridCol w:w="2054"/>
      </w:tblGrid>
      <w:tr>
        <w:tblPrEx>
          <w:shd w:val="clear" w:color="auto" w:fill="auto"/>
          <w:tblCellMar>
            <w:top w:w="0" w:type="dxa"/>
            <w:left w:w="0" w:type="dxa"/>
            <w:bottom w:w="0" w:type="dxa"/>
            <w:right w:w="0" w:type="dxa"/>
          </w:tblCellMar>
        </w:tblPrEx>
        <w:trPr>
          <w:trHeight w:val="540" w:hRule="atLeast"/>
        </w:trPr>
        <w:tc>
          <w:tcPr>
            <w:tcW w:w="8190" w:type="dxa"/>
            <w:gridSpan w:val="3"/>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44"/>
                <w:szCs w:val="44"/>
                <w:u w:val="none"/>
              </w:rPr>
            </w:pPr>
            <w:r>
              <w:rPr>
                <w:rFonts w:hint="eastAsia" w:ascii="宋体" w:hAnsi="宋体" w:eastAsia="宋体" w:cs="宋体"/>
                <w:i w:val="0"/>
                <w:color w:val="000000"/>
                <w:kern w:val="0"/>
                <w:sz w:val="44"/>
                <w:szCs w:val="44"/>
                <w:u w:val="none"/>
                <w:lang w:val="en-US" w:eastAsia="zh-CN" w:bidi="ar"/>
              </w:rPr>
              <w:t>国有资产占用情况表</w:t>
            </w:r>
          </w:p>
        </w:tc>
      </w:tr>
      <w:tr>
        <w:tblPrEx>
          <w:tblCellMar>
            <w:top w:w="0" w:type="dxa"/>
            <w:left w:w="0" w:type="dxa"/>
            <w:bottom w:w="0" w:type="dxa"/>
            <w:right w:w="0" w:type="dxa"/>
          </w:tblCellMar>
        </w:tblPrEx>
        <w:trPr>
          <w:trHeight w:val="255" w:hRule="atLeast"/>
        </w:trPr>
        <w:tc>
          <w:tcPr>
            <w:tcW w:w="0" w:type="auto"/>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CellMar>
            <w:top w:w="0" w:type="dxa"/>
            <w:left w:w="0" w:type="dxa"/>
            <w:bottom w:w="0" w:type="dxa"/>
            <w:right w:w="0" w:type="dxa"/>
          </w:tblCellMar>
        </w:tblPrEx>
        <w:trPr>
          <w:trHeight w:val="255" w:hRule="atLeast"/>
        </w:trPr>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编制单位：庐山市公安局（本级）</w:t>
            </w: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2018年度</w:t>
            </w: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单位：台、辆、套</w:t>
            </w:r>
          </w:p>
        </w:tc>
      </w:tr>
      <w:tr>
        <w:tblPrEx>
          <w:tblCellMar>
            <w:top w:w="0" w:type="dxa"/>
            <w:left w:w="0" w:type="dxa"/>
            <w:bottom w:w="0" w:type="dxa"/>
            <w:right w:w="0"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  目</w:t>
            </w: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栏次</w:t>
            </w: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决算数</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一、车辆数合计(台、辆)</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1.副部（省）级及以上领导用车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2.主要领导干部用车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3.机要通信用车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4.应急保障用车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5.执法执勤用车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6.特种专业技术用车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7.离退休干部用车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8.其他用车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二、单价50万元（含）以上通用设备（台，套）</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三、单价100万元（含）以上专用设备（台，套）</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gridSpan w:val="3"/>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注：本表反映截止2018年12月31日，部门占用的国有资产情况。</w:t>
            </w:r>
          </w:p>
        </w:tc>
      </w:tr>
    </w:tbl>
    <w:p>
      <w:pPr>
        <w:numPr>
          <w:ilvl w:val="0"/>
          <w:numId w:val="0"/>
        </w:numPr>
        <w:ind w:firstLine="1606" w:firstLineChars="500"/>
        <w:jc w:val="both"/>
        <w:rPr>
          <w:rFonts w:hint="eastAsia" w:ascii="宋体" w:hAnsi="宋体"/>
          <w:b/>
          <w:sz w:val="32"/>
          <w:szCs w:val="32"/>
        </w:rPr>
      </w:pPr>
      <w:r>
        <w:rPr>
          <w:rFonts w:hint="eastAsia" w:ascii="宋体" w:hAnsi="宋体"/>
          <w:b/>
          <w:sz w:val="32"/>
          <w:szCs w:val="32"/>
          <w:lang w:eastAsia="zh-CN"/>
        </w:rPr>
        <w:t>第三部分</w:t>
      </w:r>
      <w:r>
        <w:rPr>
          <w:rFonts w:hint="eastAsia" w:ascii="宋体" w:hAnsi="宋体"/>
          <w:b/>
          <w:sz w:val="32"/>
          <w:szCs w:val="32"/>
        </w:rPr>
        <w:t xml:space="preserve"> 2018年度部门决算情况说明</w:t>
      </w: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本部门2018年度收入总计</w:t>
      </w:r>
      <w:r>
        <w:rPr>
          <w:rFonts w:hint="eastAsia" w:ascii="仿宋" w:hAnsi="仿宋" w:eastAsia="仿宋"/>
          <w:sz w:val="30"/>
          <w:szCs w:val="30"/>
          <w:lang w:val="en-US" w:eastAsia="zh-CN"/>
        </w:rPr>
        <w:t>5932.88</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1437.11</w:t>
      </w:r>
      <w:r>
        <w:rPr>
          <w:rFonts w:hint="eastAsia" w:ascii="仿宋" w:hAnsi="仿宋" w:eastAsia="仿宋"/>
          <w:sz w:val="30"/>
          <w:szCs w:val="30"/>
        </w:rPr>
        <w:t>万元，较2017年</w:t>
      </w:r>
      <w:r>
        <w:rPr>
          <w:rFonts w:hint="eastAsia" w:ascii="仿宋" w:hAnsi="仿宋" w:eastAsia="仿宋"/>
          <w:sz w:val="30"/>
          <w:szCs w:val="30"/>
          <w:lang w:eastAsia="zh-CN"/>
        </w:rPr>
        <w:t>增加</w:t>
      </w:r>
      <w:r>
        <w:rPr>
          <w:rFonts w:hint="eastAsia" w:ascii="仿宋" w:hAnsi="仿宋" w:eastAsia="仿宋"/>
          <w:sz w:val="30"/>
          <w:szCs w:val="30"/>
          <w:lang w:val="en-US" w:eastAsia="zh-CN"/>
        </w:rPr>
        <w:t>310.6</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27.57</w:t>
      </w:r>
      <w:r>
        <w:rPr>
          <w:rFonts w:hint="eastAsia" w:ascii="仿宋" w:hAnsi="仿宋" w:eastAsia="仿宋"/>
          <w:sz w:val="30"/>
          <w:szCs w:val="30"/>
        </w:rPr>
        <w:t xml:space="preserve"> %；本年收入合计</w:t>
      </w:r>
      <w:r>
        <w:rPr>
          <w:rFonts w:hint="eastAsia" w:ascii="仿宋" w:hAnsi="仿宋" w:eastAsia="仿宋"/>
          <w:sz w:val="30"/>
          <w:szCs w:val="30"/>
          <w:lang w:val="en-US" w:eastAsia="zh-CN"/>
        </w:rPr>
        <w:t>4495.77</w:t>
      </w:r>
      <w:r>
        <w:rPr>
          <w:rFonts w:hint="eastAsia" w:ascii="仿宋" w:hAnsi="仿宋" w:eastAsia="仿宋"/>
          <w:sz w:val="30"/>
          <w:szCs w:val="30"/>
        </w:rPr>
        <w:t>万元，较2017年减少</w:t>
      </w:r>
      <w:r>
        <w:rPr>
          <w:rFonts w:hint="eastAsia" w:ascii="仿宋" w:hAnsi="仿宋" w:eastAsia="仿宋"/>
          <w:sz w:val="30"/>
          <w:szCs w:val="30"/>
          <w:lang w:val="en-US" w:eastAsia="zh-CN"/>
        </w:rPr>
        <w:t>1113.1</w:t>
      </w:r>
      <w:r>
        <w:rPr>
          <w:rFonts w:hint="eastAsia" w:ascii="仿宋" w:hAnsi="仿宋" w:eastAsia="仿宋"/>
          <w:sz w:val="30"/>
          <w:szCs w:val="30"/>
        </w:rPr>
        <w:t>万元，下降</w:t>
      </w:r>
      <w:r>
        <w:rPr>
          <w:rFonts w:hint="eastAsia" w:ascii="仿宋" w:hAnsi="仿宋" w:eastAsia="仿宋"/>
          <w:sz w:val="30"/>
          <w:szCs w:val="30"/>
          <w:lang w:val="en-US" w:eastAsia="zh-CN"/>
        </w:rPr>
        <w:t>19.85</w:t>
      </w:r>
      <w:r>
        <w:rPr>
          <w:rFonts w:hint="eastAsia" w:ascii="仿宋" w:hAnsi="仿宋" w:eastAsia="仿宋"/>
          <w:sz w:val="30"/>
          <w:szCs w:val="30"/>
        </w:rPr>
        <w:t>%，主要原因是：</w:t>
      </w:r>
      <w:r>
        <w:rPr>
          <w:rFonts w:hint="eastAsia" w:ascii="仿宋" w:hAnsi="仿宋" w:eastAsia="仿宋"/>
          <w:sz w:val="30"/>
          <w:szCs w:val="30"/>
          <w:lang w:eastAsia="zh-CN"/>
        </w:rPr>
        <w:t>因为</w:t>
      </w:r>
      <w:r>
        <w:rPr>
          <w:rFonts w:hint="eastAsia" w:ascii="仿宋" w:hAnsi="仿宋" w:eastAsia="仿宋"/>
          <w:sz w:val="30"/>
          <w:szCs w:val="30"/>
          <w:lang w:val="en-US" w:eastAsia="zh-CN"/>
        </w:rPr>
        <w:t>2017年发放了车改补贴及执行新警衔标准并且补发，所以2018年收入相比2017年收入有所减少</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4350.38</w:t>
      </w:r>
      <w:r>
        <w:rPr>
          <w:rFonts w:hint="eastAsia" w:ascii="仿宋" w:hAnsi="仿宋" w:eastAsia="仿宋"/>
          <w:sz w:val="30"/>
          <w:szCs w:val="30"/>
        </w:rPr>
        <w:t>万元，占</w:t>
      </w:r>
      <w:r>
        <w:rPr>
          <w:rFonts w:hint="eastAsia" w:ascii="仿宋" w:hAnsi="仿宋" w:eastAsia="仿宋"/>
          <w:sz w:val="30"/>
          <w:szCs w:val="30"/>
          <w:lang w:val="en-US" w:eastAsia="zh-CN"/>
        </w:rPr>
        <w:t>96.77</w:t>
      </w:r>
      <w:r>
        <w:rPr>
          <w:rFonts w:hint="eastAsia" w:ascii="仿宋" w:hAnsi="仿宋" w:eastAsia="仿宋"/>
          <w:sz w:val="30"/>
          <w:szCs w:val="30"/>
        </w:rPr>
        <w:t>%；其他收入</w:t>
      </w:r>
      <w:r>
        <w:rPr>
          <w:rFonts w:hint="eastAsia" w:ascii="仿宋" w:hAnsi="仿宋" w:eastAsia="仿宋"/>
          <w:sz w:val="30"/>
          <w:szCs w:val="30"/>
          <w:lang w:val="en-US" w:eastAsia="zh-CN"/>
        </w:rPr>
        <w:t>145.39</w:t>
      </w:r>
      <w:r>
        <w:rPr>
          <w:rFonts w:hint="eastAsia" w:ascii="仿宋" w:hAnsi="仿宋" w:eastAsia="仿宋"/>
          <w:sz w:val="30"/>
          <w:szCs w:val="30"/>
        </w:rPr>
        <w:t>万元，占</w:t>
      </w:r>
      <w:r>
        <w:rPr>
          <w:rFonts w:hint="eastAsia" w:ascii="仿宋" w:hAnsi="仿宋" w:eastAsia="仿宋"/>
          <w:sz w:val="30"/>
          <w:szCs w:val="30"/>
          <w:lang w:val="en-US" w:eastAsia="zh-CN"/>
        </w:rPr>
        <w:t>3.23</w:t>
      </w:r>
      <w:r>
        <w:rPr>
          <w:rFonts w:hint="eastAsia" w:ascii="仿宋" w:hAnsi="仿宋" w:eastAsia="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本部门2018年度支出总计</w:t>
      </w:r>
      <w:r>
        <w:rPr>
          <w:rFonts w:hint="eastAsia" w:ascii="仿宋" w:hAnsi="仿宋" w:eastAsia="仿宋"/>
          <w:sz w:val="30"/>
          <w:szCs w:val="30"/>
          <w:lang w:val="en-US" w:eastAsia="zh-CN"/>
        </w:rPr>
        <w:t>5932.88</w:t>
      </w:r>
      <w:r>
        <w:rPr>
          <w:rFonts w:hint="eastAsia" w:ascii="仿宋" w:hAnsi="仿宋" w:eastAsia="仿宋"/>
          <w:sz w:val="30"/>
          <w:szCs w:val="30"/>
        </w:rPr>
        <w:t>万元，其中本年支出合计</w:t>
      </w:r>
      <w:r>
        <w:rPr>
          <w:rFonts w:hint="eastAsia" w:ascii="仿宋" w:hAnsi="仿宋" w:eastAsia="仿宋"/>
          <w:sz w:val="30"/>
          <w:szCs w:val="30"/>
          <w:lang w:val="en-US" w:eastAsia="zh-CN"/>
        </w:rPr>
        <w:t>4578.87</w:t>
      </w:r>
      <w:r>
        <w:rPr>
          <w:rFonts w:hint="eastAsia" w:ascii="仿宋" w:hAnsi="仿宋" w:eastAsia="仿宋"/>
          <w:sz w:val="30"/>
          <w:szCs w:val="30"/>
        </w:rPr>
        <w:t>万元，较2017年减少</w:t>
      </w:r>
      <w:r>
        <w:rPr>
          <w:rFonts w:hint="eastAsia" w:ascii="仿宋" w:hAnsi="仿宋" w:eastAsia="仿宋"/>
          <w:sz w:val="30"/>
          <w:szCs w:val="30"/>
          <w:lang w:val="en-US" w:eastAsia="zh-CN"/>
        </w:rPr>
        <w:t>609.48</w:t>
      </w:r>
      <w:r>
        <w:rPr>
          <w:rFonts w:hint="eastAsia" w:ascii="仿宋" w:hAnsi="仿宋" w:eastAsia="仿宋"/>
          <w:sz w:val="30"/>
          <w:szCs w:val="30"/>
        </w:rPr>
        <w:t>万元，下降</w:t>
      </w:r>
      <w:r>
        <w:rPr>
          <w:rFonts w:hint="eastAsia" w:ascii="仿宋" w:hAnsi="仿宋" w:eastAsia="仿宋"/>
          <w:sz w:val="30"/>
          <w:szCs w:val="30"/>
          <w:lang w:val="en-US" w:eastAsia="zh-CN"/>
        </w:rPr>
        <w:t>11.75</w:t>
      </w:r>
      <w:r>
        <w:rPr>
          <w:rFonts w:hint="eastAsia" w:ascii="仿宋" w:hAnsi="仿宋" w:eastAsia="仿宋"/>
          <w:sz w:val="30"/>
          <w:szCs w:val="30"/>
        </w:rPr>
        <w:t>%，主要原因是：</w:t>
      </w:r>
      <w:r>
        <w:rPr>
          <w:rFonts w:hint="eastAsia" w:ascii="仿宋" w:hAnsi="仿宋" w:eastAsia="仿宋"/>
          <w:sz w:val="30"/>
          <w:szCs w:val="30"/>
          <w:lang w:eastAsia="zh-CN"/>
        </w:rPr>
        <w:t>因为</w:t>
      </w:r>
      <w:r>
        <w:rPr>
          <w:rFonts w:hint="eastAsia" w:ascii="仿宋" w:hAnsi="仿宋" w:eastAsia="仿宋"/>
          <w:sz w:val="30"/>
          <w:szCs w:val="30"/>
          <w:lang w:val="en-US" w:eastAsia="zh-CN"/>
        </w:rPr>
        <w:t>2017年发放了车改补贴及执行新警衔标准并且补发，所以2018年支出相比2017年支出有所减少</w:t>
      </w:r>
      <w:r>
        <w:rPr>
          <w:rFonts w:hint="eastAsia" w:ascii="仿宋" w:hAnsi="仿宋" w:eastAsia="仿宋"/>
          <w:sz w:val="30"/>
          <w:szCs w:val="30"/>
        </w:rPr>
        <w:t>；年末结转和结余</w:t>
      </w:r>
      <w:r>
        <w:rPr>
          <w:rFonts w:hint="eastAsia" w:ascii="仿宋" w:hAnsi="仿宋" w:eastAsia="仿宋"/>
          <w:sz w:val="30"/>
          <w:szCs w:val="30"/>
          <w:lang w:val="en-US" w:eastAsia="zh-CN"/>
        </w:rPr>
        <w:t>1354.01</w:t>
      </w:r>
      <w:r>
        <w:rPr>
          <w:rFonts w:hint="eastAsia" w:ascii="仿宋" w:hAnsi="仿宋" w:eastAsia="仿宋"/>
          <w:sz w:val="30"/>
          <w:szCs w:val="30"/>
        </w:rPr>
        <w:t>万元，较2017年减少</w:t>
      </w:r>
      <w:r>
        <w:rPr>
          <w:rFonts w:hint="eastAsia" w:ascii="仿宋" w:hAnsi="仿宋" w:eastAsia="仿宋"/>
          <w:sz w:val="30"/>
          <w:szCs w:val="30"/>
          <w:lang w:val="en-US" w:eastAsia="zh-CN"/>
        </w:rPr>
        <w:t>193.02</w:t>
      </w:r>
      <w:r>
        <w:rPr>
          <w:rFonts w:hint="eastAsia" w:ascii="仿宋" w:hAnsi="仿宋" w:eastAsia="仿宋"/>
          <w:sz w:val="30"/>
          <w:szCs w:val="30"/>
        </w:rPr>
        <w:t>万元，下降</w:t>
      </w:r>
      <w:r>
        <w:rPr>
          <w:rFonts w:hint="eastAsia" w:ascii="仿宋" w:hAnsi="仿宋" w:eastAsia="仿宋"/>
          <w:sz w:val="30"/>
          <w:szCs w:val="30"/>
          <w:lang w:val="en-US" w:eastAsia="zh-CN"/>
        </w:rPr>
        <w:t>12.48</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3104.39</w:t>
      </w:r>
      <w:r>
        <w:rPr>
          <w:rFonts w:hint="eastAsia" w:ascii="仿宋" w:hAnsi="仿宋" w:eastAsia="仿宋"/>
          <w:sz w:val="30"/>
          <w:szCs w:val="30"/>
        </w:rPr>
        <w:t>万元，占</w:t>
      </w:r>
      <w:r>
        <w:rPr>
          <w:rFonts w:hint="eastAsia" w:ascii="仿宋" w:hAnsi="仿宋" w:eastAsia="仿宋"/>
          <w:sz w:val="30"/>
          <w:szCs w:val="30"/>
          <w:lang w:val="en-US" w:eastAsia="zh-CN"/>
        </w:rPr>
        <w:t>67.8</w:t>
      </w:r>
      <w:r>
        <w:rPr>
          <w:rFonts w:hint="eastAsia" w:ascii="仿宋" w:hAnsi="仿宋" w:eastAsia="仿宋"/>
          <w:sz w:val="30"/>
          <w:szCs w:val="30"/>
        </w:rPr>
        <w:t>%；项目支出</w:t>
      </w:r>
      <w:r>
        <w:rPr>
          <w:rFonts w:hint="eastAsia" w:ascii="仿宋" w:hAnsi="仿宋" w:eastAsia="仿宋"/>
          <w:sz w:val="30"/>
          <w:szCs w:val="30"/>
          <w:lang w:val="en-US" w:eastAsia="zh-CN"/>
        </w:rPr>
        <w:t>1474.48</w:t>
      </w:r>
      <w:r>
        <w:rPr>
          <w:rFonts w:hint="eastAsia" w:ascii="仿宋" w:hAnsi="仿宋" w:eastAsia="仿宋"/>
          <w:sz w:val="30"/>
          <w:szCs w:val="30"/>
        </w:rPr>
        <w:t>万元，占</w:t>
      </w:r>
      <w:r>
        <w:rPr>
          <w:rFonts w:hint="eastAsia" w:ascii="仿宋" w:hAnsi="仿宋" w:eastAsia="仿宋"/>
          <w:sz w:val="30"/>
          <w:szCs w:val="30"/>
          <w:lang w:val="en-US" w:eastAsia="zh-CN"/>
        </w:rPr>
        <w:t>32.2</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本部门2018年度财政拨款本年支出年初预算数为</w:t>
      </w:r>
      <w:r>
        <w:rPr>
          <w:rFonts w:hint="eastAsia" w:ascii="仿宋" w:hAnsi="仿宋" w:eastAsia="仿宋"/>
          <w:sz w:val="30"/>
          <w:szCs w:val="30"/>
          <w:lang w:val="en-US" w:eastAsia="zh-CN"/>
        </w:rPr>
        <w:t>5003.37</w:t>
      </w:r>
      <w:r>
        <w:rPr>
          <w:rFonts w:hint="eastAsia" w:ascii="仿宋" w:hAnsi="仿宋" w:eastAsia="仿宋"/>
          <w:sz w:val="30"/>
          <w:szCs w:val="30"/>
        </w:rPr>
        <w:t>万元，决算数为</w:t>
      </w:r>
      <w:r>
        <w:rPr>
          <w:rFonts w:hint="eastAsia" w:ascii="仿宋" w:hAnsi="仿宋" w:eastAsia="仿宋"/>
          <w:sz w:val="30"/>
          <w:szCs w:val="30"/>
          <w:lang w:val="en-US" w:eastAsia="zh-CN"/>
        </w:rPr>
        <w:t>4433.47</w:t>
      </w:r>
      <w:r>
        <w:rPr>
          <w:rFonts w:hint="eastAsia" w:ascii="仿宋" w:hAnsi="仿宋" w:eastAsia="仿宋"/>
          <w:sz w:val="30"/>
          <w:szCs w:val="30"/>
        </w:rPr>
        <w:t>万元，完成年初预算的</w:t>
      </w:r>
      <w:r>
        <w:rPr>
          <w:rFonts w:hint="eastAsia" w:ascii="仿宋" w:hAnsi="仿宋" w:eastAsia="仿宋"/>
          <w:sz w:val="30"/>
          <w:szCs w:val="30"/>
          <w:lang w:val="en-US" w:eastAsia="zh-CN"/>
        </w:rPr>
        <w:t>88.61</w:t>
      </w:r>
      <w:r>
        <w:rPr>
          <w:rFonts w:hint="eastAsia" w:ascii="仿宋" w:hAnsi="仿宋" w:eastAsia="仿宋"/>
          <w:sz w:val="30"/>
          <w:szCs w:val="30"/>
        </w:rPr>
        <w:t>%。其中：</w:t>
      </w:r>
    </w:p>
    <w:p>
      <w:pPr>
        <w:numPr>
          <w:ilvl w:val="0"/>
          <w:numId w:val="2"/>
        </w:numPr>
        <w:ind w:firstLine="630"/>
        <w:jc w:val="left"/>
        <w:rPr>
          <w:rFonts w:hint="eastAsia" w:ascii="仿宋" w:hAnsi="仿宋" w:eastAsia="仿宋"/>
          <w:sz w:val="30"/>
          <w:szCs w:val="30"/>
        </w:rPr>
      </w:pPr>
      <w:r>
        <w:rPr>
          <w:rFonts w:hint="eastAsia" w:ascii="仿宋" w:hAnsi="仿宋" w:eastAsia="仿宋"/>
          <w:sz w:val="30"/>
          <w:szCs w:val="30"/>
        </w:rPr>
        <w:t>公共安全支出年初预算数为</w:t>
      </w:r>
      <w:r>
        <w:rPr>
          <w:rFonts w:hint="eastAsia" w:ascii="仿宋" w:hAnsi="仿宋" w:eastAsia="仿宋"/>
          <w:sz w:val="30"/>
          <w:szCs w:val="30"/>
          <w:lang w:val="en-US" w:eastAsia="zh-CN"/>
        </w:rPr>
        <w:t>3956.63</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3811.23</w:t>
      </w:r>
      <w:r>
        <w:rPr>
          <w:rFonts w:hint="eastAsia" w:ascii="仿宋" w:hAnsi="仿宋" w:eastAsia="仿宋"/>
          <w:sz w:val="30"/>
          <w:szCs w:val="30"/>
        </w:rPr>
        <w:t>万元，完成年初预算的</w:t>
      </w:r>
      <w:r>
        <w:rPr>
          <w:rFonts w:hint="eastAsia" w:ascii="仿宋" w:hAnsi="仿宋" w:eastAsia="仿宋"/>
          <w:sz w:val="30"/>
          <w:szCs w:val="30"/>
          <w:lang w:val="en-US" w:eastAsia="zh-CN"/>
        </w:rPr>
        <w:t>96.33</w:t>
      </w:r>
      <w:r>
        <w:rPr>
          <w:rFonts w:hint="eastAsia" w:ascii="仿宋" w:hAnsi="仿宋" w:eastAsia="仿宋"/>
          <w:sz w:val="30"/>
          <w:szCs w:val="30"/>
        </w:rPr>
        <w:t>%。</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lang w:eastAsia="zh-CN"/>
        </w:rPr>
        <w:t>教育</w:t>
      </w:r>
      <w:r>
        <w:rPr>
          <w:rFonts w:hint="eastAsia" w:ascii="仿宋" w:hAnsi="仿宋" w:eastAsia="仿宋"/>
          <w:sz w:val="30"/>
          <w:szCs w:val="30"/>
        </w:rPr>
        <w:t>支出年初预算数为</w:t>
      </w:r>
      <w:r>
        <w:rPr>
          <w:rFonts w:hint="eastAsia" w:ascii="仿宋" w:hAnsi="仿宋" w:eastAsia="仿宋"/>
          <w:sz w:val="30"/>
          <w:szCs w:val="30"/>
          <w:lang w:val="en-US" w:eastAsia="zh-CN"/>
        </w:rPr>
        <w:t>10.6</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万元，完成年初预算的</w:t>
      </w:r>
      <w:r>
        <w:rPr>
          <w:rFonts w:hint="eastAsia" w:ascii="仿宋" w:hAnsi="仿宋" w:eastAsia="仿宋"/>
          <w:sz w:val="30"/>
          <w:szCs w:val="30"/>
          <w:lang w:val="en-US" w:eastAsia="zh-CN"/>
        </w:rPr>
        <w:t>0</w:t>
      </w:r>
      <w:r>
        <w:rPr>
          <w:rFonts w:hint="eastAsia" w:ascii="仿宋" w:hAnsi="仿宋" w:eastAsia="仿宋"/>
          <w:sz w:val="30"/>
          <w:szCs w:val="30"/>
        </w:rPr>
        <w:t>%。</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lang w:eastAsia="zh-CN"/>
        </w:rPr>
        <w:t>社会保障和就业支出年初预算数为</w:t>
      </w:r>
      <w:r>
        <w:rPr>
          <w:rFonts w:hint="eastAsia" w:ascii="仿宋" w:hAnsi="仿宋" w:eastAsia="仿宋"/>
          <w:sz w:val="30"/>
          <w:szCs w:val="30"/>
          <w:lang w:val="en-US" w:eastAsia="zh-CN"/>
        </w:rPr>
        <w:t>489.2万元，决算数为424.09万元，完成年初预算的86.7%。</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lang w:eastAsia="zh-CN"/>
        </w:rPr>
        <w:t>医疗卫生与计划生育</w:t>
      </w:r>
      <w:r>
        <w:rPr>
          <w:rFonts w:hint="eastAsia" w:ascii="仿宋" w:hAnsi="仿宋" w:eastAsia="仿宋"/>
          <w:sz w:val="30"/>
          <w:szCs w:val="30"/>
        </w:rPr>
        <w:t>支出年初预算数为</w:t>
      </w:r>
      <w:r>
        <w:rPr>
          <w:rFonts w:hint="eastAsia" w:ascii="仿宋" w:hAnsi="仿宋" w:eastAsia="仿宋"/>
          <w:sz w:val="30"/>
          <w:szCs w:val="30"/>
          <w:lang w:val="en-US" w:eastAsia="zh-CN"/>
        </w:rPr>
        <w:t>175.38万元，决算数为89.15万元，完成年初预算的50.83%。</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lang w:val="en-US" w:eastAsia="zh-CN"/>
        </w:rPr>
        <w:t>城乡社区支出年初预算数为0万元，决算数为100万元，完成年初预算的100%。</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lang w:eastAsia="zh-CN"/>
        </w:rPr>
        <w:t>农林水</w:t>
      </w:r>
      <w:r>
        <w:rPr>
          <w:rFonts w:hint="eastAsia" w:ascii="仿宋" w:hAnsi="仿宋" w:eastAsia="仿宋"/>
          <w:sz w:val="30"/>
          <w:szCs w:val="30"/>
        </w:rPr>
        <w:t>支出年初预算数为</w:t>
      </w:r>
      <w:r>
        <w:rPr>
          <w:rFonts w:hint="eastAsia" w:ascii="仿宋" w:hAnsi="仿宋" w:eastAsia="仿宋"/>
          <w:sz w:val="30"/>
          <w:szCs w:val="30"/>
          <w:lang w:val="en-US" w:eastAsia="zh-CN"/>
        </w:rPr>
        <w:t>9</w:t>
      </w:r>
      <w:r>
        <w:rPr>
          <w:rFonts w:hint="eastAsia" w:ascii="仿宋" w:hAnsi="仿宋" w:eastAsia="仿宋"/>
          <w:sz w:val="30"/>
          <w:szCs w:val="30"/>
        </w:rPr>
        <w:t>万元，决算数为</w:t>
      </w:r>
      <w:r>
        <w:rPr>
          <w:rFonts w:hint="eastAsia" w:ascii="仿宋" w:hAnsi="仿宋" w:eastAsia="仿宋"/>
          <w:sz w:val="30"/>
          <w:szCs w:val="30"/>
          <w:lang w:val="en-US" w:eastAsia="zh-CN"/>
        </w:rPr>
        <w:t>9</w:t>
      </w:r>
      <w:r>
        <w:rPr>
          <w:rFonts w:hint="eastAsia" w:ascii="仿宋" w:hAnsi="仿宋" w:eastAsia="仿宋"/>
          <w:sz w:val="30"/>
          <w:szCs w:val="30"/>
        </w:rPr>
        <w:t>万元，完成年初预算的</w:t>
      </w:r>
      <w:r>
        <w:rPr>
          <w:rFonts w:hint="eastAsia" w:ascii="仿宋" w:hAnsi="仿宋" w:eastAsia="仿宋"/>
          <w:sz w:val="30"/>
          <w:szCs w:val="30"/>
          <w:lang w:val="en-US" w:eastAsia="zh-CN"/>
        </w:rPr>
        <w:t>100</w:t>
      </w:r>
      <w:r>
        <w:rPr>
          <w:rFonts w:hint="eastAsia" w:ascii="仿宋" w:hAnsi="仿宋" w:eastAsia="仿宋"/>
          <w:sz w:val="30"/>
          <w:szCs w:val="30"/>
        </w:rPr>
        <w:t>%</w:t>
      </w:r>
      <w:r>
        <w:rPr>
          <w:rFonts w:hint="eastAsia" w:ascii="仿宋" w:hAnsi="仿宋" w:eastAsia="仿宋"/>
          <w:sz w:val="30"/>
          <w:szCs w:val="30"/>
          <w:lang w:eastAsia="zh-CN"/>
        </w:rPr>
        <w:t>。</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lang w:eastAsia="zh-CN"/>
        </w:rPr>
        <w:t>住房保障</w:t>
      </w:r>
      <w:r>
        <w:rPr>
          <w:rFonts w:hint="eastAsia" w:ascii="仿宋" w:hAnsi="仿宋" w:eastAsia="仿宋"/>
          <w:sz w:val="30"/>
          <w:szCs w:val="30"/>
        </w:rPr>
        <w:t>支出年初预算数为</w:t>
      </w:r>
      <w:r>
        <w:rPr>
          <w:rFonts w:hint="eastAsia" w:ascii="仿宋" w:hAnsi="仿宋" w:eastAsia="仿宋"/>
          <w:sz w:val="30"/>
          <w:szCs w:val="30"/>
          <w:lang w:val="en-US" w:eastAsia="zh-CN"/>
        </w:rPr>
        <w:t>362.56</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万元，完成年初预算的</w:t>
      </w:r>
      <w:r>
        <w:rPr>
          <w:rFonts w:hint="eastAsia" w:ascii="仿宋" w:hAnsi="仿宋" w:eastAsia="仿宋"/>
          <w:sz w:val="30"/>
          <w:szCs w:val="30"/>
          <w:lang w:val="en-US" w:eastAsia="zh-CN"/>
        </w:rPr>
        <w:t>0</w:t>
      </w:r>
      <w:r>
        <w:rPr>
          <w:rFonts w:hint="eastAsia" w:ascii="仿宋" w:hAnsi="仿宋" w:eastAsia="仿宋"/>
          <w:sz w:val="30"/>
          <w:szCs w:val="30"/>
        </w:rPr>
        <w:t>%。</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本部门2018年度一般公共预算财政拨款基本支出</w:t>
      </w:r>
      <w:r>
        <w:rPr>
          <w:rFonts w:hint="eastAsia" w:ascii="仿宋" w:hAnsi="仿宋" w:eastAsia="仿宋"/>
          <w:sz w:val="30"/>
          <w:szCs w:val="30"/>
          <w:lang w:val="en-US" w:eastAsia="zh-CN"/>
        </w:rPr>
        <w:t>2958.99</w:t>
      </w:r>
      <w:r>
        <w:rPr>
          <w:rFonts w:hint="eastAsia" w:ascii="仿宋" w:hAnsi="仿宋" w:eastAsia="仿宋"/>
          <w:sz w:val="30"/>
          <w:szCs w:val="30"/>
        </w:rPr>
        <w:t>万元，其中：</w:t>
      </w:r>
    </w:p>
    <w:p>
      <w:pPr>
        <w:ind w:firstLine="585"/>
        <w:jc w:val="left"/>
        <w:rPr>
          <w:rFonts w:hint="eastAsia" w:ascii="仿宋" w:hAnsi="仿宋" w:eastAsia="仿宋"/>
          <w:sz w:val="30"/>
          <w:szCs w:val="30"/>
        </w:rPr>
      </w:pPr>
      <w:r>
        <w:rPr>
          <w:rFonts w:hint="eastAsia" w:ascii="仿宋" w:hAnsi="仿宋" w:eastAsia="仿宋"/>
          <w:sz w:val="30"/>
          <w:szCs w:val="30"/>
        </w:rPr>
        <w:t>（一）工资福利支出</w:t>
      </w:r>
      <w:r>
        <w:rPr>
          <w:rFonts w:hint="eastAsia" w:ascii="仿宋" w:hAnsi="仿宋" w:eastAsia="仿宋"/>
          <w:sz w:val="30"/>
          <w:szCs w:val="30"/>
          <w:lang w:val="en-US" w:eastAsia="zh-CN"/>
        </w:rPr>
        <w:t>2401.91</w:t>
      </w:r>
      <w:r>
        <w:rPr>
          <w:rFonts w:hint="eastAsia" w:ascii="仿宋" w:hAnsi="仿宋" w:eastAsia="仿宋"/>
          <w:sz w:val="30"/>
          <w:szCs w:val="30"/>
        </w:rPr>
        <w:t>万元，较2017年减少</w:t>
      </w:r>
      <w:r>
        <w:rPr>
          <w:rFonts w:hint="eastAsia" w:ascii="仿宋" w:hAnsi="仿宋" w:eastAsia="仿宋"/>
          <w:sz w:val="30"/>
          <w:szCs w:val="30"/>
          <w:lang w:val="en-US" w:eastAsia="zh-CN"/>
        </w:rPr>
        <w:t>591.67</w:t>
      </w:r>
      <w:r>
        <w:rPr>
          <w:rFonts w:hint="eastAsia" w:ascii="仿宋" w:hAnsi="仿宋" w:eastAsia="仿宋"/>
          <w:sz w:val="30"/>
          <w:szCs w:val="30"/>
        </w:rPr>
        <w:t>万元，下降</w:t>
      </w:r>
      <w:r>
        <w:rPr>
          <w:rFonts w:hint="eastAsia" w:ascii="仿宋" w:hAnsi="仿宋" w:eastAsia="仿宋"/>
          <w:sz w:val="30"/>
          <w:szCs w:val="30"/>
          <w:lang w:val="en-US" w:eastAsia="zh-CN"/>
        </w:rPr>
        <w:t>19.76</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494.6</w:t>
      </w:r>
      <w:r>
        <w:rPr>
          <w:rFonts w:hint="eastAsia" w:ascii="仿宋" w:hAnsi="仿宋" w:eastAsia="仿宋"/>
          <w:sz w:val="30"/>
          <w:szCs w:val="30"/>
        </w:rPr>
        <w:t>万元，较2017年减少</w:t>
      </w:r>
      <w:r>
        <w:rPr>
          <w:rFonts w:hint="eastAsia" w:ascii="仿宋" w:hAnsi="仿宋" w:eastAsia="仿宋"/>
          <w:sz w:val="30"/>
          <w:szCs w:val="30"/>
          <w:lang w:val="en-US" w:eastAsia="zh-CN"/>
        </w:rPr>
        <w:t>1123.91</w:t>
      </w:r>
      <w:r>
        <w:rPr>
          <w:rFonts w:hint="eastAsia" w:ascii="仿宋" w:hAnsi="仿宋" w:eastAsia="仿宋"/>
          <w:sz w:val="30"/>
          <w:szCs w:val="30"/>
        </w:rPr>
        <w:t>万元，下降</w:t>
      </w:r>
      <w:r>
        <w:rPr>
          <w:rFonts w:hint="eastAsia" w:ascii="仿宋" w:hAnsi="仿宋" w:eastAsia="仿宋"/>
          <w:sz w:val="30"/>
          <w:szCs w:val="30"/>
          <w:lang w:val="en-US" w:eastAsia="zh-CN"/>
        </w:rPr>
        <w:t>69.44</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（三）对个人和家庭补助支出</w:t>
      </w:r>
      <w:r>
        <w:rPr>
          <w:rFonts w:hint="eastAsia" w:ascii="仿宋" w:hAnsi="仿宋" w:eastAsia="仿宋"/>
          <w:sz w:val="30"/>
          <w:szCs w:val="30"/>
          <w:lang w:val="en-US" w:eastAsia="zh-CN"/>
        </w:rPr>
        <w:t>62.48</w:t>
      </w:r>
      <w:r>
        <w:rPr>
          <w:rFonts w:hint="eastAsia" w:ascii="仿宋" w:hAnsi="仿宋" w:eastAsia="仿宋"/>
          <w:sz w:val="30"/>
          <w:szCs w:val="30"/>
        </w:rPr>
        <w:t>万元，较2017年减少</w:t>
      </w:r>
      <w:r>
        <w:rPr>
          <w:rFonts w:hint="eastAsia" w:ascii="仿宋" w:hAnsi="仿宋" w:eastAsia="仿宋"/>
          <w:sz w:val="30"/>
          <w:szCs w:val="30"/>
          <w:lang w:val="en-US" w:eastAsia="zh-CN"/>
        </w:rPr>
        <w:t>97.47</w:t>
      </w:r>
      <w:r>
        <w:rPr>
          <w:rFonts w:hint="eastAsia" w:ascii="仿宋" w:hAnsi="仿宋" w:eastAsia="仿宋"/>
          <w:sz w:val="30"/>
          <w:szCs w:val="30"/>
        </w:rPr>
        <w:t>万元，下降</w:t>
      </w:r>
      <w:r>
        <w:rPr>
          <w:rFonts w:hint="eastAsia" w:ascii="仿宋" w:hAnsi="仿宋" w:eastAsia="仿宋"/>
          <w:sz w:val="30"/>
          <w:szCs w:val="30"/>
          <w:lang w:val="en-US" w:eastAsia="zh-CN"/>
        </w:rPr>
        <w:t>60.94</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（四）资本性支出</w:t>
      </w:r>
      <w:r>
        <w:rPr>
          <w:rFonts w:hint="eastAsia" w:ascii="仿宋" w:hAnsi="仿宋" w:eastAsia="仿宋"/>
          <w:sz w:val="30"/>
          <w:szCs w:val="30"/>
          <w:lang w:val="en-US" w:eastAsia="zh-CN"/>
        </w:rPr>
        <w:t>0</w:t>
      </w:r>
      <w:r>
        <w:rPr>
          <w:rFonts w:hint="eastAsia" w:ascii="仿宋" w:hAnsi="仿宋" w:eastAsia="仿宋"/>
          <w:sz w:val="30"/>
          <w:szCs w:val="30"/>
        </w:rPr>
        <w:t>万元，较2017年减少</w:t>
      </w:r>
      <w:r>
        <w:rPr>
          <w:rFonts w:hint="eastAsia" w:ascii="仿宋" w:hAnsi="仿宋" w:eastAsia="仿宋"/>
          <w:sz w:val="30"/>
          <w:szCs w:val="30"/>
          <w:lang w:val="en-US" w:eastAsia="zh-CN"/>
        </w:rPr>
        <w:t>416.31</w:t>
      </w:r>
      <w:r>
        <w:rPr>
          <w:rFonts w:hint="eastAsia" w:ascii="仿宋" w:hAnsi="仿宋" w:eastAsia="仿宋"/>
          <w:sz w:val="30"/>
          <w:szCs w:val="30"/>
        </w:rPr>
        <w:t>万元，下降</w:t>
      </w:r>
      <w:r>
        <w:rPr>
          <w:rFonts w:hint="eastAsia" w:ascii="仿宋" w:hAnsi="仿宋" w:eastAsia="仿宋"/>
          <w:sz w:val="30"/>
          <w:szCs w:val="30"/>
          <w:lang w:val="en-US" w:eastAsia="zh-CN"/>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本部门2018年度一般公共预算财政拨款“三公”经费支出年初预算数为</w:t>
      </w:r>
      <w:r>
        <w:rPr>
          <w:rFonts w:hint="eastAsia" w:ascii="仿宋" w:hAnsi="仿宋" w:eastAsia="仿宋"/>
          <w:sz w:val="30"/>
          <w:szCs w:val="30"/>
          <w:lang w:val="en-US" w:eastAsia="zh-CN"/>
        </w:rPr>
        <w:t>61.43</w:t>
      </w:r>
      <w:r>
        <w:rPr>
          <w:rFonts w:hint="eastAsia" w:ascii="仿宋" w:hAnsi="仿宋" w:eastAsia="仿宋"/>
          <w:sz w:val="30"/>
          <w:szCs w:val="30"/>
        </w:rPr>
        <w:t>万元，决算数为</w:t>
      </w:r>
      <w:r>
        <w:rPr>
          <w:rFonts w:hint="eastAsia" w:ascii="仿宋" w:hAnsi="仿宋" w:eastAsia="仿宋"/>
          <w:sz w:val="30"/>
          <w:szCs w:val="30"/>
          <w:lang w:val="en-US" w:eastAsia="zh-CN"/>
        </w:rPr>
        <w:t>27.78</w:t>
      </w:r>
      <w:r>
        <w:rPr>
          <w:rFonts w:hint="eastAsia" w:ascii="仿宋" w:hAnsi="仿宋" w:eastAsia="仿宋"/>
          <w:sz w:val="30"/>
          <w:szCs w:val="30"/>
        </w:rPr>
        <w:t>万元，完成预算的</w:t>
      </w:r>
      <w:r>
        <w:rPr>
          <w:rFonts w:hint="eastAsia" w:ascii="仿宋" w:hAnsi="仿宋" w:eastAsia="仿宋"/>
          <w:sz w:val="30"/>
          <w:szCs w:val="30"/>
          <w:lang w:val="en-US" w:eastAsia="zh-CN"/>
        </w:rPr>
        <w:t>45.22</w:t>
      </w:r>
      <w:r>
        <w:rPr>
          <w:rFonts w:hint="eastAsia" w:ascii="仿宋" w:hAnsi="仿宋" w:eastAsia="仿宋"/>
          <w:sz w:val="30"/>
          <w:szCs w:val="30"/>
        </w:rPr>
        <w:t>%，决算数较2017年减少</w:t>
      </w:r>
      <w:r>
        <w:rPr>
          <w:rFonts w:hint="eastAsia" w:ascii="仿宋" w:hAnsi="仿宋" w:eastAsia="仿宋"/>
          <w:sz w:val="30"/>
          <w:szCs w:val="30"/>
          <w:lang w:val="en-US" w:eastAsia="zh-CN"/>
        </w:rPr>
        <w:t>96.45</w:t>
      </w:r>
      <w:r>
        <w:rPr>
          <w:rFonts w:hint="eastAsia" w:ascii="仿宋" w:hAnsi="仿宋" w:eastAsia="仿宋"/>
          <w:sz w:val="30"/>
          <w:szCs w:val="30"/>
        </w:rPr>
        <w:t>万元，下降</w:t>
      </w:r>
      <w:r>
        <w:rPr>
          <w:rFonts w:hint="eastAsia" w:ascii="仿宋" w:hAnsi="仿宋" w:eastAsia="仿宋"/>
          <w:sz w:val="30"/>
          <w:szCs w:val="30"/>
          <w:lang w:val="en-US" w:eastAsia="zh-CN"/>
        </w:rPr>
        <w:t>77.64</w:t>
      </w:r>
      <w:r>
        <w:rPr>
          <w:rFonts w:hint="eastAsia" w:ascii="仿宋" w:hAnsi="仿宋" w:eastAsia="仿宋"/>
          <w:sz w:val="30"/>
          <w:szCs w:val="30"/>
        </w:rPr>
        <w:t>%，其中：</w:t>
      </w:r>
    </w:p>
    <w:p>
      <w:pPr>
        <w:ind w:firstLine="630"/>
        <w:jc w:val="left"/>
        <w:rPr>
          <w:rFonts w:hint="eastAsia" w:ascii="仿宋" w:hAnsi="仿宋" w:eastAsia="仿宋"/>
          <w:sz w:val="30"/>
          <w:szCs w:val="30"/>
        </w:rPr>
      </w:pPr>
      <w:r>
        <w:rPr>
          <w:rFonts w:hint="eastAsia" w:ascii="仿宋" w:hAnsi="仿宋" w:eastAsia="仿宋"/>
          <w:sz w:val="30"/>
          <w:szCs w:val="30"/>
        </w:rPr>
        <w:t>（一）因公出国（境）支出年初预算数为</w:t>
      </w:r>
      <w:r>
        <w:rPr>
          <w:rFonts w:hint="eastAsia" w:ascii="仿宋" w:hAnsi="仿宋" w:eastAsia="仿宋"/>
          <w:sz w:val="30"/>
          <w:szCs w:val="30"/>
          <w:lang w:val="en-US" w:eastAsia="zh-CN"/>
        </w:rPr>
        <w:t>0</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%，决算数较2017年</w:t>
      </w:r>
      <w:r>
        <w:rPr>
          <w:rFonts w:hint="eastAsia" w:ascii="仿宋" w:hAnsi="仿宋" w:eastAsia="仿宋"/>
          <w:sz w:val="30"/>
          <w:szCs w:val="30"/>
          <w:lang w:eastAsia="zh-CN"/>
        </w:rPr>
        <w:t>相同</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32.43</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7.18</w:t>
      </w:r>
      <w:r>
        <w:rPr>
          <w:rFonts w:hint="eastAsia" w:ascii="仿宋" w:hAnsi="仿宋" w:eastAsia="仿宋"/>
          <w:sz w:val="30"/>
          <w:szCs w:val="30"/>
        </w:rPr>
        <w:t>万元，完成预算的</w:t>
      </w:r>
      <w:r>
        <w:rPr>
          <w:rFonts w:hint="eastAsia" w:ascii="仿宋" w:hAnsi="仿宋" w:eastAsia="仿宋"/>
          <w:sz w:val="30"/>
          <w:szCs w:val="30"/>
          <w:lang w:val="en-US" w:eastAsia="zh-CN"/>
        </w:rPr>
        <w:t>22.14</w:t>
      </w:r>
      <w:r>
        <w:rPr>
          <w:rFonts w:hint="eastAsia" w:ascii="仿宋" w:hAnsi="仿宋" w:eastAsia="仿宋"/>
          <w:sz w:val="30"/>
          <w:szCs w:val="30"/>
        </w:rPr>
        <w:t>%，决算数较2017年减少</w:t>
      </w:r>
      <w:r>
        <w:rPr>
          <w:rFonts w:hint="eastAsia" w:ascii="仿宋" w:hAnsi="仿宋" w:eastAsia="仿宋"/>
          <w:sz w:val="30"/>
          <w:szCs w:val="30"/>
          <w:lang w:val="en-US" w:eastAsia="zh-CN"/>
        </w:rPr>
        <w:t>4.51</w:t>
      </w:r>
      <w:r>
        <w:rPr>
          <w:rFonts w:hint="eastAsia" w:ascii="仿宋" w:hAnsi="仿宋" w:eastAsia="仿宋"/>
          <w:sz w:val="30"/>
          <w:szCs w:val="30"/>
        </w:rPr>
        <w:t>万元，下降</w:t>
      </w:r>
      <w:r>
        <w:rPr>
          <w:rFonts w:hint="eastAsia" w:ascii="仿宋" w:hAnsi="仿宋" w:eastAsia="仿宋"/>
          <w:sz w:val="30"/>
          <w:szCs w:val="30"/>
          <w:lang w:val="en-US" w:eastAsia="zh-CN"/>
        </w:rPr>
        <w:t>38.58</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20.6</w:t>
      </w:r>
      <w:r>
        <w:rPr>
          <w:rFonts w:hint="eastAsia" w:ascii="仿宋" w:hAnsi="仿宋" w:eastAsia="仿宋"/>
          <w:sz w:val="30"/>
          <w:szCs w:val="30"/>
        </w:rPr>
        <w:t>万元，其中公务用车购置年初预算数为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%，决算数较2017年</w:t>
      </w:r>
      <w:r>
        <w:rPr>
          <w:rFonts w:hint="eastAsia" w:ascii="仿宋" w:hAnsi="仿宋" w:eastAsia="仿宋"/>
          <w:sz w:val="30"/>
          <w:szCs w:val="30"/>
          <w:lang w:eastAsia="zh-CN"/>
        </w:rPr>
        <w:t>相同</w:t>
      </w:r>
      <w:r>
        <w:rPr>
          <w:rFonts w:hint="eastAsia" w:ascii="仿宋" w:hAnsi="仿宋" w:eastAsia="仿宋"/>
          <w:sz w:val="30"/>
          <w:szCs w:val="30"/>
        </w:rPr>
        <w:t>；公务用车运行维护费支出年初预算数为</w:t>
      </w:r>
      <w:r>
        <w:rPr>
          <w:rFonts w:hint="eastAsia" w:ascii="仿宋" w:hAnsi="仿宋" w:eastAsia="仿宋"/>
          <w:sz w:val="30"/>
          <w:szCs w:val="30"/>
          <w:lang w:val="en-US" w:eastAsia="zh-CN"/>
        </w:rPr>
        <w:t>29</w:t>
      </w:r>
      <w:r>
        <w:rPr>
          <w:rFonts w:hint="eastAsia" w:ascii="仿宋" w:hAnsi="仿宋" w:eastAsia="仿宋"/>
          <w:sz w:val="30"/>
          <w:szCs w:val="30"/>
        </w:rPr>
        <w:t>万元，决算数为</w:t>
      </w:r>
      <w:r>
        <w:rPr>
          <w:rFonts w:hint="eastAsia" w:ascii="仿宋" w:hAnsi="仿宋" w:eastAsia="仿宋"/>
          <w:sz w:val="30"/>
          <w:szCs w:val="30"/>
          <w:lang w:val="en-US" w:eastAsia="zh-CN"/>
        </w:rPr>
        <w:t>20.6</w:t>
      </w:r>
      <w:r>
        <w:rPr>
          <w:rFonts w:hint="eastAsia" w:ascii="仿宋" w:hAnsi="仿宋" w:eastAsia="仿宋"/>
          <w:sz w:val="30"/>
          <w:szCs w:val="30"/>
        </w:rPr>
        <w:t>万元，完成预算的</w:t>
      </w:r>
      <w:r>
        <w:rPr>
          <w:rFonts w:hint="eastAsia" w:ascii="仿宋" w:hAnsi="仿宋" w:eastAsia="仿宋"/>
          <w:sz w:val="30"/>
          <w:szCs w:val="30"/>
          <w:lang w:val="en-US" w:eastAsia="zh-CN"/>
        </w:rPr>
        <w:t>71.03</w:t>
      </w:r>
      <w:r>
        <w:rPr>
          <w:rFonts w:hint="eastAsia" w:ascii="仿宋" w:hAnsi="仿宋" w:eastAsia="仿宋"/>
          <w:sz w:val="30"/>
          <w:szCs w:val="30"/>
        </w:rPr>
        <w:t>%，决算数较2017年减少</w:t>
      </w:r>
      <w:r>
        <w:rPr>
          <w:rFonts w:hint="eastAsia" w:ascii="仿宋" w:hAnsi="仿宋" w:eastAsia="仿宋"/>
          <w:sz w:val="30"/>
          <w:szCs w:val="30"/>
          <w:lang w:val="en-US" w:eastAsia="zh-CN"/>
        </w:rPr>
        <w:t>91.94</w:t>
      </w:r>
      <w:r>
        <w:rPr>
          <w:rFonts w:hint="eastAsia" w:ascii="仿宋" w:hAnsi="仿宋" w:eastAsia="仿宋"/>
          <w:sz w:val="30"/>
          <w:szCs w:val="30"/>
        </w:rPr>
        <w:t>万元，下降</w:t>
      </w:r>
      <w:r>
        <w:rPr>
          <w:rFonts w:hint="eastAsia" w:ascii="仿宋" w:hAnsi="仿宋" w:eastAsia="仿宋"/>
          <w:sz w:val="30"/>
          <w:szCs w:val="30"/>
          <w:lang w:val="en-US" w:eastAsia="zh-CN"/>
        </w:rPr>
        <w:t>81.69</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本部门2018年度机关运行经费支出</w:t>
      </w:r>
      <w:r>
        <w:rPr>
          <w:rFonts w:hint="eastAsia" w:ascii="仿宋" w:hAnsi="仿宋" w:eastAsia="仿宋"/>
          <w:sz w:val="30"/>
          <w:szCs w:val="30"/>
          <w:lang w:val="en-US" w:eastAsia="zh-CN"/>
        </w:rPr>
        <w:t>494.6</w:t>
      </w:r>
      <w:r>
        <w:rPr>
          <w:rFonts w:hint="eastAsia" w:ascii="仿宋" w:hAnsi="仿宋" w:eastAsia="仿宋"/>
          <w:sz w:val="30"/>
          <w:szCs w:val="30"/>
        </w:rPr>
        <w:t>万元（与部门决算中行政单位和参照公务员法管理事业单位一般公共预算财政拨款基本支出中公用经费之和保持一致），较</w:t>
      </w:r>
      <w:r>
        <w:rPr>
          <w:rFonts w:hint="eastAsia" w:ascii="仿宋" w:hAnsi="仿宋" w:eastAsia="仿宋"/>
          <w:sz w:val="30"/>
          <w:szCs w:val="30"/>
          <w:lang w:val="en-US" w:eastAsia="zh-CN"/>
        </w:rPr>
        <w:t>2017年</w:t>
      </w:r>
      <w:r>
        <w:rPr>
          <w:rFonts w:hint="eastAsia" w:ascii="仿宋" w:hAnsi="仿宋" w:eastAsia="仿宋"/>
          <w:sz w:val="30"/>
          <w:szCs w:val="30"/>
        </w:rPr>
        <w:t>减少</w:t>
      </w:r>
      <w:r>
        <w:rPr>
          <w:rFonts w:hint="eastAsia" w:ascii="仿宋" w:hAnsi="仿宋" w:eastAsia="仿宋"/>
          <w:sz w:val="30"/>
          <w:szCs w:val="30"/>
          <w:lang w:val="en-US" w:eastAsia="zh-CN"/>
        </w:rPr>
        <w:t>1123.91</w:t>
      </w:r>
      <w:r>
        <w:rPr>
          <w:rFonts w:hint="eastAsia" w:ascii="仿宋" w:hAnsi="仿宋" w:eastAsia="仿宋"/>
          <w:sz w:val="30"/>
          <w:szCs w:val="30"/>
        </w:rPr>
        <w:t>万元，降低</w:t>
      </w:r>
      <w:r>
        <w:rPr>
          <w:rFonts w:hint="eastAsia" w:ascii="仿宋" w:hAnsi="仿宋" w:eastAsia="仿宋"/>
          <w:sz w:val="30"/>
          <w:szCs w:val="30"/>
          <w:lang w:val="en-US" w:eastAsia="zh-CN"/>
        </w:rPr>
        <w:t>69.44</w:t>
      </w:r>
      <w:r>
        <w:rPr>
          <w:rFonts w:hint="eastAsia" w:ascii="仿宋" w:hAnsi="仿宋" w:eastAsia="仿宋"/>
          <w:sz w:val="30"/>
          <w:szCs w:val="30"/>
        </w:rPr>
        <w:t xml:space="preserve">%。 </w:t>
      </w:r>
    </w:p>
    <w:p>
      <w:pPr>
        <w:ind w:firstLine="630"/>
        <w:jc w:val="left"/>
        <w:rPr>
          <w:rFonts w:ascii="黑体" w:hAnsi="黑体" w:eastAsia="黑体"/>
          <w:sz w:val="30"/>
          <w:szCs w:val="30"/>
        </w:rPr>
      </w:pPr>
      <w:r>
        <w:rPr>
          <w:rFonts w:hint="eastAsia" w:ascii="黑体" w:hAnsi="黑体" w:eastAsia="黑体"/>
          <w:sz w:val="30"/>
          <w:szCs w:val="30"/>
        </w:rPr>
        <w:t>七、政府采购支出情况说明</w:t>
      </w:r>
    </w:p>
    <w:p>
      <w:pPr>
        <w:pStyle w:val="6"/>
        <w:spacing w:line="600" w:lineRule="atLeast"/>
        <w:ind w:firstLine="600"/>
        <w:rPr>
          <w:rFonts w:hint="eastAsia" w:ascii="仿宋" w:hAnsi="仿宋" w:eastAsia="仿宋"/>
          <w:sz w:val="30"/>
          <w:szCs w:val="30"/>
        </w:rPr>
      </w:pPr>
      <w:r>
        <w:rPr>
          <w:rFonts w:hint="eastAsia" w:ascii="仿宋" w:hAnsi="仿宋" w:eastAsia="仿宋"/>
          <w:sz w:val="30"/>
          <w:szCs w:val="30"/>
        </w:rPr>
        <w:t>本部门2018年度政府采购支出总额</w:t>
      </w:r>
      <w:r>
        <w:rPr>
          <w:rFonts w:hint="eastAsia" w:ascii="仿宋" w:hAnsi="仿宋" w:eastAsia="仿宋"/>
          <w:sz w:val="30"/>
          <w:szCs w:val="30"/>
          <w:lang w:val="en-US" w:eastAsia="zh-CN"/>
        </w:rPr>
        <w:t>446.32</w:t>
      </w:r>
      <w:r>
        <w:rPr>
          <w:rFonts w:hint="eastAsia" w:ascii="仿宋" w:hAnsi="仿宋" w:eastAsia="仿宋"/>
          <w:sz w:val="30"/>
          <w:szCs w:val="30"/>
        </w:rPr>
        <w:t>万元，其中：政府采购货物支出</w:t>
      </w:r>
      <w:r>
        <w:rPr>
          <w:rFonts w:hint="eastAsia" w:ascii="仿宋" w:hAnsi="仿宋" w:eastAsia="仿宋"/>
          <w:sz w:val="30"/>
          <w:szCs w:val="30"/>
          <w:lang w:val="en-US" w:eastAsia="zh-CN"/>
        </w:rPr>
        <w:t>262.9</w:t>
      </w:r>
      <w:r>
        <w:rPr>
          <w:rFonts w:hint="eastAsia" w:ascii="仿宋" w:hAnsi="仿宋" w:eastAsia="仿宋"/>
          <w:sz w:val="30"/>
          <w:szCs w:val="30"/>
        </w:rPr>
        <w:t>万元、政府采购工程支出</w:t>
      </w:r>
      <w:r>
        <w:rPr>
          <w:rFonts w:hint="eastAsia" w:ascii="仿宋" w:hAnsi="仿宋" w:eastAsia="仿宋"/>
          <w:sz w:val="30"/>
          <w:szCs w:val="30"/>
          <w:lang w:val="en-US" w:eastAsia="zh-CN"/>
        </w:rPr>
        <w:t>159.05</w:t>
      </w:r>
      <w:r>
        <w:rPr>
          <w:rFonts w:hint="eastAsia" w:ascii="仿宋" w:hAnsi="仿宋" w:eastAsia="仿宋"/>
          <w:sz w:val="30"/>
          <w:szCs w:val="30"/>
        </w:rPr>
        <w:t>万元、政府采购服务支出</w:t>
      </w:r>
      <w:r>
        <w:rPr>
          <w:rFonts w:hint="eastAsia" w:ascii="仿宋" w:hAnsi="仿宋" w:eastAsia="仿宋"/>
          <w:sz w:val="30"/>
          <w:szCs w:val="30"/>
          <w:lang w:val="en-US" w:eastAsia="zh-CN"/>
        </w:rPr>
        <w:t>24.37</w:t>
      </w:r>
      <w:r>
        <w:rPr>
          <w:rFonts w:hint="eastAsia" w:ascii="仿宋" w:hAnsi="仿宋" w:eastAsia="仿宋"/>
          <w:sz w:val="30"/>
          <w:szCs w:val="30"/>
        </w:rPr>
        <w:t>万元。</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rPr>
      </w:pPr>
      <w:r>
        <w:rPr>
          <w:rFonts w:hint="eastAsia" w:ascii="仿宋" w:hAnsi="仿宋" w:eastAsia="仿宋"/>
          <w:kern w:val="0"/>
          <w:sz w:val="30"/>
          <w:szCs w:val="30"/>
        </w:rPr>
        <w:t>截止2018年12月31日，本部门共有车辆</w:t>
      </w:r>
      <w:r>
        <w:rPr>
          <w:rFonts w:hint="eastAsia" w:ascii="仿宋" w:hAnsi="仿宋" w:eastAsia="仿宋"/>
          <w:kern w:val="0"/>
          <w:sz w:val="30"/>
          <w:szCs w:val="30"/>
          <w:lang w:val="en-US" w:eastAsia="zh-CN"/>
        </w:rPr>
        <w:t>41</w:t>
      </w:r>
      <w:r>
        <w:rPr>
          <w:rFonts w:hint="eastAsia" w:ascii="仿宋" w:hAnsi="仿宋" w:eastAsia="仿宋"/>
          <w:kern w:val="0"/>
          <w:sz w:val="30"/>
          <w:szCs w:val="30"/>
        </w:rPr>
        <w:t>辆，其中，</w:t>
      </w:r>
      <w:r>
        <w:rPr>
          <w:rFonts w:hint="eastAsia" w:ascii="仿宋" w:hAnsi="仿宋" w:eastAsia="仿宋" w:cs="仿宋_GB2312"/>
          <w:kern w:val="0"/>
          <w:sz w:val="30"/>
          <w:szCs w:val="30"/>
        </w:rPr>
        <w:t>一般执法执勤用车</w:t>
      </w:r>
      <w:r>
        <w:rPr>
          <w:rFonts w:hint="eastAsia" w:ascii="仿宋" w:hAnsi="仿宋" w:eastAsia="仿宋" w:cs="仿宋_GB2312"/>
          <w:kern w:val="0"/>
          <w:sz w:val="30"/>
          <w:szCs w:val="30"/>
          <w:lang w:val="en-US" w:eastAsia="zh-CN"/>
        </w:rPr>
        <w:t>30</w:t>
      </w:r>
      <w:r>
        <w:rPr>
          <w:rFonts w:hint="eastAsia" w:ascii="仿宋" w:hAnsi="仿宋" w:eastAsia="仿宋" w:cs="仿宋_GB2312"/>
          <w:kern w:val="0"/>
          <w:sz w:val="30"/>
          <w:szCs w:val="30"/>
        </w:rPr>
        <w:t>辆、特种专业技术用车</w:t>
      </w:r>
      <w:r>
        <w:rPr>
          <w:rFonts w:hint="eastAsia" w:ascii="仿宋" w:hAnsi="仿宋" w:eastAsia="仿宋" w:cs="仿宋_GB2312"/>
          <w:kern w:val="0"/>
          <w:sz w:val="30"/>
          <w:szCs w:val="30"/>
          <w:lang w:val="en-US" w:eastAsia="zh-CN"/>
        </w:rPr>
        <w:t>11</w:t>
      </w:r>
      <w:r>
        <w:rPr>
          <w:rFonts w:hint="eastAsia" w:ascii="仿宋" w:hAnsi="仿宋" w:eastAsia="仿宋" w:cs="仿宋_GB2312"/>
          <w:kern w:val="0"/>
          <w:sz w:val="30"/>
          <w:szCs w:val="30"/>
        </w:rPr>
        <w:t>辆；单位价值</w:t>
      </w:r>
      <w:r>
        <w:rPr>
          <w:rFonts w:ascii="仿宋" w:hAnsi="仿宋" w:eastAsia="仿宋" w:cs="仿宋_GB2312"/>
          <w:kern w:val="0"/>
          <w:sz w:val="30"/>
          <w:szCs w:val="30"/>
        </w:rPr>
        <w:t>50</w:t>
      </w:r>
      <w:r>
        <w:rPr>
          <w:rFonts w:hint="eastAsia" w:ascii="仿宋" w:hAnsi="仿宋" w:eastAsia="仿宋" w:cs="仿宋_GB2312"/>
          <w:kern w:val="0"/>
          <w:sz w:val="30"/>
          <w:szCs w:val="30"/>
        </w:rPr>
        <w:t>万元以上通用设备</w:t>
      </w:r>
      <w:r>
        <w:rPr>
          <w:rFonts w:hint="eastAsia" w:ascii="仿宋" w:hAnsi="仿宋" w:eastAsia="仿宋" w:cs="仿宋_GB2312"/>
          <w:kern w:val="0"/>
          <w:sz w:val="30"/>
          <w:szCs w:val="30"/>
          <w:lang w:val="en-US" w:eastAsia="zh-CN"/>
        </w:rPr>
        <w:t>1</w:t>
      </w:r>
      <w:r>
        <w:rPr>
          <w:rFonts w:hint="eastAsia" w:ascii="仿宋" w:hAnsi="仿宋" w:eastAsia="仿宋" w:cs="仿宋_GB2312"/>
          <w:kern w:val="0"/>
          <w:sz w:val="30"/>
          <w:szCs w:val="30"/>
        </w:rPr>
        <w:t>台（套），单价</w:t>
      </w:r>
      <w:r>
        <w:rPr>
          <w:rFonts w:ascii="仿宋" w:hAnsi="仿宋" w:eastAsia="仿宋" w:cs="仿宋_GB2312"/>
          <w:kern w:val="0"/>
          <w:sz w:val="30"/>
          <w:szCs w:val="30"/>
        </w:rPr>
        <w:t>100</w:t>
      </w:r>
      <w:r>
        <w:rPr>
          <w:rFonts w:hint="eastAsia" w:ascii="仿宋" w:hAnsi="仿宋" w:eastAsia="仿宋" w:cs="仿宋_GB2312"/>
          <w:kern w:val="0"/>
          <w:sz w:val="30"/>
          <w:szCs w:val="30"/>
        </w:rPr>
        <w:t>万元以上专用设备</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台（套）。</w:t>
      </w:r>
    </w:p>
    <w:p>
      <w:pPr>
        <w:widowControl/>
        <w:spacing w:line="600" w:lineRule="exact"/>
        <w:ind w:firstLine="640"/>
        <w:jc w:val="center"/>
        <w:rPr>
          <w:rFonts w:hint="eastAsia" w:ascii="仿宋" w:hAnsi="仿宋" w:eastAsia="仿宋"/>
          <w:kern w:val="0"/>
          <w:sz w:val="30"/>
          <w:szCs w:val="30"/>
        </w:rPr>
      </w:pPr>
      <w:r>
        <w:rPr>
          <w:rFonts w:hint="eastAsia" w:ascii="宋体" w:hAnsi="宋体"/>
          <w:b/>
          <w:sz w:val="32"/>
          <w:szCs w:val="32"/>
        </w:rPr>
        <w:t>第四部分  名词解释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firstLine="600" w:firstLineChars="200"/>
        <w:jc w:val="left"/>
        <w:rPr>
          <w:rFonts w:hint="eastAsia" w:ascii="仿宋" w:hAnsi="仿宋" w:eastAsia="仿宋" w:cstheme="minorBidi"/>
          <w:kern w:val="0"/>
          <w:sz w:val="30"/>
          <w:szCs w:val="30"/>
          <w:lang w:val="en-US" w:eastAsia="zh-CN" w:bidi="ar-SA"/>
        </w:rPr>
      </w:pPr>
      <w:r>
        <w:rPr>
          <w:rFonts w:hint="eastAsia" w:ascii="仿宋" w:hAnsi="仿宋" w:eastAsia="仿宋" w:cstheme="minorBidi"/>
          <w:kern w:val="0"/>
          <w:sz w:val="30"/>
          <w:szCs w:val="30"/>
          <w:lang w:val="en-US" w:eastAsia="zh-CN" w:bidi="ar-SA"/>
        </w:rPr>
        <w:t>一、机关运行经费：是指各部门的公用经费，包括办公及印刷费、邮电费、差旅费、会议费、福利费、日常维修费、专用材料及一般设备购置费、办公用房水电费、办公用房取暖费、办公用房物业管理费、公务用车运行维护费及其他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firstLine="600" w:firstLineChars="200"/>
        <w:jc w:val="left"/>
        <w:rPr>
          <w:rFonts w:hint="eastAsia" w:ascii="仿宋" w:hAnsi="仿宋" w:eastAsia="仿宋" w:cstheme="minorBidi"/>
          <w:kern w:val="0"/>
          <w:sz w:val="30"/>
          <w:szCs w:val="30"/>
          <w:lang w:val="en-US" w:eastAsia="zh-CN" w:bidi="ar-SA"/>
        </w:rPr>
      </w:pPr>
      <w:r>
        <w:rPr>
          <w:rFonts w:hint="eastAsia" w:ascii="仿宋" w:hAnsi="仿宋" w:eastAsia="仿宋" w:cstheme="minorBidi"/>
          <w:kern w:val="0"/>
          <w:sz w:val="30"/>
          <w:szCs w:val="30"/>
          <w:lang w:val="en-US" w:eastAsia="zh-CN" w:bidi="ar-SA"/>
        </w:rPr>
        <w:t>二、“三公经费”：纳入省财政预算管理的“三公”经费，是指用一般公共预算拨款安排的公务接待费、公务用车购置及运行维护费和因公出国（境）费。其中，公务接待费反映单位按规定开支的各类接待支出；公务用车购置及运行费反映单位公务用车车辆购置支出（含车辆购置税），以及燃料费、维修费、保险费等支出；因公出国（境）费反映单位公务出国（境）的国际旅游费、国外城市间交通费、食宿费等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firstLine="600" w:firstLineChars="200"/>
        <w:jc w:val="left"/>
        <w:rPr>
          <w:rFonts w:hint="eastAsia" w:ascii="仿宋" w:hAnsi="仿宋" w:eastAsia="仿宋" w:cstheme="minorBidi"/>
          <w:kern w:val="0"/>
          <w:sz w:val="30"/>
          <w:szCs w:val="30"/>
          <w:lang w:val="en-US" w:eastAsia="zh-CN" w:bidi="ar-S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jc w:val="left"/>
        <w:rPr>
          <w:rFonts w:hint="eastAsia" w:ascii="仿宋" w:hAnsi="仿宋" w:eastAsia="仿宋" w:cstheme="minorBidi"/>
          <w:kern w:val="0"/>
          <w:sz w:val="30"/>
          <w:szCs w:val="30"/>
          <w:lang w:val="en-US" w:eastAsia="zh-CN" w:bidi="ar-SA"/>
        </w:rPr>
      </w:pPr>
      <w:bookmarkStart w:id="0" w:name="_GoBack"/>
      <w:bookmarkEnd w:id="0"/>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B1B69C"/>
    <w:multiLevelType w:val="singleLevel"/>
    <w:tmpl w:val="9CB1B69C"/>
    <w:lvl w:ilvl="0" w:tentative="0">
      <w:start w:val="2"/>
      <w:numFmt w:val="chineseCounting"/>
      <w:suff w:val="space"/>
      <w:lvlText w:val="第%1部分"/>
      <w:lvlJc w:val="left"/>
      <w:rPr>
        <w:rFonts w:hint="eastAsia"/>
      </w:rPr>
    </w:lvl>
  </w:abstractNum>
  <w:abstractNum w:abstractNumId="1">
    <w:nsid w:val="6A25F9AE"/>
    <w:multiLevelType w:val="singleLevel"/>
    <w:tmpl w:val="6A25F9AE"/>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3A8"/>
    <w:rsid w:val="005903A8"/>
    <w:rsid w:val="1AEE3BC3"/>
    <w:rsid w:val="1C68633E"/>
    <w:rsid w:val="24704227"/>
    <w:rsid w:val="2F3B2FEE"/>
    <w:rsid w:val="356F7430"/>
    <w:rsid w:val="363F66E9"/>
    <w:rsid w:val="36F22925"/>
    <w:rsid w:val="38440A3B"/>
    <w:rsid w:val="3E9637CA"/>
    <w:rsid w:val="407A2DAF"/>
    <w:rsid w:val="47154D03"/>
    <w:rsid w:val="4B8F4DDF"/>
    <w:rsid w:val="4F9E201B"/>
    <w:rsid w:val="531D25D2"/>
    <w:rsid w:val="5A5666C5"/>
    <w:rsid w:val="5E2C4F1C"/>
    <w:rsid w:val="6EF60628"/>
    <w:rsid w:val="772D184C"/>
    <w:rsid w:val="79727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2019-11-05T07:27:00Z</dcterms:created>
  <dc:creator>Administrator</dc:creator>
  <cp:lastModifiedBy>Administrator</cp:lastModifiedBy>
  <dcterms:modified xsi:type="dcterms:W3CDTF">2019-11-13T03:57:25Z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