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FA1" w:rsidRDefault="008D4FA1" w:rsidP="008D4FA1">
      <w:pPr>
        <w:spacing w:line="600" w:lineRule="exact"/>
        <w:jc w:val="center"/>
        <w:rPr>
          <w:rFonts w:ascii="黑体" w:eastAsia="黑体"/>
          <w:sz w:val="44"/>
          <w:szCs w:val="36"/>
        </w:rPr>
      </w:pPr>
      <w:r>
        <w:rPr>
          <w:rFonts w:ascii="黑体" w:eastAsia="黑体" w:hint="eastAsia"/>
          <w:sz w:val="44"/>
          <w:szCs w:val="36"/>
        </w:rPr>
        <w:t>商务局2019年度部门决算</w:t>
      </w:r>
    </w:p>
    <w:p w:rsidR="008D4FA1" w:rsidRDefault="008D4FA1" w:rsidP="008D4FA1">
      <w:pPr>
        <w:widowControl/>
        <w:spacing w:line="580" w:lineRule="exact"/>
        <w:jc w:val="center"/>
        <w:rPr>
          <w:rFonts w:ascii="宋体" w:hAnsi="宋体"/>
          <w:b/>
          <w:sz w:val="32"/>
          <w:szCs w:val="30"/>
        </w:rPr>
      </w:pPr>
      <w:r>
        <w:rPr>
          <w:rFonts w:ascii="宋体" w:hAnsi="宋体" w:hint="eastAsia"/>
          <w:b/>
          <w:sz w:val="32"/>
          <w:szCs w:val="30"/>
        </w:rPr>
        <w:t xml:space="preserve">第一部分 </w:t>
      </w:r>
      <w:r>
        <w:rPr>
          <w:rFonts w:ascii="宋体" w:hAnsi="宋体" w:hint="eastAsia"/>
          <w:b/>
          <w:sz w:val="32"/>
          <w:szCs w:val="32"/>
        </w:rPr>
        <w:t>商务局</w:t>
      </w:r>
      <w:r>
        <w:rPr>
          <w:rFonts w:ascii="宋体" w:hAnsi="宋体" w:hint="eastAsia"/>
          <w:b/>
          <w:sz w:val="32"/>
          <w:szCs w:val="30"/>
        </w:rPr>
        <w:t>概况</w:t>
      </w:r>
    </w:p>
    <w:p w:rsidR="008D4FA1" w:rsidRDefault="008D4FA1" w:rsidP="008D4FA1">
      <w:pPr>
        <w:ind w:firstLine="630"/>
        <w:jc w:val="left"/>
        <w:rPr>
          <w:rFonts w:ascii="黑体" w:eastAsia="黑体" w:hAnsi="黑体"/>
          <w:sz w:val="30"/>
          <w:szCs w:val="30"/>
        </w:rPr>
      </w:pPr>
      <w:r>
        <w:rPr>
          <w:rFonts w:ascii="黑体" w:eastAsia="黑体" w:hAnsi="黑体" w:hint="eastAsia"/>
          <w:sz w:val="30"/>
          <w:szCs w:val="30"/>
        </w:rPr>
        <w:t>一、部门主要职能</w:t>
      </w:r>
    </w:p>
    <w:p w:rsidR="008D4FA1" w:rsidRPr="004D509B" w:rsidRDefault="008D4FA1" w:rsidP="008D4FA1">
      <w:pPr>
        <w:widowControl/>
        <w:spacing w:line="600" w:lineRule="exact"/>
        <w:ind w:firstLineChars="200" w:firstLine="600"/>
        <w:jc w:val="left"/>
        <w:rPr>
          <w:rFonts w:ascii="仿宋" w:eastAsia="仿宋" w:hAnsi="仿宋"/>
          <w:sz w:val="30"/>
          <w:szCs w:val="30"/>
        </w:rPr>
      </w:pPr>
      <w:r w:rsidRPr="004D509B">
        <w:rPr>
          <w:rFonts w:ascii="仿宋" w:eastAsia="仿宋" w:hAnsi="仿宋" w:hint="eastAsia"/>
          <w:sz w:val="30"/>
          <w:szCs w:val="30"/>
        </w:rPr>
        <w:t>市商务局是贯彻执行国家、省关于外贸、外经、外资、商品流通和商贸服务业的法律、法规和方针政策，组织实施利用外资、引进内资、国内外贸易、对外经济合作相关统计、考核和奖惩工作；负责指导、协调、管理全市外资、外贸、外经工作；负责统筹全市招商引资工作；负责推动流通标准化连锁经营、特许经营、物流配送、电子商务等现代流通方式的发展；负责城乡商贸统筹发展工作；承担牵头协调整顿和规范市场经济秩序工作；负责商贸流通行业监督管理；明确安全生产监督管理职责；负责监督归口管理的市国有商业资产的运营；完成市委、市政府交办的其他任务。</w:t>
      </w:r>
    </w:p>
    <w:p w:rsidR="008D4FA1" w:rsidRPr="004D509B" w:rsidRDefault="008D4FA1" w:rsidP="008D4FA1">
      <w:pPr>
        <w:widowControl/>
        <w:snapToGrid w:val="0"/>
        <w:spacing w:line="520" w:lineRule="exact"/>
        <w:ind w:left="640"/>
        <w:jc w:val="left"/>
        <w:rPr>
          <w:rFonts w:ascii="仿宋" w:eastAsia="仿宋" w:hAnsi="仿宋"/>
          <w:sz w:val="30"/>
          <w:szCs w:val="30"/>
        </w:rPr>
      </w:pPr>
      <w:r w:rsidRPr="004D509B">
        <w:rPr>
          <w:rFonts w:ascii="仿宋" w:eastAsia="仿宋" w:hAnsi="仿宋" w:hint="eastAsia"/>
          <w:sz w:val="30"/>
          <w:szCs w:val="30"/>
        </w:rPr>
        <w:t>二、部门基本情况。</w:t>
      </w:r>
    </w:p>
    <w:p w:rsidR="008D4FA1" w:rsidRPr="004D509B" w:rsidRDefault="008D4FA1" w:rsidP="004D509B">
      <w:pPr>
        <w:widowControl/>
        <w:snapToGrid w:val="0"/>
        <w:spacing w:line="520" w:lineRule="exact"/>
        <w:ind w:firstLineChars="200" w:firstLine="600"/>
        <w:jc w:val="left"/>
        <w:rPr>
          <w:rFonts w:ascii="仿宋" w:eastAsia="仿宋" w:hAnsi="仿宋"/>
          <w:sz w:val="30"/>
          <w:szCs w:val="30"/>
        </w:rPr>
      </w:pPr>
      <w:r w:rsidRPr="004D509B">
        <w:rPr>
          <w:rFonts w:ascii="仿宋" w:eastAsia="仿宋" w:hAnsi="仿宋" w:hint="eastAsia"/>
          <w:sz w:val="30"/>
          <w:szCs w:val="30"/>
        </w:rPr>
        <w:t>纳入本套部门决算汇编范围的单位共有1个，包括局本级和下属副科级事业单位一个，事业单位未独立核算。</w:t>
      </w:r>
    </w:p>
    <w:p w:rsidR="008D4FA1" w:rsidRPr="004D509B" w:rsidRDefault="008D4FA1" w:rsidP="004D509B">
      <w:pPr>
        <w:widowControl/>
        <w:snapToGrid w:val="0"/>
        <w:spacing w:line="520" w:lineRule="exact"/>
        <w:ind w:firstLineChars="200" w:firstLine="600"/>
        <w:jc w:val="left"/>
        <w:rPr>
          <w:rFonts w:ascii="仿宋" w:eastAsia="仿宋" w:hAnsi="仿宋"/>
          <w:sz w:val="30"/>
          <w:szCs w:val="30"/>
        </w:rPr>
      </w:pPr>
      <w:r w:rsidRPr="004D509B">
        <w:rPr>
          <w:rFonts w:ascii="仿宋" w:eastAsia="仿宋" w:hAnsi="仿宋" w:hint="eastAsia"/>
          <w:sz w:val="30"/>
          <w:szCs w:val="30"/>
        </w:rPr>
        <w:t>本部门2019年年末实有人数19人，其中：在职人数14人，包括行政人员10人、全部补助事业人员4人，离休人员1人；退休人员4人。</w:t>
      </w:r>
    </w:p>
    <w:p w:rsidR="008D4FA1" w:rsidRDefault="008D4FA1" w:rsidP="008D4FA1">
      <w:pPr>
        <w:ind w:firstLine="630"/>
        <w:jc w:val="left"/>
        <w:rPr>
          <w:rFonts w:ascii="仿宋" w:eastAsia="仿宋" w:hAnsi="仿宋"/>
          <w:sz w:val="30"/>
          <w:szCs w:val="30"/>
        </w:rPr>
      </w:pPr>
    </w:p>
    <w:p w:rsidR="008D4FA1" w:rsidRPr="004D509B" w:rsidRDefault="008D4FA1" w:rsidP="008D4FA1">
      <w:pPr>
        <w:widowControl/>
        <w:spacing w:line="600" w:lineRule="exact"/>
        <w:ind w:firstLine="640"/>
        <w:jc w:val="center"/>
        <w:rPr>
          <w:rFonts w:ascii="仿宋" w:eastAsia="仿宋" w:hAnsi="仿宋"/>
          <w:sz w:val="30"/>
          <w:szCs w:val="30"/>
        </w:rPr>
      </w:pPr>
    </w:p>
    <w:p w:rsidR="008D4FA1" w:rsidRDefault="008D4FA1" w:rsidP="008D4FA1">
      <w:pPr>
        <w:widowControl/>
        <w:spacing w:line="600" w:lineRule="exact"/>
        <w:ind w:firstLine="640"/>
        <w:jc w:val="center"/>
        <w:rPr>
          <w:rFonts w:ascii="宋体" w:hAnsi="宋体"/>
          <w:b/>
          <w:sz w:val="32"/>
          <w:szCs w:val="32"/>
        </w:rPr>
      </w:pPr>
      <w:r>
        <w:rPr>
          <w:rFonts w:ascii="宋体" w:hAnsi="宋体" w:hint="eastAsia"/>
          <w:b/>
          <w:sz w:val="32"/>
          <w:szCs w:val="32"/>
        </w:rPr>
        <w:t>第二部分  2019年度部门决算表</w:t>
      </w:r>
    </w:p>
    <w:p w:rsidR="008D4FA1" w:rsidRDefault="008D4FA1" w:rsidP="008D4FA1">
      <w:pPr>
        <w:autoSpaceDE w:val="0"/>
        <w:autoSpaceDN w:val="0"/>
        <w:adjustRightInd w:val="0"/>
        <w:spacing w:line="360" w:lineRule="auto"/>
        <w:jc w:val="left"/>
        <w:rPr>
          <w:szCs w:val="30"/>
        </w:rPr>
      </w:pPr>
    </w:p>
    <w:p w:rsidR="008D4FA1" w:rsidRDefault="008D4FA1" w:rsidP="00BF3FF2">
      <w:pPr>
        <w:rPr>
          <w:szCs w:val="30"/>
        </w:rPr>
      </w:pPr>
    </w:p>
    <w:p w:rsidR="008D4FA1" w:rsidRDefault="007F38B6" w:rsidP="008D4FA1">
      <w:pPr>
        <w:autoSpaceDE w:val="0"/>
        <w:autoSpaceDN w:val="0"/>
        <w:adjustRightInd w:val="0"/>
        <w:spacing w:line="360" w:lineRule="auto"/>
        <w:jc w:val="left"/>
        <w:rPr>
          <w:rFonts w:ascii="仿宋" w:eastAsia="仿宋" w:hAnsi="仿宋" w:cs="仿宋_GB2312" w:hint="eastAsia"/>
          <w:kern w:val="0"/>
          <w:sz w:val="30"/>
          <w:szCs w:val="30"/>
        </w:rPr>
      </w:pPr>
      <w:r>
        <w:rPr>
          <w:rFonts w:ascii="仿宋" w:eastAsia="仿宋" w:hAnsi="仿宋" w:cs="仿宋_GB2312"/>
          <w:noProof/>
          <w:kern w:val="0"/>
          <w:sz w:val="30"/>
          <w:szCs w:val="30"/>
        </w:rPr>
        <w:lastRenderedPageBreak/>
        <w:drawing>
          <wp:inline distT="0" distB="0" distL="0" distR="0">
            <wp:extent cx="5267325" cy="4791075"/>
            <wp:effectExtent l="19050" t="0" r="9525" b="0"/>
            <wp:docPr id="2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srcRect/>
                    <a:stretch>
                      <a:fillRect/>
                    </a:stretch>
                  </pic:blipFill>
                  <pic:spPr bwMode="auto">
                    <a:xfrm>
                      <a:off x="0" y="0"/>
                      <a:ext cx="5267325" cy="4791075"/>
                    </a:xfrm>
                    <a:prstGeom prst="rect">
                      <a:avLst/>
                    </a:prstGeom>
                    <a:noFill/>
                    <a:ln w="9525">
                      <a:noFill/>
                      <a:miter lim="800000"/>
                      <a:headEnd/>
                      <a:tailEnd/>
                    </a:ln>
                  </pic:spPr>
                </pic:pic>
              </a:graphicData>
            </a:graphic>
          </wp:inline>
        </w:drawing>
      </w:r>
    </w:p>
    <w:p w:rsidR="007F38B6" w:rsidRDefault="007F38B6" w:rsidP="008D4FA1">
      <w:pPr>
        <w:autoSpaceDE w:val="0"/>
        <w:autoSpaceDN w:val="0"/>
        <w:adjustRightInd w:val="0"/>
        <w:spacing w:line="360" w:lineRule="auto"/>
        <w:jc w:val="left"/>
        <w:rPr>
          <w:rFonts w:ascii="仿宋" w:eastAsia="仿宋" w:hAnsi="仿宋" w:cs="仿宋_GB2312" w:hint="eastAsia"/>
          <w:kern w:val="0"/>
          <w:sz w:val="30"/>
          <w:szCs w:val="30"/>
        </w:rPr>
      </w:pPr>
    </w:p>
    <w:p w:rsidR="007F38B6" w:rsidRDefault="007F38B6" w:rsidP="008D4FA1">
      <w:pPr>
        <w:autoSpaceDE w:val="0"/>
        <w:autoSpaceDN w:val="0"/>
        <w:adjustRightInd w:val="0"/>
        <w:spacing w:line="360" w:lineRule="auto"/>
        <w:jc w:val="left"/>
        <w:rPr>
          <w:rFonts w:ascii="仿宋" w:eastAsia="仿宋" w:hAnsi="仿宋" w:cs="仿宋_GB2312" w:hint="eastAsia"/>
          <w:kern w:val="0"/>
          <w:sz w:val="30"/>
          <w:szCs w:val="30"/>
        </w:rPr>
      </w:pPr>
    </w:p>
    <w:p w:rsidR="007F38B6" w:rsidRDefault="007F38B6" w:rsidP="008D4FA1">
      <w:pPr>
        <w:autoSpaceDE w:val="0"/>
        <w:autoSpaceDN w:val="0"/>
        <w:adjustRightInd w:val="0"/>
        <w:spacing w:line="360" w:lineRule="auto"/>
        <w:jc w:val="left"/>
        <w:rPr>
          <w:rFonts w:ascii="仿宋" w:eastAsia="仿宋" w:hAnsi="仿宋" w:cs="仿宋_GB2312"/>
          <w:kern w:val="0"/>
          <w:sz w:val="30"/>
          <w:szCs w:val="30"/>
        </w:rPr>
      </w:pPr>
    </w:p>
    <w:p w:rsidR="008D4FA1" w:rsidRDefault="008D4FA1" w:rsidP="008D4FA1">
      <w:pPr>
        <w:autoSpaceDE w:val="0"/>
        <w:autoSpaceDN w:val="0"/>
        <w:adjustRightInd w:val="0"/>
        <w:spacing w:line="360" w:lineRule="auto"/>
        <w:jc w:val="left"/>
      </w:pPr>
      <w:r>
        <w:rPr>
          <w:rFonts w:ascii="仿宋" w:eastAsia="仿宋" w:hAnsi="仿宋" w:cs="仿宋_GB2312" w:hint="eastAsia"/>
          <w:kern w:val="0"/>
          <w:sz w:val="30"/>
          <w:szCs w:val="30"/>
        </w:rPr>
        <w:t xml:space="preserve"> </w:t>
      </w:r>
    </w:p>
    <w:p w:rsidR="008D4FA1" w:rsidRDefault="007F38B6" w:rsidP="008D4FA1">
      <w:pPr>
        <w:autoSpaceDE w:val="0"/>
        <w:autoSpaceDN w:val="0"/>
        <w:adjustRightInd w:val="0"/>
        <w:spacing w:line="360" w:lineRule="auto"/>
        <w:jc w:val="left"/>
        <w:rPr>
          <w:rFonts w:hint="eastAsia"/>
        </w:rPr>
      </w:pPr>
      <w:r>
        <w:rPr>
          <w:rFonts w:hint="eastAsia"/>
          <w:noProof/>
        </w:rPr>
        <w:drawing>
          <wp:inline distT="0" distB="0" distL="0" distR="0">
            <wp:extent cx="5267325" cy="2266950"/>
            <wp:effectExtent l="19050" t="0" r="9525" b="0"/>
            <wp:docPr id="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5267325" cy="2266950"/>
                    </a:xfrm>
                    <a:prstGeom prst="rect">
                      <a:avLst/>
                    </a:prstGeom>
                    <a:noFill/>
                    <a:ln w="9525">
                      <a:noFill/>
                      <a:miter lim="800000"/>
                      <a:headEnd/>
                      <a:tailEnd/>
                    </a:ln>
                  </pic:spPr>
                </pic:pic>
              </a:graphicData>
            </a:graphic>
          </wp:inline>
        </w:drawing>
      </w:r>
    </w:p>
    <w:p w:rsidR="00D002CF" w:rsidRDefault="00D002CF" w:rsidP="008D4FA1">
      <w:pPr>
        <w:autoSpaceDE w:val="0"/>
        <w:autoSpaceDN w:val="0"/>
        <w:adjustRightInd w:val="0"/>
        <w:spacing w:line="360" w:lineRule="auto"/>
        <w:jc w:val="left"/>
        <w:rPr>
          <w:rFonts w:hint="eastAsia"/>
        </w:rPr>
      </w:pPr>
    </w:p>
    <w:p w:rsidR="00D002CF" w:rsidRDefault="00D002CF" w:rsidP="008D4FA1">
      <w:pPr>
        <w:autoSpaceDE w:val="0"/>
        <w:autoSpaceDN w:val="0"/>
        <w:adjustRightInd w:val="0"/>
        <w:spacing w:line="360" w:lineRule="auto"/>
        <w:jc w:val="left"/>
        <w:rPr>
          <w:rFonts w:hint="eastAsia"/>
        </w:rPr>
      </w:pPr>
    </w:p>
    <w:p w:rsidR="00D002CF" w:rsidRDefault="00D002CF" w:rsidP="008D4FA1">
      <w:pPr>
        <w:autoSpaceDE w:val="0"/>
        <w:autoSpaceDN w:val="0"/>
        <w:adjustRightInd w:val="0"/>
        <w:spacing w:line="360" w:lineRule="auto"/>
        <w:jc w:val="left"/>
      </w:pPr>
    </w:p>
    <w:p w:rsidR="008D4FA1" w:rsidRDefault="008D4FA1" w:rsidP="008D4FA1">
      <w:pPr>
        <w:autoSpaceDE w:val="0"/>
        <w:autoSpaceDN w:val="0"/>
        <w:adjustRightInd w:val="0"/>
        <w:spacing w:line="360" w:lineRule="auto"/>
        <w:jc w:val="left"/>
      </w:pPr>
    </w:p>
    <w:p w:rsidR="008D4FA1" w:rsidRDefault="008D4FA1" w:rsidP="008D4FA1">
      <w:pPr>
        <w:autoSpaceDE w:val="0"/>
        <w:autoSpaceDN w:val="0"/>
        <w:adjustRightInd w:val="0"/>
        <w:spacing w:line="360" w:lineRule="auto"/>
        <w:jc w:val="left"/>
        <w:rPr>
          <w:rFonts w:ascii="仿宋" w:eastAsia="仿宋" w:hAnsi="仿宋" w:cs="仿宋_GB2312"/>
          <w:kern w:val="0"/>
          <w:sz w:val="30"/>
          <w:szCs w:val="30"/>
        </w:rPr>
      </w:pPr>
    </w:p>
    <w:p w:rsidR="008D4FA1" w:rsidRDefault="008D4FA1" w:rsidP="008D4FA1">
      <w:pPr>
        <w:autoSpaceDE w:val="0"/>
        <w:autoSpaceDN w:val="0"/>
        <w:adjustRightInd w:val="0"/>
        <w:spacing w:line="360" w:lineRule="auto"/>
        <w:jc w:val="left"/>
        <w:rPr>
          <w:szCs w:val="30"/>
        </w:rPr>
      </w:pPr>
    </w:p>
    <w:p w:rsidR="008D4FA1" w:rsidRDefault="007F38B6" w:rsidP="008D4FA1">
      <w:pPr>
        <w:autoSpaceDE w:val="0"/>
        <w:autoSpaceDN w:val="0"/>
        <w:adjustRightInd w:val="0"/>
        <w:spacing w:line="360" w:lineRule="auto"/>
        <w:jc w:val="left"/>
        <w:rPr>
          <w:szCs w:val="30"/>
        </w:rPr>
      </w:pPr>
      <w:r>
        <w:rPr>
          <w:noProof/>
          <w:szCs w:val="30"/>
        </w:rPr>
        <w:drawing>
          <wp:inline distT="0" distB="0" distL="0" distR="0">
            <wp:extent cx="5267325" cy="3086100"/>
            <wp:effectExtent l="19050" t="0" r="9525" b="0"/>
            <wp:docPr id="2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srcRect/>
                    <a:stretch>
                      <a:fillRect/>
                    </a:stretch>
                  </pic:blipFill>
                  <pic:spPr bwMode="auto">
                    <a:xfrm>
                      <a:off x="0" y="0"/>
                      <a:ext cx="5267325" cy="3086100"/>
                    </a:xfrm>
                    <a:prstGeom prst="rect">
                      <a:avLst/>
                    </a:prstGeom>
                    <a:noFill/>
                    <a:ln w="9525">
                      <a:noFill/>
                      <a:miter lim="800000"/>
                      <a:headEnd/>
                      <a:tailEnd/>
                    </a:ln>
                  </pic:spPr>
                </pic:pic>
              </a:graphicData>
            </a:graphic>
          </wp:inline>
        </w:drawing>
      </w:r>
    </w:p>
    <w:p w:rsidR="008D4FA1" w:rsidRDefault="007F38B6" w:rsidP="008D4FA1">
      <w:pPr>
        <w:autoSpaceDE w:val="0"/>
        <w:autoSpaceDN w:val="0"/>
        <w:adjustRightInd w:val="0"/>
        <w:spacing w:line="360" w:lineRule="auto"/>
        <w:jc w:val="left"/>
        <w:rPr>
          <w:rFonts w:ascii="仿宋" w:eastAsia="仿宋" w:hAnsi="仿宋" w:cs="仿宋_GB2312"/>
          <w:kern w:val="0"/>
          <w:sz w:val="30"/>
          <w:szCs w:val="30"/>
        </w:rPr>
      </w:pPr>
      <w:r>
        <w:rPr>
          <w:rFonts w:ascii="仿宋" w:eastAsia="仿宋" w:hAnsi="仿宋" w:cs="仿宋_GB2312"/>
          <w:noProof/>
          <w:kern w:val="0"/>
          <w:sz w:val="30"/>
          <w:szCs w:val="30"/>
        </w:rPr>
        <w:lastRenderedPageBreak/>
        <w:drawing>
          <wp:inline distT="0" distB="0" distL="0" distR="0">
            <wp:extent cx="5267325" cy="4210050"/>
            <wp:effectExtent l="19050" t="0" r="9525" b="0"/>
            <wp:docPr id="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srcRect/>
                    <a:stretch>
                      <a:fillRect/>
                    </a:stretch>
                  </pic:blipFill>
                  <pic:spPr bwMode="auto">
                    <a:xfrm>
                      <a:off x="0" y="0"/>
                      <a:ext cx="5267325" cy="4210050"/>
                    </a:xfrm>
                    <a:prstGeom prst="rect">
                      <a:avLst/>
                    </a:prstGeom>
                    <a:noFill/>
                    <a:ln w="9525">
                      <a:noFill/>
                      <a:miter lim="800000"/>
                      <a:headEnd/>
                      <a:tailEnd/>
                    </a:ln>
                  </pic:spPr>
                </pic:pic>
              </a:graphicData>
            </a:graphic>
          </wp:inline>
        </w:drawing>
      </w:r>
    </w:p>
    <w:p w:rsidR="008D4FA1" w:rsidRDefault="007F38B6" w:rsidP="008D4FA1">
      <w:pPr>
        <w:autoSpaceDE w:val="0"/>
        <w:autoSpaceDN w:val="0"/>
        <w:adjustRightInd w:val="0"/>
        <w:spacing w:line="360" w:lineRule="auto"/>
        <w:jc w:val="left"/>
        <w:rPr>
          <w:rFonts w:ascii="仿宋" w:eastAsia="仿宋" w:hAnsi="仿宋" w:cs="仿宋_GB2312"/>
          <w:kern w:val="0"/>
          <w:sz w:val="30"/>
          <w:szCs w:val="30"/>
        </w:rPr>
      </w:pPr>
      <w:r>
        <w:rPr>
          <w:noProof/>
        </w:rPr>
        <w:lastRenderedPageBreak/>
        <w:drawing>
          <wp:inline distT="0" distB="0" distL="0" distR="0">
            <wp:extent cx="5267325" cy="4572000"/>
            <wp:effectExtent l="19050" t="0" r="9525" b="0"/>
            <wp:docPr id="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srcRect/>
                    <a:stretch>
                      <a:fillRect/>
                    </a:stretch>
                  </pic:blipFill>
                  <pic:spPr bwMode="auto">
                    <a:xfrm>
                      <a:off x="0" y="0"/>
                      <a:ext cx="5267325" cy="4572000"/>
                    </a:xfrm>
                    <a:prstGeom prst="rect">
                      <a:avLst/>
                    </a:prstGeom>
                    <a:noFill/>
                    <a:ln w="9525">
                      <a:noFill/>
                      <a:miter lim="800000"/>
                      <a:headEnd/>
                      <a:tailEnd/>
                    </a:ln>
                  </pic:spPr>
                </pic:pic>
              </a:graphicData>
            </a:graphic>
          </wp:inline>
        </w:drawing>
      </w:r>
    </w:p>
    <w:p w:rsidR="008D4FA1" w:rsidRDefault="00C64A25" w:rsidP="008D4FA1">
      <w:pPr>
        <w:autoSpaceDE w:val="0"/>
        <w:autoSpaceDN w:val="0"/>
        <w:adjustRightInd w:val="0"/>
        <w:spacing w:line="360" w:lineRule="auto"/>
        <w:jc w:val="left"/>
        <w:rPr>
          <w:szCs w:val="30"/>
        </w:rPr>
      </w:pPr>
      <w:r>
        <w:rPr>
          <w:noProof/>
        </w:rPr>
        <w:lastRenderedPageBreak/>
        <w:drawing>
          <wp:inline distT="0" distB="0" distL="0" distR="0">
            <wp:extent cx="5267325" cy="8639175"/>
            <wp:effectExtent l="19050" t="0" r="9525" b="0"/>
            <wp:docPr id="1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5267325" cy="8639175"/>
                    </a:xfrm>
                    <a:prstGeom prst="rect">
                      <a:avLst/>
                    </a:prstGeom>
                    <a:noFill/>
                    <a:ln w="9525">
                      <a:noFill/>
                      <a:miter lim="800000"/>
                      <a:headEnd/>
                      <a:tailEnd/>
                    </a:ln>
                  </pic:spPr>
                </pic:pic>
              </a:graphicData>
            </a:graphic>
          </wp:inline>
        </w:drawing>
      </w:r>
    </w:p>
    <w:p w:rsidR="008D4FA1" w:rsidRDefault="007F38B6" w:rsidP="008D4FA1">
      <w:pPr>
        <w:autoSpaceDE w:val="0"/>
        <w:autoSpaceDN w:val="0"/>
        <w:adjustRightInd w:val="0"/>
        <w:spacing w:line="360" w:lineRule="auto"/>
        <w:jc w:val="left"/>
        <w:rPr>
          <w:szCs w:val="30"/>
        </w:rPr>
      </w:pPr>
      <w:r>
        <w:rPr>
          <w:noProof/>
        </w:rPr>
        <w:lastRenderedPageBreak/>
        <w:drawing>
          <wp:inline distT="0" distB="0" distL="0" distR="0">
            <wp:extent cx="5267325" cy="4371975"/>
            <wp:effectExtent l="19050" t="0" r="9525" b="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5267325" cy="4371975"/>
                    </a:xfrm>
                    <a:prstGeom prst="rect">
                      <a:avLst/>
                    </a:prstGeom>
                    <a:noFill/>
                    <a:ln w="9525">
                      <a:noFill/>
                      <a:miter lim="800000"/>
                      <a:headEnd/>
                      <a:tailEnd/>
                    </a:ln>
                  </pic:spPr>
                </pic:pic>
              </a:graphicData>
            </a:graphic>
          </wp:inline>
        </w:drawing>
      </w:r>
    </w:p>
    <w:p w:rsidR="008D4FA1" w:rsidRDefault="008D4FA1" w:rsidP="008D4FA1">
      <w:pPr>
        <w:autoSpaceDE w:val="0"/>
        <w:autoSpaceDN w:val="0"/>
        <w:adjustRightInd w:val="0"/>
        <w:spacing w:line="360" w:lineRule="auto"/>
        <w:jc w:val="left"/>
        <w:rPr>
          <w:szCs w:val="30"/>
        </w:rPr>
      </w:pPr>
    </w:p>
    <w:p w:rsidR="008D4FA1" w:rsidRDefault="008D4FA1" w:rsidP="008D4FA1">
      <w:pPr>
        <w:autoSpaceDE w:val="0"/>
        <w:autoSpaceDN w:val="0"/>
        <w:adjustRightInd w:val="0"/>
        <w:spacing w:line="360" w:lineRule="auto"/>
        <w:jc w:val="left"/>
        <w:rPr>
          <w:szCs w:val="30"/>
        </w:rPr>
      </w:pPr>
    </w:p>
    <w:p w:rsidR="008D4FA1" w:rsidRDefault="008D4FA1" w:rsidP="008D4FA1">
      <w:pPr>
        <w:autoSpaceDE w:val="0"/>
        <w:autoSpaceDN w:val="0"/>
        <w:adjustRightInd w:val="0"/>
        <w:spacing w:line="360" w:lineRule="auto"/>
        <w:jc w:val="left"/>
        <w:rPr>
          <w:szCs w:val="30"/>
        </w:rPr>
      </w:pPr>
      <w:r>
        <w:rPr>
          <w:noProof/>
        </w:rPr>
        <w:drawing>
          <wp:inline distT="0" distB="0" distL="0" distR="0">
            <wp:extent cx="5267960" cy="2292985"/>
            <wp:effectExtent l="19050" t="0" r="8890" b="0"/>
            <wp:docPr id="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4" cstate="print"/>
                    <a:srcRect/>
                    <a:stretch>
                      <a:fillRect/>
                    </a:stretch>
                  </pic:blipFill>
                  <pic:spPr bwMode="auto">
                    <a:xfrm>
                      <a:off x="0" y="0"/>
                      <a:ext cx="5267960" cy="2292985"/>
                    </a:xfrm>
                    <a:prstGeom prst="rect">
                      <a:avLst/>
                    </a:prstGeom>
                    <a:noFill/>
                    <a:ln w="9525">
                      <a:noFill/>
                      <a:miter lim="800000"/>
                      <a:headEnd/>
                      <a:tailEnd/>
                    </a:ln>
                  </pic:spPr>
                </pic:pic>
              </a:graphicData>
            </a:graphic>
          </wp:inline>
        </w:drawing>
      </w:r>
    </w:p>
    <w:p w:rsidR="008D4FA1" w:rsidRDefault="008D4FA1" w:rsidP="008D4FA1">
      <w:pPr>
        <w:autoSpaceDE w:val="0"/>
        <w:autoSpaceDN w:val="0"/>
        <w:adjustRightInd w:val="0"/>
        <w:spacing w:line="360" w:lineRule="auto"/>
        <w:jc w:val="left"/>
        <w:rPr>
          <w:szCs w:val="30"/>
        </w:rPr>
      </w:pPr>
    </w:p>
    <w:p w:rsidR="008D4FA1" w:rsidRDefault="008D4FA1" w:rsidP="008D4FA1">
      <w:pPr>
        <w:autoSpaceDE w:val="0"/>
        <w:autoSpaceDN w:val="0"/>
        <w:adjustRightInd w:val="0"/>
        <w:spacing w:line="360" w:lineRule="auto"/>
        <w:jc w:val="left"/>
        <w:rPr>
          <w:rFonts w:ascii="仿宋" w:eastAsia="仿宋" w:hAnsi="仿宋" w:cs="仿宋_GB2312"/>
          <w:kern w:val="0"/>
          <w:sz w:val="30"/>
          <w:szCs w:val="30"/>
        </w:rPr>
      </w:pPr>
      <w:r>
        <w:rPr>
          <w:noProof/>
        </w:rPr>
        <w:lastRenderedPageBreak/>
        <w:drawing>
          <wp:inline distT="0" distB="0" distL="0" distR="0">
            <wp:extent cx="5267960" cy="2934335"/>
            <wp:effectExtent l="19050" t="0" r="8890" b="0"/>
            <wp:docPr id="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5" cstate="print"/>
                    <a:srcRect/>
                    <a:stretch>
                      <a:fillRect/>
                    </a:stretch>
                  </pic:blipFill>
                  <pic:spPr bwMode="auto">
                    <a:xfrm>
                      <a:off x="0" y="0"/>
                      <a:ext cx="5267960" cy="2934335"/>
                    </a:xfrm>
                    <a:prstGeom prst="rect">
                      <a:avLst/>
                    </a:prstGeom>
                    <a:noFill/>
                    <a:ln w="9525">
                      <a:noFill/>
                      <a:miter lim="800000"/>
                      <a:headEnd/>
                      <a:tailEnd/>
                    </a:ln>
                  </pic:spPr>
                </pic:pic>
              </a:graphicData>
            </a:graphic>
          </wp:inline>
        </w:drawing>
      </w:r>
    </w:p>
    <w:p w:rsidR="008D4FA1" w:rsidRDefault="008D4FA1" w:rsidP="008D4FA1">
      <w:pPr>
        <w:widowControl/>
        <w:spacing w:line="600" w:lineRule="exact"/>
        <w:ind w:firstLine="640"/>
        <w:jc w:val="center"/>
        <w:rPr>
          <w:rFonts w:ascii="宋体" w:hAnsi="宋体"/>
          <w:b/>
          <w:sz w:val="32"/>
          <w:szCs w:val="32"/>
        </w:rPr>
      </w:pPr>
    </w:p>
    <w:p w:rsidR="008D4FA1" w:rsidRDefault="008D4FA1" w:rsidP="008D4FA1">
      <w:pPr>
        <w:widowControl/>
        <w:spacing w:line="600" w:lineRule="exact"/>
        <w:ind w:firstLine="640"/>
        <w:jc w:val="center"/>
        <w:rPr>
          <w:rFonts w:ascii="宋体" w:hAnsi="宋体"/>
          <w:b/>
          <w:sz w:val="32"/>
          <w:szCs w:val="32"/>
        </w:rPr>
      </w:pPr>
      <w:r>
        <w:rPr>
          <w:rFonts w:ascii="宋体" w:hAnsi="宋体" w:hint="eastAsia"/>
          <w:b/>
          <w:sz w:val="32"/>
          <w:szCs w:val="32"/>
        </w:rPr>
        <w:t>第三部分  2019年度部门决算情况说明</w:t>
      </w:r>
    </w:p>
    <w:p w:rsidR="008D4FA1" w:rsidRDefault="008D4FA1" w:rsidP="008D4FA1">
      <w:pPr>
        <w:ind w:firstLine="630"/>
        <w:jc w:val="left"/>
        <w:rPr>
          <w:rFonts w:ascii="仿宋" w:eastAsia="仿宋" w:hAnsi="仿宋"/>
          <w:sz w:val="30"/>
          <w:szCs w:val="30"/>
        </w:rPr>
      </w:pPr>
    </w:p>
    <w:p w:rsidR="008D4FA1" w:rsidRDefault="008D4FA1" w:rsidP="008D4FA1">
      <w:pPr>
        <w:ind w:firstLine="630"/>
        <w:jc w:val="left"/>
        <w:rPr>
          <w:rFonts w:ascii="黑体" w:eastAsia="黑体" w:hAnsi="黑体"/>
          <w:sz w:val="30"/>
          <w:szCs w:val="30"/>
        </w:rPr>
      </w:pPr>
      <w:r>
        <w:rPr>
          <w:rFonts w:ascii="黑体" w:eastAsia="黑体" w:hAnsi="黑体" w:hint="eastAsia"/>
          <w:sz w:val="30"/>
          <w:szCs w:val="30"/>
        </w:rPr>
        <w:t>一、收入决算情况说明</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本部门2019年度收入总计</w:t>
      </w:r>
      <w:r w:rsidR="00A62F04">
        <w:rPr>
          <w:rFonts w:ascii="仿宋" w:eastAsia="仿宋" w:hAnsi="仿宋" w:hint="eastAsia"/>
          <w:sz w:val="30"/>
          <w:szCs w:val="30"/>
        </w:rPr>
        <w:t>464.01</w:t>
      </w:r>
      <w:r>
        <w:rPr>
          <w:rFonts w:ascii="仿宋" w:eastAsia="仿宋" w:hAnsi="仿宋" w:hint="eastAsia"/>
          <w:sz w:val="30"/>
          <w:szCs w:val="30"/>
        </w:rPr>
        <w:t>万元，其中年初结转和结余</w:t>
      </w:r>
      <w:r w:rsidR="00A62F04">
        <w:rPr>
          <w:rFonts w:ascii="仿宋" w:eastAsia="仿宋" w:hAnsi="仿宋" w:hint="eastAsia"/>
          <w:sz w:val="30"/>
          <w:szCs w:val="30"/>
        </w:rPr>
        <w:t>49.196</w:t>
      </w:r>
      <w:r>
        <w:rPr>
          <w:rFonts w:ascii="仿宋" w:eastAsia="仿宋" w:hAnsi="仿宋" w:hint="eastAsia"/>
          <w:sz w:val="30"/>
          <w:szCs w:val="30"/>
        </w:rPr>
        <w:t>万元，较2018年减少</w:t>
      </w:r>
      <w:r w:rsidR="00A62F04">
        <w:rPr>
          <w:rFonts w:ascii="仿宋" w:eastAsia="仿宋" w:hAnsi="仿宋" w:hint="eastAsia"/>
          <w:sz w:val="30"/>
          <w:szCs w:val="30"/>
        </w:rPr>
        <w:t>60.64</w:t>
      </w:r>
      <w:r>
        <w:rPr>
          <w:rFonts w:ascii="仿宋" w:eastAsia="仿宋" w:hAnsi="仿宋" w:hint="eastAsia"/>
          <w:sz w:val="30"/>
          <w:szCs w:val="30"/>
        </w:rPr>
        <w:t xml:space="preserve"> 万元，下降</w:t>
      </w:r>
      <w:r w:rsidR="00A62F04">
        <w:rPr>
          <w:rFonts w:ascii="仿宋" w:eastAsia="仿宋" w:hAnsi="仿宋" w:hint="eastAsia"/>
          <w:sz w:val="30"/>
          <w:szCs w:val="30"/>
        </w:rPr>
        <w:t>55.21</w:t>
      </w:r>
      <w:r>
        <w:rPr>
          <w:rFonts w:ascii="仿宋" w:eastAsia="仿宋" w:hAnsi="仿宋" w:hint="eastAsia"/>
          <w:sz w:val="30"/>
          <w:szCs w:val="30"/>
        </w:rPr>
        <w:t>%；本年收入合计</w:t>
      </w:r>
      <w:r w:rsidR="00A62F04">
        <w:rPr>
          <w:rFonts w:ascii="仿宋" w:eastAsia="仿宋" w:hAnsi="仿宋" w:hint="eastAsia"/>
          <w:sz w:val="30"/>
          <w:szCs w:val="30"/>
        </w:rPr>
        <w:t>414.81</w:t>
      </w:r>
      <w:r>
        <w:rPr>
          <w:rFonts w:ascii="仿宋" w:eastAsia="仿宋" w:hAnsi="仿宋" w:hint="eastAsia"/>
          <w:sz w:val="30"/>
          <w:szCs w:val="30"/>
        </w:rPr>
        <w:t>万元，较2018年增加</w:t>
      </w:r>
      <w:r w:rsidR="00A62F04">
        <w:rPr>
          <w:rFonts w:ascii="仿宋" w:eastAsia="仿宋" w:hAnsi="仿宋" w:hint="eastAsia"/>
          <w:sz w:val="30"/>
          <w:szCs w:val="30"/>
        </w:rPr>
        <w:t>177.11</w:t>
      </w:r>
      <w:r>
        <w:rPr>
          <w:rFonts w:ascii="仿宋" w:eastAsia="仿宋" w:hAnsi="仿宋" w:hint="eastAsia"/>
          <w:sz w:val="30"/>
          <w:szCs w:val="30"/>
        </w:rPr>
        <w:t>万元，增长</w:t>
      </w:r>
      <w:r w:rsidR="00A62F04">
        <w:rPr>
          <w:rFonts w:ascii="仿宋" w:eastAsia="仿宋" w:hAnsi="仿宋" w:hint="eastAsia"/>
          <w:sz w:val="30"/>
          <w:szCs w:val="30"/>
        </w:rPr>
        <w:t>74.5</w:t>
      </w:r>
      <w:r>
        <w:rPr>
          <w:rFonts w:ascii="仿宋" w:eastAsia="仿宋" w:hAnsi="仿宋" w:hint="eastAsia"/>
          <w:sz w:val="30"/>
          <w:szCs w:val="30"/>
        </w:rPr>
        <w:t>%，主要原因是：</w:t>
      </w:r>
      <w:r w:rsidR="00A62F04">
        <w:rPr>
          <w:rFonts w:ascii="仿宋" w:eastAsia="仿宋" w:hAnsi="仿宋" w:hint="eastAsia"/>
          <w:sz w:val="30"/>
          <w:szCs w:val="30"/>
        </w:rPr>
        <w:t>人员增加，单位合并</w:t>
      </w:r>
      <w:r>
        <w:rPr>
          <w:rFonts w:ascii="仿宋" w:eastAsia="仿宋" w:hAnsi="仿宋" w:hint="eastAsia"/>
          <w:sz w:val="30"/>
          <w:szCs w:val="30"/>
        </w:rPr>
        <w:t>。</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本年收入的具体构成为：财政拨款收入</w:t>
      </w:r>
      <w:r w:rsidR="00A62F04">
        <w:rPr>
          <w:rFonts w:ascii="仿宋" w:eastAsia="仿宋" w:hAnsi="仿宋" w:hint="eastAsia"/>
          <w:sz w:val="30"/>
          <w:szCs w:val="30"/>
        </w:rPr>
        <w:t>413.67</w:t>
      </w:r>
      <w:r>
        <w:rPr>
          <w:rFonts w:ascii="仿宋" w:eastAsia="仿宋" w:hAnsi="仿宋" w:hint="eastAsia"/>
          <w:sz w:val="30"/>
          <w:szCs w:val="30"/>
        </w:rPr>
        <w:t>万元，占</w:t>
      </w:r>
      <w:r w:rsidR="00A62F04">
        <w:rPr>
          <w:rFonts w:ascii="仿宋" w:eastAsia="仿宋" w:hAnsi="仿宋" w:hint="eastAsia"/>
          <w:sz w:val="30"/>
          <w:szCs w:val="30"/>
        </w:rPr>
        <w:t>99.72</w:t>
      </w:r>
      <w:r>
        <w:rPr>
          <w:rFonts w:ascii="仿宋" w:eastAsia="仿宋" w:hAnsi="仿宋" w:hint="eastAsia"/>
          <w:sz w:val="30"/>
          <w:szCs w:val="30"/>
        </w:rPr>
        <w:t>%；其他收入</w:t>
      </w:r>
      <w:r w:rsidR="00A62F04">
        <w:rPr>
          <w:rFonts w:ascii="仿宋" w:eastAsia="仿宋" w:hAnsi="仿宋" w:hint="eastAsia"/>
          <w:sz w:val="30"/>
          <w:szCs w:val="30"/>
        </w:rPr>
        <w:t>1.14</w:t>
      </w:r>
      <w:r>
        <w:rPr>
          <w:rFonts w:ascii="仿宋" w:eastAsia="仿宋" w:hAnsi="仿宋" w:hint="eastAsia"/>
          <w:sz w:val="30"/>
          <w:szCs w:val="30"/>
        </w:rPr>
        <w:t>万元，占</w:t>
      </w:r>
      <w:r w:rsidR="00A62F04">
        <w:rPr>
          <w:rFonts w:ascii="仿宋" w:eastAsia="仿宋" w:hAnsi="仿宋" w:hint="eastAsia"/>
          <w:sz w:val="30"/>
          <w:szCs w:val="30"/>
        </w:rPr>
        <w:t>0.28</w:t>
      </w:r>
      <w:r>
        <w:rPr>
          <w:rFonts w:ascii="仿宋" w:eastAsia="仿宋" w:hAnsi="仿宋" w:hint="eastAsia"/>
          <w:sz w:val="30"/>
          <w:szCs w:val="30"/>
        </w:rPr>
        <w:t xml:space="preserve">%。  </w:t>
      </w:r>
    </w:p>
    <w:p w:rsidR="008D4FA1" w:rsidRDefault="008D4FA1" w:rsidP="008D4FA1">
      <w:pPr>
        <w:ind w:firstLine="630"/>
        <w:jc w:val="left"/>
        <w:rPr>
          <w:rFonts w:ascii="黑体" w:eastAsia="黑体" w:hAnsi="黑体"/>
          <w:sz w:val="30"/>
          <w:szCs w:val="30"/>
        </w:rPr>
      </w:pPr>
      <w:r>
        <w:rPr>
          <w:rFonts w:ascii="黑体" w:eastAsia="黑体" w:hAnsi="黑体" w:hint="eastAsia"/>
          <w:sz w:val="30"/>
          <w:szCs w:val="30"/>
        </w:rPr>
        <w:t>二、支出决算情况说明</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本部门2019年度支出总计</w:t>
      </w:r>
      <w:r w:rsidR="00A62F04">
        <w:rPr>
          <w:rFonts w:ascii="仿宋" w:eastAsia="仿宋" w:hAnsi="仿宋" w:hint="eastAsia"/>
          <w:sz w:val="30"/>
          <w:szCs w:val="30"/>
        </w:rPr>
        <w:t>464.01</w:t>
      </w:r>
      <w:r>
        <w:rPr>
          <w:rFonts w:ascii="仿宋" w:eastAsia="仿宋" w:hAnsi="仿宋" w:hint="eastAsia"/>
          <w:sz w:val="30"/>
          <w:szCs w:val="30"/>
        </w:rPr>
        <w:t>万元，其中本年支出合计</w:t>
      </w:r>
      <w:r w:rsidR="00A62F04">
        <w:rPr>
          <w:rFonts w:ascii="仿宋" w:eastAsia="仿宋" w:hAnsi="仿宋" w:hint="eastAsia"/>
          <w:sz w:val="30"/>
          <w:szCs w:val="30"/>
        </w:rPr>
        <w:t>345.93</w:t>
      </w:r>
      <w:r>
        <w:rPr>
          <w:rFonts w:ascii="仿宋" w:eastAsia="仿宋" w:hAnsi="仿宋" w:hint="eastAsia"/>
          <w:sz w:val="30"/>
          <w:szCs w:val="30"/>
        </w:rPr>
        <w:t>万元，较2018年增加</w:t>
      </w:r>
      <w:r w:rsidR="00A62F04">
        <w:rPr>
          <w:rFonts w:ascii="仿宋" w:eastAsia="仿宋" w:hAnsi="仿宋" w:hint="eastAsia"/>
          <w:sz w:val="30"/>
          <w:szCs w:val="30"/>
        </w:rPr>
        <w:t>43.14</w:t>
      </w:r>
      <w:r>
        <w:rPr>
          <w:rFonts w:ascii="仿宋" w:eastAsia="仿宋" w:hAnsi="仿宋" w:hint="eastAsia"/>
          <w:sz w:val="30"/>
          <w:szCs w:val="30"/>
        </w:rPr>
        <w:t>万元，增长</w:t>
      </w:r>
      <w:r w:rsidR="00A62F04">
        <w:rPr>
          <w:rFonts w:ascii="仿宋" w:eastAsia="仿宋" w:hAnsi="仿宋" w:hint="eastAsia"/>
          <w:sz w:val="30"/>
          <w:szCs w:val="30"/>
        </w:rPr>
        <w:t>14.25</w:t>
      </w:r>
      <w:r>
        <w:rPr>
          <w:rFonts w:ascii="仿宋" w:eastAsia="仿宋" w:hAnsi="仿宋" w:hint="eastAsia"/>
          <w:sz w:val="30"/>
          <w:szCs w:val="30"/>
        </w:rPr>
        <w:t xml:space="preserve"> %，主要原因是：</w:t>
      </w:r>
      <w:r w:rsidR="00A62F04">
        <w:rPr>
          <w:rFonts w:ascii="仿宋" w:eastAsia="仿宋" w:hAnsi="仿宋" w:hint="eastAsia"/>
          <w:sz w:val="30"/>
          <w:szCs w:val="30"/>
        </w:rPr>
        <w:t>人员增加</w:t>
      </w:r>
      <w:r>
        <w:rPr>
          <w:rFonts w:ascii="仿宋" w:eastAsia="仿宋" w:hAnsi="仿宋" w:hint="eastAsia"/>
          <w:sz w:val="30"/>
          <w:szCs w:val="30"/>
        </w:rPr>
        <w:t>；年末结转和结余</w:t>
      </w:r>
      <w:r w:rsidR="00A62F04">
        <w:rPr>
          <w:rFonts w:ascii="仿宋" w:eastAsia="仿宋" w:hAnsi="仿宋" w:hint="eastAsia"/>
          <w:sz w:val="30"/>
          <w:szCs w:val="30"/>
        </w:rPr>
        <w:t>118.08</w:t>
      </w:r>
      <w:r>
        <w:rPr>
          <w:rFonts w:ascii="仿宋" w:eastAsia="仿宋" w:hAnsi="仿宋" w:hint="eastAsia"/>
          <w:sz w:val="30"/>
          <w:szCs w:val="30"/>
        </w:rPr>
        <w:t>万元，较2018年增加</w:t>
      </w:r>
      <w:r w:rsidR="00A62F04">
        <w:rPr>
          <w:rFonts w:ascii="仿宋" w:eastAsia="仿宋" w:hAnsi="仿宋" w:hint="eastAsia"/>
          <w:sz w:val="30"/>
          <w:szCs w:val="30"/>
        </w:rPr>
        <w:t>68.88</w:t>
      </w:r>
      <w:r>
        <w:rPr>
          <w:rFonts w:ascii="仿宋" w:eastAsia="仿宋" w:hAnsi="仿宋" w:hint="eastAsia"/>
          <w:sz w:val="30"/>
          <w:szCs w:val="30"/>
        </w:rPr>
        <w:t>万元，增长</w:t>
      </w:r>
      <w:r w:rsidR="00A62F04">
        <w:rPr>
          <w:rFonts w:ascii="仿宋" w:eastAsia="仿宋" w:hAnsi="仿宋" w:hint="eastAsia"/>
          <w:sz w:val="30"/>
          <w:szCs w:val="30"/>
        </w:rPr>
        <w:t>140</w:t>
      </w:r>
      <w:r>
        <w:rPr>
          <w:rFonts w:ascii="仿宋" w:eastAsia="仿宋" w:hAnsi="仿宋" w:hint="eastAsia"/>
          <w:sz w:val="30"/>
          <w:szCs w:val="30"/>
        </w:rPr>
        <w:t xml:space="preserve"> %，主要原因是：</w:t>
      </w:r>
      <w:r w:rsidR="00A62F04">
        <w:rPr>
          <w:rFonts w:ascii="仿宋" w:eastAsia="仿宋" w:hAnsi="仿宋" w:hint="eastAsia"/>
          <w:sz w:val="30"/>
          <w:szCs w:val="30"/>
        </w:rPr>
        <w:t>相关应付款项于2020</w:t>
      </w:r>
      <w:r w:rsidR="00A62F04">
        <w:rPr>
          <w:rFonts w:ascii="仿宋" w:eastAsia="仿宋" w:hAnsi="仿宋" w:hint="eastAsia"/>
          <w:sz w:val="30"/>
          <w:szCs w:val="30"/>
        </w:rPr>
        <w:lastRenderedPageBreak/>
        <w:t>年1月支付</w:t>
      </w:r>
      <w:r>
        <w:rPr>
          <w:rFonts w:ascii="仿宋" w:eastAsia="仿宋" w:hAnsi="仿宋" w:hint="eastAsia"/>
          <w:sz w:val="30"/>
          <w:szCs w:val="30"/>
        </w:rPr>
        <w:t>。</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本年支出的具体构成为：基本支出</w:t>
      </w:r>
      <w:r w:rsidR="00A62F04">
        <w:rPr>
          <w:rFonts w:ascii="仿宋" w:eastAsia="仿宋" w:hAnsi="仿宋" w:hint="eastAsia"/>
          <w:sz w:val="30"/>
          <w:szCs w:val="30"/>
        </w:rPr>
        <w:t>281.51</w:t>
      </w:r>
      <w:r>
        <w:rPr>
          <w:rFonts w:ascii="仿宋" w:eastAsia="仿宋" w:hAnsi="仿宋" w:hint="eastAsia"/>
          <w:sz w:val="30"/>
          <w:szCs w:val="30"/>
        </w:rPr>
        <w:t>万元，占</w:t>
      </w:r>
      <w:r w:rsidR="00A62F04">
        <w:rPr>
          <w:rFonts w:ascii="仿宋" w:eastAsia="仿宋" w:hAnsi="仿宋" w:hint="eastAsia"/>
          <w:sz w:val="30"/>
          <w:szCs w:val="30"/>
        </w:rPr>
        <w:t>81.38</w:t>
      </w:r>
      <w:r>
        <w:rPr>
          <w:rFonts w:ascii="仿宋" w:eastAsia="仿宋" w:hAnsi="仿宋" w:hint="eastAsia"/>
          <w:sz w:val="30"/>
          <w:szCs w:val="30"/>
        </w:rPr>
        <w:t>%；项目支出</w:t>
      </w:r>
      <w:r w:rsidR="00A62F04">
        <w:rPr>
          <w:rFonts w:ascii="仿宋" w:eastAsia="仿宋" w:hAnsi="仿宋" w:hint="eastAsia"/>
          <w:sz w:val="30"/>
          <w:szCs w:val="30"/>
        </w:rPr>
        <w:t>64.42</w:t>
      </w:r>
      <w:r>
        <w:rPr>
          <w:rFonts w:ascii="仿宋" w:eastAsia="仿宋" w:hAnsi="仿宋" w:hint="eastAsia"/>
          <w:sz w:val="30"/>
          <w:szCs w:val="30"/>
        </w:rPr>
        <w:t>万元，占</w:t>
      </w:r>
      <w:r w:rsidR="00A62F04">
        <w:rPr>
          <w:rFonts w:ascii="仿宋" w:eastAsia="仿宋" w:hAnsi="仿宋" w:hint="eastAsia"/>
          <w:sz w:val="30"/>
          <w:szCs w:val="30"/>
        </w:rPr>
        <w:t>18.62</w:t>
      </w:r>
      <w:r>
        <w:rPr>
          <w:rFonts w:ascii="仿宋" w:eastAsia="仿宋" w:hAnsi="仿宋" w:hint="eastAsia"/>
          <w:sz w:val="30"/>
          <w:szCs w:val="30"/>
        </w:rPr>
        <w:t>%。</w:t>
      </w:r>
    </w:p>
    <w:p w:rsidR="008D4FA1" w:rsidRDefault="008D4FA1" w:rsidP="008D4FA1">
      <w:pPr>
        <w:ind w:firstLine="630"/>
        <w:jc w:val="left"/>
        <w:rPr>
          <w:rFonts w:ascii="黑体" w:eastAsia="黑体" w:hAnsi="黑体"/>
          <w:sz w:val="30"/>
          <w:szCs w:val="30"/>
        </w:rPr>
      </w:pPr>
      <w:r>
        <w:rPr>
          <w:rFonts w:ascii="黑体" w:eastAsia="黑体" w:hAnsi="黑体" w:hint="eastAsia"/>
          <w:sz w:val="30"/>
          <w:szCs w:val="30"/>
        </w:rPr>
        <w:t>三、财政拨款支出决算情况说明</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本部门2019年度财政拨款本年支出年初预算数为</w:t>
      </w:r>
      <w:r w:rsidR="00066D33">
        <w:rPr>
          <w:rFonts w:ascii="仿宋" w:eastAsia="仿宋" w:hAnsi="仿宋" w:hint="eastAsia"/>
          <w:sz w:val="30"/>
          <w:szCs w:val="30"/>
        </w:rPr>
        <w:t>471.11</w:t>
      </w:r>
      <w:r>
        <w:rPr>
          <w:rFonts w:ascii="仿宋" w:eastAsia="仿宋" w:hAnsi="仿宋" w:hint="eastAsia"/>
          <w:sz w:val="30"/>
          <w:szCs w:val="30"/>
        </w:rPr>
        <w:t>万元，决算数为</w:t>
      </w:r>
      <w:r w:rsidR="00066D33">
        <w:rPr>
          <w:rFonts w:ascii="仿宋" w:eastAsia="仿宋" w:hAnsi="仿宋" w:hint="eastAsia"/>
          <w:sz w:val="30"/>
          <w:szCs w:val="30"/>
        </w:rPr>
        <w:t>413.67</w:t>
      </w:r>
      <w:r>
        <w:rPr>
          <w:rFonts w:ascii="仿宋" w:eastAsia="仿宋" w:hAnsi="仿宋" w:hint="eastAsia"/>
          <w:sz w:val="30"/>
          <w:szCs w:val="30"/>
        </w:rPr>
        <w:t>万元，完成年初预算的</w:t>
      </w:r>
      <w:r w:rsidR="00066D33">
        <w:rPr>
          <w:rFonts w:ascii="仿宋" w:eastAsia="仿宋" w:hAnsi="仿宋" w:hint="eastAsia"/>
          <w:sz w:val="30"/>
          <w:szCs w:val="30"/>
        </w:rPr>
        <w:t>87.81</w:t>
      </w:r>
      <w:r>
        <w:rPr>
          <w:rFonts w:ascii="仿宋" w:eastAsia="仿宋" w:hAnsi="仿宋" w:hint="eastAsia"/>
          <w:sz w:val="30"/>
          <w:szCs w:val="30"/>
        </w:rPr>
        <w:t>%。其中：</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（一）一般公共服务支出年初预算数为</w:t>
      </w:r>
      <w:r w:rsidR="00066D33">
        <w:rPr>
          <w:rFonts w:ascii="仿宋" w:eastAsia="仿宋" w:hAnsi="仿宋" w:hint="eastAsia"/>
          <w:sz w:val="30"/>
          <w:szCs w:val="30"/>
        </w:rPr>
        <w:t>417.52</w:t>
      </w:r>
      <w:r>
        <w:rPr>
          <w:rFonts w:ascii="仿宋" w:eastAsia="仿宋" w:hAnsi="仿宋" w:hint="eastAsia"/>
          <w:sz w:val="30"/>
          <w:szCs w:val="30"/>
        </w:rPr>
        <w:t>万元，决算数为</w:t>
      </w:r>
      <w:r w:rsidR="00066D33">
        <w:rPr>
          <w:rFonts w:ascii="仿宋" w:eastAsia="仿宋" w:hAnsi="仿宋" w:hint="eastAsia"/>
          <w:sz w:val="30"/>
          <w:szCs w:val="30"/>
        </w:rPr>
        <w:t>282.63</w:t>
      </w:r>
      <w:r>
        <w:rPr>
          <w:rFonts w:ascii="仿宋" w:eastAsia="仿宋" w:hAnsi="仿宋" w:hint="eastAsia"/>
          <w:sz w:val="30"/>
          <w:szCs w:val="30"/>
        </w:rPr>
        <w:t>万元，完成年初预算的</w:t>
      </w:r>
      <w:r w:rsidR="00066D33">
        <w:rPr>
          <w:rFonts w:ascii="仿宋" w:eastAsia="仿宋" w:hAnsi="仿宋" w:hint="eastAsia"/>
          <w:sz w:val="30"/>
          <w:szCs w:val="30"/>
        </w:rPr>
        <w:t>67.69</w:t>
      </w:r>
      <w:r>
        <w:rPr>
          <w:rFonts w:ascii="仿宋" w:eastAsia="仿宋" w:hAnsi="仿宋" w:hint="eastAsia"/>
          <w:sz w:val="30"/>
          <w:szCs w:val="30"/>
        </w:rPr>
        <w:t>%，主要原因是：</w:t>
      </w:r>
      <w:r w:rsidR="00066D33">
        <w:rPr>
          <w:rFonts w:ascii="仿宋" w:eastAsia="仿宋" w:hAnsi="仿宋" w:hint="eastAsia"/>
          <w:sz w:val="30"/>
          <w:szCs w:val="30"/>
        </w:rPr>
        <w:t>招商专项有关资金未到位</w:t>
      </w:r>
      <w:r>
        <w:rPr>
          <w:rFonts w:ascii="仿宋" w:eastAsia="仿宋" w:hAnsi="仿宋" w:hint="eastAsia"/>
          <w:sz w:val="30"/>
          <w:szCs w:val="30"/>
        </w:rPr>
        <w:t>。</w:t>
      </w:r>
    </w:p>
    <w:p w:rsidR="008D4FA1" w:rsidRDefault="008D4FA1" w:rsidP="008D4FA1">
      <w:pPr>
        <w:ind w:firstLine="630"/>
        <w:jc w:val="left"/>
        <w:rPr>
          <w:rFonts w:ascii="仿宋" w:eastAsia="仿宋" w:hAnsi="仿宋" w:hint="eastAsia"/>
          <w:sz w:val="30"/>
          <w:szCs w:val="30"/>
        </w:rPr>
      </w:pPr>
      <w:r>
        <w:rPr>
          <w:rFonts w:ascii="仿宋" w:eastAsia="仿宋" w:hAnsi="仿宋" w:hint="eastAsia"/>
          <w:sz w:val="30"/>
          <w:szCs w:val="30"/>
        </w:rPr>
        <w:t>（二）</w:t>
      </w:r>
      <w:r w:rsidR="00066D33">
        <w:rPr>
          <w:rFonts w:ascii="仿宋" w:eastAsia="仿宋" w:hAnsi="仿宋" w:hint="eastAsia"/>
          <w:sz w:val="30"/>
          <w:szCs w:val="30"/>
        </w:rPr>
        <w:t>教育支出年初预算1312.92</w:t>
      </w:r>
      <w:r>
        <w:rPr>
          <w:rFonts w:ascii="仿宋" w:eastAsia="仿宋" w:hAnsi="仿宋" w:hint="eastAsia"/>
          <w:sz w:val="30"/>
          <w:szCs w:val="30"/>
        </w:rPr>
        <w:t>元，决算数为</w:t>
      </w:r>
      <w:r w:rsidR="00066D33">
        <w:rPr>
          <w:rFonts w:ascii="仿宋" w:eastAsia="仿宋" w:hAnsi="仿宋" w:hint="eastAsia"/>
          <w:sz w:val="30"/>
          <w:szCs w:val="30"/>
        </w:rPr>
        <w:t>0</w:t>
      </w:r>
      <w:r>
        <w:rPr>
          <w:rFonts w:ascii="仿宋" w:eastAsia="仿宋" w:hAnsi="仿宋" w:hint="eastAsia"/>
          <w:sz w:val="30"/>
          <w:szCs w:val="30"/>
        </w:rPr>
        <w:t>元，完成年初预算的</w:t>
      </w:r>
      <w:r w:rsidR="00066D33">
        <w:rPr>
          <w:rFonts w:ascii="仿宋" w:eastAsia="仿宋" w:hAnsi="仿宋" w:hint="eastAsia"/>
          <w:sz w:val="30"/>
          <w:szCs w:val="30"/>
        </w:rPr>
        <w:t>0</w:t>
      </w:r>
      <w:r>
        <w:rPr>
          <w:rFonts w:ascii="仿宋" w:eastAsia="仿宋" w:hAnsi="仿宋" w:hint="eastAsia"/>
          <w:sz w:val="30"/>
          <w:szCs w:val="30"/>
        </w:rPr>
        <w:t>%，主要原因是：</w:t>
      </w:r>
      <w:r w:rsidR="00066D33">
        <w:rPr>
          <w:rFonts w:ascii="仿宋" w:eastAsia="仿宋" w:hAnsi="仿宋" w:hint="eastAsia"/>
          <w:sz w:val="30"/>
          <w:szCs w:val="30"/>
        </w:rPr>
        <w:t>本年度未有此支出</w:t>
      </w:r>
      <w:r>
        <w:rPr>
          <w:rFonts w:ascii="仿宋" w:eastAsia="仿宋" w:hAnsi="仿宋" w:hint="eastAsia"/>
          <w:sz w:val="30"/>
          <w:szCs w:val="30"/>
        </w:rPr>
        <w:t>。</w:t>
      </w:r>
    </w:p>
    <w:p w:rsidR="00066D33" w:rsidRDefault="00066D33" w:rsidP="008D4FA1">
      <w:pPr>
        <w:ind w:firstLine="630"/>
        <w:jc w:val="left"/>
        <w:rPr>
          <w:rFonts w:ascii="仿宋" w:eastAsia="仿宋" w:hAnsi="仿宋" w:hint="eastAsia"/>
          <w:sz w:val="30"/>
          <w:szCs w:val="30"/>
        </w:rPr>
      </w:pPr>
      <w:r>
        <w:rPr>
          <w:rFonts w:ascii="仿宋" w:eastAsia="仿宋" w:hAnsi="仿宋" w:hint="eastAsia"/>
          <w:sz w:val="30"/>
          <w:szCs w:val="30"/>
        </w:rPr>
        <w:t>（三）社会保障和就业支出年初预算34.94万元，决算数为42.27万元，完成年初预算的120.98%，主要原因是：</w:t>
      </w:r>
      <w:r w:rsidR="00FB1FA1">
        <w:rPr>
          <w:rFonts w:ascii="仿宋" w:eastAsia="仿宋" w:hAnsi="仿宋" w:hint="eastAsia"/>
          <w:sz w:val="30"/>
          <w:szCs w:val="30"/>
        </w:rPr>
        <w:t>职业年金本年度拨付缴社保</w:t>
      </w:r>
      <w:r>
        <w:rPr>
          <w:rFonts w:ascii="仿宋" w:eastAsia="仿宋" w:hAnsi="仿宋" w:hint="eastAsia"/>
          <w:sz w:val="30"/>
          <w:szCs w:val="30"/>
        </w:rPr>
        <w:t>。</w:t>
      </w:r>
    </w:p>
    <w:p w:rsidR="00066D33" w:rsidRDefault="00066D33" w:rsidP="008D4FA1">
      <w:pPr>
        <w:ind w:firstLine="630"/>
        <w:jc w:val="left"/>
        <w:rPr>
          <w:rFonts w:ascii="仿宋" w:eastAsia="仿宋" w:hAnsi="仿宋" w:hint="eastAsia"/>
          <w:sz w:val="30"/>
          <w:szCs w:val="30"/>
        </w:rPr>
      </w:pPr>
      <w:r>
        <w:rPr>
          <w:rFonts w:ascii="仿宋" w:eastAsia="仿宋" w:hAnsi="仿宋" w:hint="eastAsia"/>
          <w:sz w:val="30"/>
          <w:szCs w:val="30"/>
        </w:rPr>
        <w:t>（四）卫生健康支出年初预算8.49万元，决算数为11.35万元，完成年初预算133.69%，主要原因是：人员增加。</w:t>
      </w:r>
    </w:p>
    <w:p w:rsidR="00066D33" w:rsidRDefault="00066D33" w:rsidP="008D4FA1">
      <w:pPr>
        <w:ind w:firstLine="630"/>
        <w:jc w:val="left"/>
        <w:rPr>
          <w:rFonts w:ascii="仿宋" w:eastAsia="仿宋" w:hAnsi="仿宋" w:hint="eastAsia"/>
          <w:sz w:val="30"/>
          <w:szCs w:val="30"/>
        </w:rPr>
      </w:pPr>
      <w:r>
        <w:rPr>
          <w:rFonts w:ascii="仿宋" w:eastAsia="仿宋" w:hAnsi="仿宋" w:hint="eastAsia"/>
          <w:sz w:val="30"/>
          <w:szCs w:val="30"/>
        </w:rPr>
        <w:t>（五）商业服务业支出年初预算为0万元，决算数为1.69万元，主要原因是：此经费为上级转移资金。</w:t>
      </w:r>
    </w:p>
    <w:p w:rsidR="00066D33" w:rsidRDefault="00066D33" w:rsidP="008D4FA1">
      <w:pPr>
        <w:ind w:firstLine="630"/>
        <w:jc w:val="left"/>
        <w:rPr>
          <w:rFonts w:ascii="仿宋" w:eastAsia="仿宋" w:hAnsi="仿宋"/>
          <w:sz w:val="30"/>
          <w:szCs w:val="30"/>
        </w:rPr>
      </w:pPr>
      <w:r>
        <w:rPr>
          <w:rFonts w:ascii="仿宋" w:eastAsia="仿宋" w:hAnsi="仿宋" w:hint="eastAsia"/>
          <w:sz w:val="30"/>
          <w:szCs w:val="30"/>
        </w:rPr>
        <w:t>（六）住房保障资金年初预算10.03万元，决算数为7.98万元，完成年初预算数79.56%，主要原因是：</w:t>
      </w:r>
      <w:r w:rsidR="00FB1FA1">
        <w:rPr>
          <w:rFonts w:ascii="仿宋" w:eastAsia="仿宋" w:hAnsi="仿宋" w:hint="eastAsia"/>
          <w:sz w:val="30"/>
          <w:szCs w:val="30"/>
        </w:rPr>
        <w:t>人员调动。</w:t>
      </w:r>
    </w:p>
    <w:p w:rsidR="008D4FA1" w:rsidRDefault="008D4FA1" w:rsidP="008D4FA1">
      <w:pPr>
        <w:ind w:firstLine="585"/>
        <w:jc w:val="left"/>
        <w:rPr>
          <w:rFonts w:ascii="黑体" w:eastAsia="黑体" w:hAnsi="黑体"/>
          <w:sz w:val="30"/>
          <w:szCs w:val="30"/>
        </w:rPr>
      </w:pPr>
      <w:r>
        <w:rPr>
          <w:rFonts w:ascii="黑体" w:eastAsia="黑体" w:hAnsi="黑体" w:hint="eastAsia"/>
          <w:sz w:val="30"/>
          <w:szCs w:val="30"/>
        </w:rPr>
        <w:t>四、一般公共预算财政拨款基本支出决算情况说明</w:t>
      </w:r>
    </w:p>
    <w:p w:rsidR="008D4FA1" w:rsidRDefault="008D4FA1" w:rsidP="008D4FA1">
      <w:pPr>
        <w:ind w:firstLine="585"/>
        <w:jc w:val="left"/>
        <w:rPr>
          <w:rFonts w:ascii="仿宋" w:eastAsia="仿宋" w:hAnsi="仿宋"/>
          <w:sz w:val="30"/>
          <w:szCs w:val="30"/>
        </w:rPr>
      </w:pPr>
      <w:r>
        <w:rPr>
          <w:rFonts w:ascii="仿宋" w:eastAsia="仿宋" w:hAnsi="仿宋" w:hint="eastAsia"/>
          <w:sz w:val="30"/>
          <w:szCs w:val="30"/>
        </w:rPr>
        <w:t>本部门2019年度一般公共预算财政拨款基本支出</w:t>
      </w:r>
      <w:r w:rsidR="00D32ABC">
        <w:rPr>
          <w:rFonts w:ascii="仿宋" w:eastAsia="仿宋" w:hAnsi="仿宋" w:hint="eastAsia"/>
          <w:sz w:val="30"/>
          <w:szCs w:val="30"/>
        </w:rPr>
        <w:t>344.79</w:t>
      </w:r>
      <w:r>
        <w:rPr>
          <w:rFonts w:ascii="仿宋" w:eastAsia="仿宋" w:hAnsi="仿宋" w:hint="eastAsia"/>
          <w:sz w:val="30"/>
          <w:szCs w:val="30"/>
        </w:rPr>
        <w:t>万</w:t>
      </w:r>
      <w:r>
        <w:rPr>
          <w:rFonts w:ascii="仿宋" w:eastAsia="仿宋" w:hAnsi="仿宋" w:hint="eastAsia"/>
          <w:sz w:val="30"/>
          <w:szCs w:val="30"/>
        </w:rPr>
        <w:lastRenderedPageBreak/>
        <w:t>元，其中：</w:t>
      </w:r>
    </w:p>
    <w:p w:rsidR="008D4FA1" w:rsidRDefault="008D4FA1" w:rsidP="008D4FA1">
      <w:pPr>
        <w:ind w:firstLine="585"/>
        <w:jc w:val="left"/>
        <w:rPr>
          <w:rFonts w:ascii="仿宋" w:eastAsia="仿宋" w:hAnsi="仿宋"/>
          <w:sz w:val="30"/>
          <w:szCs w:val="30"/>
        </w:rPr>
      </w:pPr>
      <w:r>
        <w:rPr>
          <w:rFonts w:ascii="仿宋" w:eastAsia="仿宋" w:hAnsi="仿宋" w:hint="eastAsia"/>
          <w:sz w:val="30"/>
          <w:szCs w:val="30"/>
        </w:rPr>
        <w:t>（一）工资福利支出</w:t>
      </w:r>
      <w:r w:rsidR="00D32ABC">
        <w:rPr>
          <w:rFonts w:ascii="仿宋" w:eastAsia="仿宋" w:hAnsi="仿宋" w:hint="eastAsia"/>
          <w:sz w:val="30"/>
          <w:szCs w:val="30"/>
        </w:rPr>
        <w:t>182.38</w:t>
      </w:r>
      <w:r>
        <w:rPr>
          <w:rFonts w:ascii="仿宋" w:eastAsia="仿宋" w:hAnsi="仿宋" w:hint="eastAsia"/>
          <w:sz w:val="30"/>
          <w:szCs w:val="30"/>
        </w:rPr>
        <w:t>万元，较2018年增加</w:t>
      </w:r>
      <w:r w:rsidR="00D32ABC">
        <w:rPr>
          <w:rFonts w:ascii="仿宋" w:eastAsia="仿宋" w:hAnsi="仿宋" w:hint="eastAsia"/>
          <w:sz w:val="30"/>
          <w:szCs w:val="30"/>
        </w:rPr>
        <w:t>23.57</w:t>
      </w:r>
      <w:r>
        <w:rPr>
          <w:rFonts w:ascii="仿宋" w:eastAsia="仿宋" w:hAnsi="仿宋" w:hint="eastAsia"/>
          <w:sz w:val="30"/>
          <w:szCs w:val="30"/>
        </w:rPr>
        <w:t>万元，增长</w:t>
      </w:r>
      <w:r w:rsidR="00D32ABC">
        <w:rPr>
          <w:rFonts w:ascii="仿宋" w:eastAsia="仿宋" w:hAnsi="仿宋" w:hint="eastAsia"/>
          <w:sz w:val="30"/>
          <w:szCs w:val="30"/>
        </w:rPr>
        <w:t>14.84</w:t>
      </w:r>
      <w:r>
        <w:rPr>
          <w:rFonts w:ascii="仿宋" w:eastAsia="仿宋" w:hAnsi="仿宋" w:hint="eastAsia"/>
          <w:sz w:val="30"/>
          <w:szCs w:val="30"/>
        </w:rPr>
        <w:t xml:space="preserve"> %，主要原因是：</w:t>
      </w:r>
      <w:r w:rsidR="00D32ABC">
        <w:rPr>
          <w:rFonts w:ascii="仿宋" w:eastAsia="仿宋" w:hAnsi="仿宋" w:hint="eastAsia"/>
          <w:sz w:val="30"/>
          <w:szCs w:val="30"/>
        </w:rPr>
        <w:t>人员工资福利正常增加</w:t>
      </w:r>
      <w:r>
        <w:rPr>
          <w:rFonts w:ascii="仿宋" w:eastAsia="仿宋" w:hAnsi="仿宋" w:hint="eastAsia"/>
          <w:sz w:val="30"/>
          <w:szCs w:val="30"/>
        </w:rPr>
        <w:t>。</w:t>
      </w:r>
    </w:p>
    <w:p w:rsidR="008D4FA1" w:rsidRDefault="008D4FA1" w:rsidP="008D4FA1">
      <w:pPr>
        <w:ind w:firstLine="585"/>
        <w:jc w:val="left"/>
        <w:rPr>
          <w:rFonts w:ascii="仿宋" w:eastAsia="仿宋" w:hAnsi="仿宋"/>
          <w:sz w:val="30"/>
          <w:szCs w:val="30"/>
        </w:rPr>
      </w:pPr>
      <w:r>
        <w:rPr>
          <w:rFonts w:ascii="仿宋" w:eastAsia="仿宋" w:hAnsi="仿宋" w:hint="eastAsia"/>
          <w:sz w:val="30"/>
          <w:szCs w:val="30"/>
        </w:rPr>
        <w:t>（二）商品和服务支出</w:t>
      </w:r>
      <w:r w:rsidR="00D32ABC">
        <w:rPr>
          <w:rFonts w:ascii="仿宋" w:eastAsia="仿宋" w:hAnsi="仿宋" w:hint="eastAsia"/>
          <w:sz w:val="30"/>
          <w:szCs w:val="30"/>
        </w:rPr>
        <w:t>142.03</w:t>
      </w:r>
      <w:r>
        <w:rPr>
          <w:rFonts w:ascii="仿宋" w:eastAsia="仿宋" w:hAnsi="仿宋" w:hint="eastAsia"/>
          <w:sz w:val="30"/>
          <w:szCs w:val="30"/>
        </w:rPr>
        <w:t>万元，较2018年增加</w:t>
      </w:r>
      <w:r w:rsidR="00D32ABC">
        <w:rPr>
          <w:rFonts w:ascii="仿宋" w:eastAsia="仿宋" w:hAnsi="仿宋" w:hint="eastAsia"/>
          <w:sz w:val="30"/>
          <w:szCs w:val="30"/>
        </w:rPr>
        <w:t>10.92</w:t>
      </w:r>
      <w:r>
        <w:rPr>
          <w:rFonts w:ascii="仿宋" w:eastAsia="仿宋" w:hAnsi="仿宋" w:hint="eastAsia"/>
          <w:sz w:val="30"/>
          <w:szCs w:val="30"/>
        </w:rPr>
        <w:t>万元，增长</w:t>
      </w:r>
      <w:r w:rsidR="00D32ABC">
        <w:rPr>
          <w:rFonts w:ascii="仿宋" w:eastAsia="仿宋" w:hAnsi="仿宋" w:hint="eastAsia"/>
          <w:sz w:val="30"/>
          <w:szCs w:val="30"/>
        </w:rPr>
        <w:t>8.33</w:t>
      </w:r>
      <w:r>
        <w:rPr>
          <w:rFonts w:ascii="仿宋" w:eastAsia="仿宋" w:hAnsi="仿宋" w:hint="eastAsia"/>
          <w:sz w:val="30"/>
          <w:szCs w:val="30"/>
        </w:rPr>
        <w:t xml:space="preserve"> %，主要原因是：</w:t>
      </w:r>
      <w:r w:rsidR="00D32ABC">
        <w:rPr>
          <w:rFonts w:ascii="仿宋" w:eastAsia="仿宋" w:hAnsi="仿宋" w:hint="eastAsia"/>
          <w:sz w:val="30"/>
          <w:szCs w:val="30"/>
        </w:rPr>
        <w:t>单位合并，费用增加</w:t>
      </w:r>
      <w:r>
        <w:rPr>
          <w:rFonts w:ascii="仿宋" w:eastAsia="仿宋" w:hAnsi="仿宋" w:hint="eastAsia"/>
          <w:sz w:val="30"/>
          <w:szCs w:val="30"/>
        </w:rPr>
        <w:t>。</w:t>
      </w:r>
    </w:p>
    <w:p w:rsidR="008D4FA1" w:rsidRDefault="008D4FA1" w:rsidP="008D4FA1">
      <w:pPr>
        <w:ind w:firstLine="585"/>
        <w:jc w:val="left"/>
        <w:rPr>
          <w:rFonts w:ascii="仿宋" w:eastAsia="仿宋" w:hAnsi="仿宋"/>
          <w:sz w:val="30"/>
          <w:szCs w:val="30"/>
        </w:rPr>
      </w:pPr>
      <w:r>
        <w:rPr>
          <w:rFonts w:ascii="仿宋" w:eastAsia="仿宋" w:hAnsi="仿宋" w:hint="eastAsia"/>
          <w:sz w:val="30"/>
          <w:szCs w:val="30"/>
        </w:rPr>
        <w:t>（三）对个人和家庭补助支出</w:t>
      </w:r>
      <w:r w:rsidR="00D32ABC">
        <w:rPr>
          <w:rFonts w:ascii="仿宋" w:eastAsia="仿宋" w:hAnsi="仿宋" w:hint="eastAsia"/>
          <w:sz w:val="30"/>
          <w:szCs w:val="30"/>
        </w:rPr>
        <w:t>19.27</w:t>
      </w:r>
      <w:r>
        <w:rPr>
          <w:rFonts w:ascii="仿宋" w:eastAsia="仿宋" w:hAnsi="仿宋" w:hint="eastAsia"/>
          <w:sz w:val="30"/>
          <w:szCs w:val="30"/>
        </w:rPr>
        <w:t>万元，较2018年增加</w:t>
      </w:r>
      <w:r w:rsidR="00D32ABC">
        <w:rPr>
          <w:rFonts w:ascii="仿宋" w:eastAsia="仿宋" w:hAnsi="仿宋" w:hint="eastAsia"/>
          <w:sz w:val="30"/>
          <w:szCs w:val="30"/>
        </w:rPr>
        <w:t>7.19</w:t>
      </w:r>
      <w:r>
        <w:rPr>
          <w:rFonts w:ascii="仿宋" w:eastAsia="仿宋" w:hAnsi="仿宋" w:hint="eastAsia"/>
          <w:sz w:val="30"/>
          <w:szCs w:val="30"/>
        </w:rPr>
        <w:t>万元，增长</w:t>
      </w:r>
      <w:r w:rsidR="00D32ABC">
        <w:rPr>
          <w:rFonts w:ascii="仿宋" w:eastAsia="仿宋" w:hAnsi="仿宋" w:hint="eastAsia"/>
          <w:sz w:val="30"/>
          <w:szCs w:val="30"/>
        </w:rPr>
        <w:t>59.52</w:t>
      </w:r>
      <w:r>
        <w:rPr>
          <w:rFonts w:ascii="仿宋" w:eastAsia="仿宋" w:hAnsi="仿宋" w:hint="eastAsia"/>
          <w:sz w:val="30"/>
          <w:szCs w:val="30"/>
        </w:rPr>
        <w:t xml:space="preserve"> %，主要原因是：</w:t>
      </w:r>
      <w:r w:rsidR="00D32ABC">
        <w:rPr>
          <w:rFonts w:ascii="仿宋" w:eastAsia="仿宋" w:hAnsi="仿宋" w:hint="eastAsia"/>
          <w:sz w:val="30"/>
          <w:szCs w:val="30"/>
        </w:rPr>
        <w:t>单位合并，相关离退休费用相应增加</w:t>
      </w:r>
      <w:r>
        <w:rPr>
          <w:rFonts w:ascii="仿宋" w:eastAsia="仿宋" w:hAnsi="仿宋" w:hint="eastAsia"/>
          <w:sz w:val="30"/>
          <w:szCs w:val="30"/>
        </w:rPr>
        <w:t>。</w:t>
      </w:r>
    </w:p>
    <w:p w:rsidR="008D4FA1" w:rsidRDefault="008D4FA1" w:rsidP="008D4FA1">
      <w:pPr>
        <w:ind w:firstLine="585"/>
        <w:jc w:val="left"/>
        <w:rPr>
          <w:rFonts w:ascii="仿宋" w:eastAsia="仿宋" w:hAnsi="仿宋"/>
          <w:sz w:val="30"/>
          <w:szCs w:val="30"/>
        </w:rPr>
      </w:pPr>
      <w:r>
        <w:rPr>
          <w:rFonts w:ascii="仿宋" w:eastAsia="仿宋" w:hAnsi="仿宋" w:hint="eastAsia"/>
          <w:sz w:val="30"/>
          <w:szCs w:val="30"/>
        </w:rPr>
        <w:t>（四）资本性支出</w:t>
      </w:r>
      <w:r w:rsidR="00D32ABC">
        <w:rPr>
          <w:rFonts w:ascii="仿宋" w:eastAsia="仿宋" w:hAnsi="仿宋" w:hint="eastAsia"/>
          <w:sz w:val="30"/>
          <w:szCs w:val="30"/>
        </w:rPr>
        <w:t>1.11</w:t>
      </w:r>
      <w:r>
        <w:rPr>
          <w:rFonts w:ascii="仿宋" w:eastAsia="仿宋" w:hAnsi="仿宋" w:hint="eastAsia"/>
          <w:sz w:val="30"/>
          <w:szCs w:val="30"/>
        </w:rPr>
        <w:t>万元，较2018年增加</w:t>
      </w:r>
      <w:r w:rsidR="00D32ABC">
        <w:rPr>
          <w:rFonts w:ascii="仿宋" w:eastAsia="仿宋" w:hAnsi="仿宋" w:hint="eastAsia"/>
          <w:sz w:val="30"/>
          <w:szCs w:val="30"/>
        </w:rPr>
        <w:t>0.32</w:t>
      </w:r>
      <w:r>
        <w:rPr>
          <w:rFonts w:ascii="仿宋" w:eastAsia="仿宋" w:hAnsi="仿宋" w:hint="eastAsia"/>
          <w:sz w:val="30"/>
          <w:szCs w:val="30"/>
        </w:rPr>
        <w:t>万元，增长</w:t>
      </w:r>
      <w:r w:rsidR="00D32ABC">
        <w:rPr>
          <w:rFonts w:ascii="仿宋" w:eastAsia="仿宋" w:hAnsi="仿宋" w:hint="eastAsia"/>
          <w:sz w:val="30"/>
          <w:szCs w:val="30"/>
        </w:rPr>
        <w:t>40.51</w:t>
      </w:r>
      <w:r>
        <w:rPr>
          <w:rFonts w:ascii="仿宋" w:eastAsia="仿宋" w:hAnsi="仿宋" w:hint="eastAsia"/>
          <w:sz w:val="30"/>
          <w:szCs w:val="30"/>
        </w:rPr>
        <w:t>%，主要原因是：</w:t>
      </w:r>
      <w:r w:rsidR="00D32ABC">
        <w:rPr>
          <w:rFonts w:ascii="仿宋" w:eastAsia="仿宋" w:hAnsi="仿宋" w:hint="eastAsia"/>
          <w:sz w:val="30"/>
          <w:szCs w:val="30"/>
        </w:rPr>
        <w:t>工作需要</w:t>
      </w:r>
      <w:r>
        <w:rPr>
          <w:rFonts w:ascii="仿宋" w:eastAsia="仿宋" w:hAnsi="仿宋" w:hint="eastAsia"/>
          <w:sz w:val="30"/>
          <w:szCs w:val="30"/>
        </w:rPr>
        <w:t>。</w:t>
      </w:r>
    </w:p>
    <w:p w:rsidR="008D4FA1" w:rsidRDefault="008D4FA1" w:rsidP="008D4FA1">
      <w:pPr>
        <w:ind w:firstLine="630"/>
        <w:jc w:val="left"/>
        <w:rPr>
          <w:rFonts w:ascii="黑体" w:eastAsia="黑体" w:hAnsi="黑体"/>
          <w:sz w:val="30"/>
          <w:szCs w:val="30"/>
        </w:rPr>
      </w:pPr>
      <w:r>
        <w:rPr>
          <w:rFonts w:ascii="黑体" w:eastAsia="黑体" w:hAnsi="黑体" w:hint="eastAsia"/>
          <w:sz w:val="30"/>
          <w:szCs w:val="30"/>
        </w:rPr>
        <w:t>五、一般公共预算财政拨款“三公”经费支出决算情况说明</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本部门2019年度一般公共预算财政拨款“三公”经费支出年初预算数为</w:t>
      </w:r>
      <w:r w:rsidR="009F2203">
        <w:rPr>
          <w:rFonts w:ascii="仿宋" w:eastAsia="仿宋" w:hAnsi="仿宋" w:hint="eastAsia"/>
          <w:sz w:val="30"/>
          <w:szCs w:val="30"/>
        </w:rPr>
        <w:t>75</w:t>
      </w:r>
      <w:r>
        <w:rPr>
          <w:rFonts w:ascii="仿宋" w:eastAsia="仿宋" w:hAnsi="仿宋" w:hint="eastAsia"/>
          <w:sz w:val="30"/>
          <w:szCs w:val="30"/>
        </w:rPr>
        <w:t>万元，决算数为</w:t>
      </w:r>
      <w:r w:rsidR="009F2203">
        <w:rPr>
          <w:rFonts w:ascii="仿宋" w:eastAsia="仿宋" w:hAnsi="仿宋" w:hint="eastAsia"/>
          <w:sz w:val="30"/>
          <w:szCs w:val="30"/>
        </w:rPr>
        <w:t>43.64</w:t>
      </w:r>
      <w:r>
        <w:rPr>
          <w:rFonts w:ascii="仿宋" w:eastAsia="仿宋" w:hAnsi="仿宋" w:hint="eastAsia"/>
          <w:sz w:val="30"/>
          <w:szCs w:val="30"/>
        </w:rPr>
        <w:t>万元，完成年初预算的</w:t>
      </w:r>
      <w:r w:rsidR="009F2203">
        <w:rPr>
          <w:rFonts w:ascii="仿宋" w:eastAsia="仿宋" w:hAnsi="仿宋" w:hint="eastAsia"/>
          <w:sz w:val="30"/>
          <w:szCs w:val="30"/>
        </w:rPr>
        <w:t>58.19</w:t>
      </w:r>
      <w:r>
        <w:rPr>
          <w:rFonts w:ascii="仿宋" w:eastAsia="仿宋" w:hAnsi="仿宋" w:hint="eastAsia"/>
          <w:sz w:val="30"/>
          <w:szCs w:val="30"/>
        </w:rPr>
        <w:t>%，决算数较2018年增加</w:t>
      </w:r>
      <w:r w:rsidR="009F2203">
        <w:rPr>
          <w:rFonts w:ascii="仿宋" w:eastAsia="仿宋" w:hAnsi="仿宋" w:hint="eastAsia"/>
          <w:sz w:val="30"/>
          <w:szCs w:val="30"/>
        </w:rPr>
        <w:t>3.47</w:t>
      </w:r>
      <w:r>
        <w:rPr>
          <w:rFonts w:ascii="仿宋" w:eastAsia="仿宋" w:hAnsi="仿宋" w:hint="eastAsia"/>
          <w:sz w:val="30"/>
          <w:szCs w:val="30"/>
        </w:rPr>
        <w:t>万元，增长</w:t>
      </w:r>
      <w:r w:rsidR="009F2203">
        <w:rPr>
          <w:rFonts w:ascii="仿宋" w:eastAsia="仿宋" w:hAnsi="仿宋" w:hint="eastAsia"/>
          <w:sz w:val="30"/>
          <w:szCs w:val="30"/>
        </w:rPr>
        <w:t>8.64</w:t>
      </w:r>
      <w:r>
        <w:rPr>
          <w:rFonts w:ascii="仿宋" w:eastAsia="仿宋" w:hAnsi="仿宋" w:hint="eastAsia"/>
          <w:sz w:val="30"/>
          <w:szCs w:val="30"/>
        </w:rPr>
        <w:t xml:space="preserve"> %，其中：</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（一）因公出国（境）支出年初预算数为</w:t>
      </w:r>
      <w:r w:rsidR="009F2203">
        <w:rPr>
          <w:rFonts w:ascii="仿宋" w:eastAsia="仿宋" w:hAnsi="仿宋" w:hint="eastAsia"/>
          <w:sz w:val="30"/>
          <w:szCs w:val="30"/>
        </w:rPr>
        <w:t>15</w:t>
      </w:r>
      <w:r>
        <w:rPr>
          <w:rFonts w:ascii="仿宋" w:eastAsia="仿宋" w:hAnsi="仿宋" w:hint="eastAsia"/>
          <w:sz w:val="30"/>
          <w:szCs w:val="30"/>
        </w:rPr>
        <w:t>万元，决算数为</w:t>
      </w:r>
      <w:r w:rsidR="009F2203">
        <w:rPr>
          <w:rFonts w:ascii="仿宋" w:eastAsia="仿宋" w:hAnsi="仿宋" w:hint="eastAsia"/>
          <w:sz w:val="30"/>
          <w:szCs w:val="30"/>
        </w:rPr>
        <w:t>0</w:t>
      </w:r>
      <w:r>
        <w:rPr>
          <w:rFonts w:ascii="仿宋" w:eastAsia="仿宋" w:hAnsi="仿宋" w:hint="eastAsia"/>
          <w:sz w:val="30"/>
          <w:szCs w:val="30"/>
        </w:rPr>
        <w:t>万元，完成年初预算的</w:t>
      </w:r>
      <w:r w:rsidR="009F2203">
        <w:rPr>
          <w:rFonts w:ascii="仿宋" w:eastAsia="仿宋" w:hAnsi="仿宋" w:hint="eastAsia"/>
          <w:sz w:val="30"/>
          <w:szCs w:val="30"/>
        </w:rPr>
        <w:t>0</w:t>
      </w:r>
      <w:r>
        <w:rPr>
          <w:rFonts w:ascii="仿宋" w:eastAsia="仿宋" w:hAnsi="仿宋" w:hint="eastAsia"/>
          <w:sz w:val="30"/>
          <w:szCs w:val="30"/>
        </w:rPr>
        <w:t xml:space="preserve"> %，决算数较年初预算数减少主要原因是：</w:t>
      </w:r>
      <w:r w:rsidR="009F2203">
        <w:rPr>
          <w:rFonts w:ascii="仿宋" w:eastAsia="仿宋" w:hAnsi="仿宋" w:hint="eastAsia"/>
          <w:sz w:val="30"/>
          <w:szCs w:val="30"/>
        </w:rPr>
        <w:t>上级部门相关工作调整</w:t>
      </w:r>
      <w:r>
        <w:rPr>
          <w:rFonts w:ascii="仿宋" w:eastAsia="仿宋" w:hAnsi="仿宋" w:hint="eastAsia"/>
          <w:sz w:val="30"/>
          <w:szCs w:val="30"/>
        </w:rPr>
        <w:t>。</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（二）公务接待费支出年初预算数为</w:t>
      </w:r>
      <w:r w:rsidR="009F2203">
        <w:rPr>
          <w:rFonts w:ascii="仿宋" w:eastAsia="仿宋" w:hAnsi="仿宋" w:hint="eastAsia"/>
          <w:sz w:val="30"/>
          <w:szCs w:val="30"/>
        </w:rPr>
        <w:t>60</w:t>
      </w:r>
      <w:r>
        <w:rPr>
          <w:rFonts w:ascii="仿宋" w:eastAsia="仿宋" w:hAnsi="仿宋" w:hint="eastAsia"/>
          <w:sz w:val="30"/>
          <w:szCs w:val="30"/>
        </w:rPr>
        <w:t>万元，决算数为</w:t>
      </w:r>
      <w:r w:rsidR="009F2203">
        <w:rPr>
          <w:rFonts w:ascii="仿宋" w:eastAsia="仿宋" w:hAnsi="仿宋" w:hint="eastAsia"/>
          <w:sz w:val="30"/>
          <w:szCs w:val="30"/>
        </w:rPr>
        <w:t>43.64</w:t>
      </w:r>
      <w:r>
        <w:rPr>
          <w:rFonts w:ascii="仿宋" w:eastAsia="仿宋" w:hAnsi="仿宋" w:hint="eastAsia"/>
          <w:sz w:val="30"/>
          <w:szCs w:val="30"/>
        </w:rPr>
        <w:t>万元，完成年初预算的</w:t>
      </w:r>
      <w:r w:rsidR="009F2203">
        <w:rPr>
          <w:rFonts w:ascii="仿宋" w:eastAsia="仿宋" w:hAnsi="仿宋" w:hint="eastAsia"/>
          <w:sz w:val="30"/>
          <w:szCs w:val="30"/>
        </w:rPr>
        <w:t>0</w:t>
      </w:r>
      <w:r>
        <w:rPr>
          <w:rFonts w:ascii="仿宋" w:eastAsia="仿宋" w:hAnsi="仿宋" w:hint="eastAsia"/>
          <w:sz w:val="30"/>
          <w:szCs w:val="30"/>
        </w:rPr>
        <w:t>%，决算数较2018年增加</w:t>
      </w:r>
      <w:r w:rsidR="009F2203">
        <w:rPr>
          <w:rFonts w:ascii="仿宋" w:eastAsia="仿宋" w:hAnsi="仿宋" w:hint="eastAsia"/>
          <w:sz w:val="30"/>
          <w:szCs w:val="30"/>
        </w:rPr>
        <w:t>3.47</w:t>
      </w:r>
      <w:r>
        <w:rPr>
          <w:rFonts w:ascii="仿宋" w:eastAsia="仿宋" w:hAnsi="仿宋" w:hint="eastAsia"/>
          <w:sz w:val="30"/>
          <w:szCs w:val="30"/>
        </w:rPr>
        <w:t>万元，增长</w:t>
      </w:r>
      <w:r w:rsidR="009F2203">
        <w:rPr>
          <w:rFonts w:ascii="仿宋" w:eastAsia="仿宋" w:hAnsi="仿宋" w:hint="eastAsia"/>
          <w:sz w:val="30"/>
          <w:szCs w:val="30"/>
        </w:rPr>
        <w:t>8.67</w:t>
      </w:r>
      <w:r>
        <w:rPr>
          <w:rFonts w:ascii="仿宋" w:eastAsia="仿宋" w:hAnsi="仿宋" w:hint="eastAsia"/>
          <w:sz w:val="30"/>
          <w:szCs w:val="30"/>
        </w:rPr>
        <w:t xml:space="preserve"> %。决算数较年初预算数减少的主要原因是：</w:t>
      </w:r>
      <w:r w:rsidR="00D43D81">
        <w:rPr>
          <w:rFonts w:ascii="仿宋" w:eastAsia="仿宋" w:hAnsi="仿宋" w:hint="eastAsia"/>
          <w:sz w:val="30"/>
          <w:szCs w:val="30"/>
        </w:rPr>
        <w:t>相关工作压缩相应接待</w:t>
      </w:r>
      <w:r>
        <w:rPr>
          <w:rFonts w:ascii="仿宋" w:eastAsia="仿宋" w:hAnsi="仿宋" w:hint="eastAsia"/>
          <w:sz w:val="30"/>
          <w:szCs w:val="30"/>
        </w:rPr>
        <w:t>。</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（三）公务用车购置及运行维护费支出</w:t>
      </w:r>
      <w:r w:rsidR="00D43D81">
        <w:rPr>
          <w:rFonts w:ascii="仿宋" w:eastAsia="仿宋" w:hAnsi="仿宋" w:hint="eastAsia"/>
          <w:sz w:val="30"/>
          <w:szCs w:val="30"/>
        </w:rPr>
        <w:t>0</w:t>
      </w:r>
      <w:r>
        <w:rPr>
          <w:rFonts w:ascii="仿宋" w:eastAsia="仿宋" w:hAnsi="仿宋" w:hint="eastAsia"/>
          <w:sz w:val="30"/>
          <w:szCs w:val="30"/>
        </w:rPr>
        <w:t>万元，其中公务用</w:t>
      </w:r>
      <w:r>
        <w:rPr>
          <w:rFonts w:ascii="仿宋" w:eastAsia="仿宋" w:hAnsi="仿宋" w:hint="eastAsia"/>
          <w:sz w:val="30"/>
          <w:szCs w:val="30"/>
        </w:rPr>
        <w:lastRenderedPageBreak/>
        <w:t>车购置年初预算数为</w:t>
      </w:r>
      <w:r w:rsidR="00D43D81">
        <w:rPr>
          <w:rFonts w:ascii="仿宋" w:eastAsia="仿宋" w:hAnsi="仿宋" w:hint="eastAsia"/>
          <w:sz w:val="30"/>
          <w:szCs w:val="30"/>
        </w:rPr>
        <w:t>0</w:t>
      </w:r>
      <w:r>
        <w:rPr>
          <w:rFonts w:ascii="仿宋" w:eastAsia="仿宋" w:hAnsi="仿宋" w:hint="eastAsia"/>
          <w:sz w:val="30"/>
          <w:szCs w:val="30"/>
        </w:rPr>
        <w:t>万元，决算数为</w:t>
      </w:r>
      <w:r w:rsidR="00D43D81">
        <w:rPr>
          <w:rFonts w:ascii="仿宋" w:eastAsia="仿宋" w:hAnsi="仿宋" w:hint="eastAsia"/>
          <w:sz w:val="30"/>
          <w:szCs w:val="30"/>
        </w:rPr>
        <w:t>0万元，公车改革后未再有此项费用预算及支出。</w:t>
      </w:r>
    </w:p>
    <w:p w:rsidR="008D4FA1" w:rsidRDefault="008D4FA1" w:rsidP="008D4FA1">
      <w:pPr>
        <w:ind w:firstLine="630"/>
        <w:jc w:val="left"/>
        <w:rPr>
          <w:rFonts w:ascii="黑体" w:eastAsia="黑体" w:hAnsi="黑体"/>
          <w:sz w:val="30"/>
          <w:szCs w:val="30"/>
        </w:rPr>
      </w:pPr>
      <w:r>
        <w:rPr>
          <w:rFonts w:ascii="黑体" w:eastAsia="黑体" w:hAnsi="黑体" w:hint="eastAsia"/>
          <w:sz w:val="30"/>
          <w:szCs w:val="30"/>
        </w:rPr>
        <w:t>六、机关运行经费支出情况说明</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本部门2019年度机关运行经费支出</w:t>
      </w:r>
      <w:r w:rsidR="00646BCB">
        <w:rPr>
          <w:rFonts w:ascii="仿宋" w:eastAsia="仿宋" w:hAnsi="仿宋" w:hint="eastAsia"/>
          <w:sz w:val="30"/>
          <w:szCs w:val="30"/>
        </w:rPr>
        <w:t>78.72</w:t>
      </w:r>
      <w:r>
        <w:rPr>
          <w:rFonts w:ascii="仿宋" w:eastAsia="仿宋" w:hAnsi="仿宋" w:hint="eastAsia"/>
          <w:sz w:val="30"/>
          <w:szCs w:val="30"/>
        </w:rPr>
        <w:t>万元（与部门决算中行政单位和参照公务员法管理事业单位一般公共预算财政拨款基本支出中公用经费之和保持一致），较年初预算数增加</w:t>
      </w:r>
      <w:r w:rsidR="0092322B">
        <w:rPr>
          <w:rFonts w:ascii="仿宋" w:eastAsia="仿宋" w:hAnsi="仿宋" w:hint="eastAsia"/>
          <w:sz w:val="30"/>
          <w:szCs w:val="30"/>
        </w:rPr>
        <w:t>43.06</w:t>
      </w:r>
      <w:r>
        <w:rPr>
          <w:rFonts w:ascii="仿宋" w:eastAsia="仿宋" w:hAnsi="仿宋" w:hint="eastAsia"/>
          <w:sz w:val="30"/>
          <w:szCs w:val="30"/>
        </w:rPr>
        <w:t>万元，增长</w:t>
      </w:r>
      <w:r w:rsidR="0092322B">
        <w:rPr>
          <w:rFonts w:ascii="仿宋" w:eastAsia="仿宋" w:hAnsi="仿宋" w:hint="eastAsia"/>
          <w:sz w:val="30"/>
          <w:szCs w:val="30"/>
        </w:rPr>
        <w:t>120.75</w:t>
      </w:r>
      <w:r>
        <w:rPr>
          <w:rFonts w:ascii="仿宋" w:eastAsia="仿宋" w:hAnsi="仿宋" w:hint="eastAsia"/>
          <w:sz w:val="30"/>
          <w:szCs w:val="30"/>
        </w:rPr>
        <w:t>%，主要原因是：</w:t>
      </w:r>
      <w:r w:rsidR="0092322B">
        <w:rPr>
          <w:rFonts w:ascii="仿宋" w:eastAsia="仿宋" w:hAnsi="仿宋" w:hint="eastAsia"/>
          <w:sz w:val="30"/>
          <w:szCs w:val="30"/>
        </w:rPr>
        <w:t>单位合并，正常运转经费增加。</w:t>
      </w:r>
      <w:r>
        <w:rPr>
          <w:rFonts w:ascii="仿宋" w:eastAsia="仿宋" w:hAnsi="仿宋" w:hint="eastAsia"/>
          <w:sz w:val="30"/>
          <w:szCs w:val="30"/>
        </w:rPr>
        <w:t xml:space="preserve"> </w:t>
      </w:r>
    </w:p>
    <w:p w:rsidR="008D4FA1" w:rsidRDefault="008D4FA1" w:rsidP="008D4FA1">
      <w:pPr>
        <w:ind w:firstLine="630"/>
        <w:jc w:val="left"/>
        <w:rPr>
          <w:rFonts w:ascii="黑体" w:eastAsia="黑体" w:hAnsi="黑体"/>
          <w:sz w:val="30"/>
          <w:szCs w:val="30"/>
        </w:rPr>
      </w:pPr>
      <w:r>
        <w:rPr>
          <w:rFonts w:ascii="黑体" w:eastAsia="黑体" w:hAnsi="黑体" w:hint="eastAsia"/>
          <w:sz w:val="30"/>
          <w:szCs w:val="30"/>
        </w:rPr>
        <w:t>七、政府采购支出情况说明</w:t>
      </w:r>
    </w:p>
    <w:p w:rsidR="008D4FA1" w:rsidRDefault="008D4FA1" w:rsidP="008D4FA1">
      <w:pPr>
        <w:pStyle w:val="p0"/>
        <w:spacing w:line="600" w:lineRule="atLeast"/>
        <w:ind w:firstLine="600"/>
        <w:rPr>
          <w:rFonts w:ascii="仿宋" w:eastAsia="仿宋" w:hAnsi="仿宋"/>
          <w:sz w:val="30"/>
          <w:szCs w:val="30"/>
        </w:rPr>
      </w:pPr>
      <w:r>
        <w:rPr>
          <w:rFonts w:ascii="仿宋" w:eastAsia="仿宋" w:hAnsi="仿宋" w:hint="eastAsia"/>
          <w:sz w:val="30"/>
          <w:szCs w:val="30"/>
        </w:rPr>
        <w:t>本部门2019年度政府采购支出总额</w:t>
      </w:r>
      <w:r w:rsidR="0092322B">
        <w:rPr>
          <w:rFonts w:ascii="仿宋" w:eastAsia="仿宋" w:hAnsi="仿宋" w:hint="eastAsia"/>
          <w:sz w:val="30"/>
          <w:szCs w:val="30"/>
        </w:rPr>
        <w:t>1.11</w:t>
      </w:r>
      <w:r>
        <w:rPr>
          <w:rFonts w:ascii="仿宋" w:eastAsia="仿宋" w:hAnsi="仿宋" w:hint="eastAsia"/>
          <w:sz w:val="30"/>
          <w:szCs w:val="30"/>
        </w:rPr>
        <w:t>万元，其中：政府采购货物支出</w:t>
      </w:r>
      <w:r w:rsidR="0092322B">
        <w:rPr>
          <w:rFonts w:ascii="仿宋" w:eastAsia="仿宋" w:hAnsi="仿宋" w:hint="eastAsia"/>
          <w:sz w:val="30"/>
          <w:szCs w:val="30"/>
        </w:rPr>
        <w:t>1.11</w:t>
      </w:r>
      <w:r>
        <w:rPr>
          <w:rFonts w:ascii="仿宋" w:eastAsia="仿宋" w:hAnsi="仿宋" w:hint="eastAsia"/>
          <w:sz w:val="30"/>
          <w:szCs w:val="30"/>
        </w:rPr>
        <w:t>万元</w:t>
      </w:r>
      <w:r w:rsidR="0092322B">
        <w:rPr>
          <w:rFonts w:ascii="仿宋" w:eastAsia="仿宋" w:hAnsi="仿宋" w:hint="eastAsia"/>
          <w:sz w:val="30"/>
          <w:szCs w:val="30"/>
        </w:rPr>
        <w:t>.</w:t>
      </w:r>
    </w:p>
    <w:p w:rsidR="008D4FA1" w:rsidRDefault="008D4FA1" w:rsidP="008D4FA1">
      <w:pPr>
        <w:ind w:firstLine="630"/>
        <w:jc w:val="left"/>
        <w:rPr>
          <w:rFonts w:ascii="黑体" w:eastAsia="黑体" w:hAnsi="黑体"/>
          <w:sz w:val="30"/>
          <w:szCs w:val="30"/>
        </w:rPr>
      </w:pPr>
      <w:r>
        <w:rPr>
          <w:rFonts w:ascii="黑体" w:eastAsia="黑体" w:hAnsi="黑体" w:hint="eastAsia"/>
          <w:sz w:val="30"/>
          <w:szCs w:val="30"/>
        </w:rPr>
        <w:t>八、国有资产占用情况说明。</w:t>
      </w:r>
    </w:p>
    <w:p w:rsidR="008D4FA1" w:rsidRDefault="0092322B" w:rsidP="008D4FA1">
      <w:pPr>
        <w:ind w:firstLine="630"/>
        <w:jc w:val="left"/>
        <w:rPr>
          <w:rFonts w:ascii="仿宋" w:eastAsia="仿宋" w:hAnsi="仿宋"/>
          <w:kern w:val="0"/>
          <w:sz w:val="30"/>
          <w:szCs w:val="30"/>
        </w:rPr>
      </w:pPr>
      <w:r>
        <w:rPr>
          <w:rFonts w:ascii="仿宋" w:eastAsia="仿宋" w:hAnsi="仿宋" w:hint="eastAsia"/>
          <w:kern w:val="0"/>
          <w:sz w:val="30"/>
          <w:szCs w:val="30"/>
        </w:rPr>
        <w:t>无</w:t>
      </w:r>
      <w:r w:rsidR="008D4FA1">
        <w:rPr>
          <w:rFonts w:ascii="仿宋" w:eastAsia="仿宋" w:hAnsi="仿宋" w:hint="eastAsia"/>
          <w:kern w:val="0"/>
          <w:sz w:val="30"/>
          <w:szCs w:val="30"/>
        </w:rPr>
        <w:t>。</w:t>
      </w:r>
    </w:p>
    <w:p w:rsidR="008D4FA1" w:rsidRDefault="008D4FA1" w:rsidP="008D4FA1">
      <w:pPr>
        <w:ind w:firstLine="630"/>
        <w:jc w:val="left"/>
        <w:rPr>
          <w:rFonts w:ascii="黑体" w:eastAsia="黑体" w:hAnsi="黑体"/>
          <w:sz w:val="30"/>
          <w:szCs w:val="30"/>
        </w:rPr>
      </w:pPr>
      <w:r>
        <w:rPr>
          <w:rFonts w:ascii="黑体" w:eastAsia="黑体" w:hAnsi="黑体" w:hint="eastAsia"/>
          <w:sz w:val="30"/>
          <w:szCs w:val="30"/>
        </w:rPr>
        <w:t>九、预算绩效情况说明</w:t>
      </w:r>
    </w:p>
    <w:p w:rsidR="008D4FA1" w:rsidRDefault="008D4FA1" w:rsidP="008D4FA1">
      <w:pPr>
        <w:autoSpaceDE w:val="0"/>
        <w:autoSpaceDN w:val="0"/>
        <w:adjustRightInd w:val="0"/>
        <w:spacing w:line="360" w:lineRule="auto"/>
        <w:jc w:val="left"/>
        <w:rPr>
          <w:rFonts w:ascii="仿宋" w:eastAsia="仿宋" w:hAnsi="仿宋" w:cs="仿宋_GB2312"/>
          <w:kern w:val="0"/>
          <w:sz w:val="30"/>
          <w:szCs w:val="30"/>
        </w:rPr>
      </w:pPr>
      <w:r>
        <w:rPr>
          <w:rFonts w:ascii="仿宋" w:eastAsia="仿宋" w:hAnsi="仿宋" w:cs="仿宋_GB2312" w:hint="eastAsia"/>
          <w:kern w:val="0"/>
          <w:sz w:val="30"/>
          <w:szCs w:val="30"/>
        </w:rPr>
        <w:t xml:space="preserve">   （一）绩效管理工作开展情况。</w:t>
      </w:r>
    </w:p>
    <w:p w:rsidR="008D4FA1" w:rsidRDefault="008D4FA1" w:rsidP="004D509B">
      <w:pPr>
        <w:autoSpaceDE w:val="0"/>
        <w:autoSpaceDN w:val="0"/>
        <w:adjustRightInd w:val="0"/>
        <w:spacing w:line="360" w:lineRule="auto"/>
        <w:ind w:firstLine="600"/>
        <w:jc w:val="left"/>
        <w:rPr>
          <w:rFonts w:ascii="仿宋" w:eastAsia="仿宋" w:hAnsi="仿宋" w:cs="仿宋_GB2312"/>
          <w:kern w:val="0"/>
          <w:sz w:val="30"/>
          <w:szCs w:val="30"/>
        </w:rPr>
      </w:pPr>
      <w:r>
        <w:rPr>
          <w:rFonts w:ascii="仿宋" w:eastAsia="仿宋" w:hAnsi="仿宋" w:cs="仿宋_GB2312" w:hint="eastAsia"/>
          <w:kern w:val="0"/>
          <w:sz w:val="30"/>
          <w:szCs w:val="30"/>
        </w:rPr>
        <w:t>根据预算绩效管理要求，我部门组织对</w:t>
      </w:r>
      <w:r>
        <w:rPr>
          <w:rFonts w:ascii="仿宋" w:eastAsia="仿宋" w:hAnsi="仿宋" w:cs="仿宋_GB2312"/>
          <w:kern w:val="0"/>
          <w:sz w:val="30"/>
          <w:szCs w:val="30"/>
        </w:rPr>
        <w:t>201</w:t>
      </w:r>
      <w:r>
        <w:rPr>
          <w:rFonts w:ascii="仿宋" w:eastAsia="仿宋" w:hAnsi="仿宋" w:cs="仿宋_GB2312" w:hint="eastAsia"/>
          <w:kern w:val="0"/>
          <w:sz w:val="30"/>
          <w:szCs w:val="30"/>
        </w:rPr>
        <w:t>9年度一般公共预算项目支出全面开展绩效自评，其中，一级项目</w:t>
      </w:r>
      <w:r w:rsidR="0092322B">
        <w:rPr>
          <w:rFonts w:ascii="仿宋" w:eastAsia="仿宋" w:hAnsi="仿宋" w:cs="仿宋_GB2312" w:hint="eastAsia"/>
          <w:kern w:val="0"/>
          <w:sz w:val="30"/>
          <w:szCs w:val="30"/>
        </w:rPr>
        <w:t>1</w:t>
      </w:r>
      <w:r>
        <w:rPr>
          <w:rFonts w:ascii="仿宋" w:eastAsia="仿宋" w:hAnsi="仿宋" w:cs="仿宋_GB2312" w:hint="eastAsia"/>
          <w:kern w:val="0"/>
          <w:sz w:val="30"/>
          <w:szCs w:val="30"/>
        </w:rPr>
        <w:t>个，共涉及资金</w:t>
      </w:r>
      <w:r w:rsidR="0092322B">
        <w:rPr>
          <w:rFonts w:ascii="仿宋" w:eastAsia="仿宋" w:hAnsi="仿宋" w:cs="仿宋_GB2312" w:hint="eastAsia"/>
          <w:kern w:val="0"/>
          <w:sz w:val="30"/>
          <w:szCs w:val="30"/>
        </w:rPr>
        <w:t>64.42</w:t>
      </w:r>
      <w:r>
        <w:rPr>
          <w:rFonts w:ascii="仿宋" w:eastAsia="仿宋" w:hAnsi="仿宋" w:cs="仿宋_GB2312" w:hint="eastAsia"/>
          <w:kern w:val="0"/>
          <w:sz w:val="30"/>
          <w:szCs w:val="30"/>
        </w:rPr>
        <w:t>万元，占一般公共预算项目支出总额的</w:t>
      </w:r>
      <w:r w:rsidR="0092322B">
        <w:rPr>
          <w:rFonts w:ascii="仿宋" w:eastAsia="仿宋" w:hAnsi="仿宋" w:cs="仿宋_GB2312" w:hint="eastAsia"/>
          <w:kern w:val="0"/>
          <w:sz w:val="30"/>
          <w:szCs w:val="30"/>
        </w:rPr>
        <w:t>21.47</w:t>
      </w:r>
      <w:r>
        <w:rPr>
          <w:rFonts w:ascii="仿宋" w:eastAsia="仿宋" w:hAnsi="仿宋" w:cs="仿宋_GB2312" w:hint="eastAsia"/>
          <w:kern w:val="0"/>
          <w:sz w:val="30"/>
          <w:szCs w:val="30"/>
        </w:rPr>
        <w:t>%。</w:t>
      </w:r>
    </w:p>
    <w:p w:rsidR="004D509B" w:rsidRDefault="004D509B" w:rsidP="004D509B">
      <w:pPr>
        <w:spacing w:line="580" w:lineRule="exact"/>
        <w:ind w:firstLineChars="200" w:firstLine="600"/>
        <w:contextualSpacing/>
        <w:rPr>
          <w:rFonts w:ascii="仿宋" w:eastAsia="仿宋" w:hAnsi="仿宋" w:cs="仿宋"/>
          <w:color w:val="000000"/>
          <w:sz w:val="32"/>
          <w:szCs w:val="32"/>
        </w:rPr>
      </w:pPr>
      <w:r>
        <w:rPr>
          <w:rFonts w:ascii="仿宋" w:eastAsia="仿宋" w:hAnsi="仿宋" w:cs="仿宋_GB2312" w:hint="eastAsia"/>
          <w:kern w:val="0"/>
          <w:sz w:val="30"/>
          <w:szCs w:val="30"/>
        </w:rPr>
        <w:t>1、</w:t>
      </w:r>
      <w:r w:rsidR="008D4FA1">
        <w:rPr>
          <w:rFonts w:ascii="仿宋" w:eastAsia="仿宋" w:hAnsi="仿宋" w:cs="仿宋_GB2312" w:hint="eastAsia"/>
          <w:kern w:val="0"/>
          <w:sz w:val="30"/>
          <w:szCs w:val="30"/>
        </w:rPr>
        <w:t>组织对“</w:t>
      </w:r>
      <w:r w:rsidR="0092322B">
        <w:rPr>
          <w:rFonts w:ascii="仿宋" w:eastAsia="仿宋" w:hAnsi="仿宋" w:cs="仿宋_GB2312" w:hint="eastAsia"/>
          <w:kern w:val="0"/>
          <w:sz w:val="30"/>
          <w:szCs w:val="30"/>
        </w:rPr>
        <w:t>招商专项</w:t>
      </w:r>
      <w:r w:rsidR="008D4FA1">
        <w:rPr>
          <w:rFonts w:ascii="仿宋" w:eastAsia="仿宋" w:hAnsi="仿宋" w:cs="仿宋_GB2312" w:hint="eastAsia"/>
          <w:kern w:val="0"/>
          <w:sz w:val="30"/>
          <w:szCs w:val="30"/>
        </w:rPr>
        <w:t>”</w:t>
      </w:r>
      <w:r w:rsidR="0092322B">
        <w:rPr>
          <w:rFonts w:ascii="仿宋" w:eastAsia="仿宋" w:hAnsi="仿宋" w:cs="仿宋_GB2312" w:hint="eastAsia"/>
          <w:kern w:val="0"/>
          <w:sz w:val="30"/>
          <w:szCs w:val="30"/>
        </w:rPr>
        <w:t>1</w:t>
      </w:r>
      <w:r w:rsidR="008D4FA1">
        <w:rPr>
          <w:rFonts w:ascii="仿宋" w:eastAsia="仿宋" w:hAnsi="仿宋" w:cs="仿宋_GB2312" w:hint="eastAsia"/>
          <w:kern w:val="0"/>
          <w:sz w:val="30"/>
          <w:szCs w:val="30"/>
        </w:rPr>
        <w:t>个项目开展了部门评价，涉及一般公共预算支出</w:t>
      </w:r>
      <w:r w:rsidR="0092322B">
        <w:rPr>
          <w:rFonts w:ascii="仿宋" w:eastAsia="仿宋" w:hAnsi="仿宋" w:cs="仿宋_GB2312" w:hint="eastAsia"/>
          <w:kern w:val="0"/>
          <w:sz w:val="30"/>
          <w:szCs w:val="30"/>
        </w:rPr>
        <w:t>64.42万元</w:t>
      </w:r>
      <w:r w:rsidR="008D4FA1">
        <w:rPr>
          <w:rFonts w:ascii="仿宋" w:eastAsia="仿宋" w:hAnsi="仿宋" w:cs="仿宋_GB2312" w:hint="eastAsia"/>
          <w:kern w:val="0"/>
          <w:sz w:val="30"/>
          <w:szCs w:val="30"/>
        </w:rPr>
        <w:t>。从评价情况来看，</w:t>
      </w:r>
      <w:r>
        <w:rPr>
          <w:rFonts w:ascii="仿宋" w:eastAsia="仿宋" w:hAnsi="仿宋" w:hint="eastAsia"/>
          <w:sz w:val="32"/>
          <w:szCs w:val="32"/>
        </w:rPr>
        <w:t>我市引进市外2000万以上项目 38 个，引进市外资金 132亿元，进资总量排位九江市第10，同比增长9.72 %，同比排位九江市第4，</w:t>
      </w:r>
      <w:r>
        <w:rPr>
          <w:rFonts w:ascii="仿宋" w:eastAsia="仿宋" w:hAnsi="仿宋" w:hint="eastAsia"/>
          <w:sz w:val="32"/>
          <w:szCs w:val="32"/>
        </w:rPr>
        <w:lastRenderedPageBreak/>
        <w:t>完成全年任务的101.5%。新引进亿元以上项目25个，其中亿元以上工业项目19个。</w:t>
      </w:r>
    </w:p>
    <w:p w:rsidR="007724A2" w:rsidRDefault="007724A2"/>
    <w:sectPr w:rsidR="007724A2" w:rsidSect="007724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8FC" w:rsidRDefault="001228FC" w:rsidP="00BF3FF2">
      <w:r>
        <w:separator/>
      </w:r>
    </w:p>
  </w:endnote>
  <w:endnote w:type="continuationSeparator" w:id="0">
    <w:p w:rsidR="001228FC" w:rsidRDefault="001228FC" w:rsidP="00BF3F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8FC" w:rsidRDefault="001228FC" w:rsidP="00BF3FF2">
      <w:r>
        <w:separator/>
      </w:r>
    </w:p>
  </w:footnote>
  <w:footnote w:type="continuationSeparator" w:id="0">
    <w:p w:rsidR="001228FC" w:rsidRDefault="001228FC" w:rsidP="00BF3F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95282"/>
    <w:multiLevelType w:val="singleLevel"/>
    <w:tmpl w:val="04095282"/>
    <w:lvl w:ilvl="0">
      <w:start w:val="1"/>
      <w:numFmt w:val="decimal"/>
      <w:suff w:val="nothing"/>
      <w:lvlText w:val="%1、"/>
      <w:lvlJc w:val="left"/>
    </w:lvl>
  </w:abstractNum>
  <w:abstractNum w:abstractNumId="1">
    <w:nsid w:val="0D9F3306"/>
    <w:multiLevelType w:val="hybridMultilevel"/>
    <w:tmpl w:val="425AF318"/>
    <w:lvl w:ilvl="0" w:tplc="AE5A5940">
      <w:start w:val="1"/>
      <w:numFmt w:val="japaneseCounting"/>
      <w:lvlText w:val="%1、"/>
      <w:lvlJc w:val="left"/>
      <w:pPr>
        <w:ind w:left="2005" w:hanging="720"/>
      </w:pPr>
      <w:rPr>
        <w:rFonts w:hint="default"/>
      </w:rPr>
    </w:lvl>
    <w:lvl w:ilvl="1" w:tplc="04090019" w:tentative="1">
      <w:start w:val="1"/>
      <w:numFmt w:val="lowerLetter"/>
      <w:lvlText w:val="%2)"/>
      <w:lvlJc w:val="left"/>
      <w:pPr>
        <w:ind w:left="2125" w:hanging="420"/>
      </w:pPr>
    </w:lvl>
    <w:lvl w:ilvl="2" w:tplc="0409001B" w:tentative="1">
      <w:start w:val="1"/>
      <w:numFmt w:val="lowerRoman"/>
      <w:lvlText w:val="%3."/>
      <w:lvlJc w:val="right"/>
      <w:pPr>
        <w:ind w:left="2545" w:hanging="420"/>
      </w:pPr>
    </w:lvl>
    <w:lvl w:ilvl="3" w:tplc="0409000F" w:tentative="1">
      <w:start w:val="1"/>
      <w:numFmt w:val="decimal"/>
      <w:lvlText w:val="%4."/>
      <w:lvlJc w:val="left"/>
      <w:pPr>
        <w:ind w:left="2965" w:hanging="420"/>
      </w:pPr>
    </w:lvl>
    <w:lvl w:ilvl="4" w:tplc="04090019" w:tentative="1">
      <w:start w:val="1"/>
      <w:numFmt w:val="lowerLetter"/>
      <w:lvlText w:val="%5)"/>
      <w:lvlJc w:val="left"/>
      <w:pPr>
        <w:ind w:left="3385" w:hanging="420"/>
      </w:pPr>
    </w:lvl>
    <w:lvl w:ilvl="5" w:tplc="0409001B" w:tentative="1">
      <w:start w:val="1"/>
      <w:numFmt w:val="lowerRoman"/>
      <w:lvlText w:val="%6."/>
      <w:lvlJc w:val="right"/>
      <w:pPr>
        <w:ind w:left="3805" w:hanging="420"/>
      </w:pPr>
    </w:lvl>
    <w:lvl w:ilvl="6" w:tplc="0409000F" w:tentative="1">
      <w:start w:val="1"/>
      <w:numFmt w:val="decimal"/>
      <w:lvlText w:val="%7."/>
      <w:lvlJc w:val="left"/>
      <w:pPr>
        <w:ind w:left="4225" w:hanging="420"/>
      </w:pPr>
    </w:lvl>
    <w:lvl w:ilvl="7" w:tplc="04090019" w:tentative="1">
      <w:start w:val="1"/>
      <w:numFmt w:val="lowerLetter"/>
      <w:lvlText w:val="%8)"/>
      <w:lvlJc w:val="left"/>
      <w:pPr>
        <w:ind w:left="4645" w:hanging="420"/>
      </w:pPr>
    </w:lvl>
    <w:lvl w:ilvl="8" w:tplc="0409001B" w:tentative="1">
      <w:start w:val="1"/>
      <w:numFmt w:val="lowerRoman"/>
      <w:lvlText w:val="%9."/>
      <w:lvlJc w:val="right"/>
      <w:pPr>
        <w:ind w:left="5065"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4FA1"/>
    <w:rsid w:val="00066D33"/>
    <w:rsid w:val="001228FC"/>
    <w:rsid w:val="00136867"/>
    <w:rsid w:val="004D509B"/>
    <w:rsid w:val="005D550E"/>
    <w:rsid w:val="00646BCB"/>
    <w:rsid w:val="007724A2"/>
    <w:rsid w:val="007F38B6"/>
    <w:rsid w:val="008D4FA1"/>
    <w:rsid w:val="0092322B"/>
    <w:rsid w:val="009E639C"/>
    <w:rsid w:val="009F2203"/>
    <w:rsid w:val="00A43B44"/>
    <w:rsid w:val="00A62F04"/>
    <w:rsid w:val="00BF3FF2"/>
    <w:rsid w:val="00C64A25"/>
    <w:rsid w:val="00D002CF"/>
    <w:rsid w:val="00D32ABC"/>
    <w:rsid w:val="00D43D81"/>
    <w:rsid w:val="00FB1FA1"/>
    <w:rsid w:val="00FD00B5"/>
    <w:rsid w:val="00FE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FA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8D4FA1"/>
    <w:pPr>
      <w:widowControl/>
    </w:pPr>
    <w:rPr>
      <w:kern w:val="0"/>
      <w:szCs w:val="21"/>
    </w:rPr>
  </w:style>
  <w:style w:type="paragraph" w:styleId="a3">
    <w:name w:val="Balloon Text"/>
    <w:basedOn w:val="a"/>
    <w:link w:val="Char"/>
    <w:uiPriority w:val="99"/>
    <w:semiHidden/>
    <w:unhideWhenUsed/>
    <w:rsid w:val="008D4FA1"/>
    <w:rPr>
      <w:sz w:val="18"/>
      <w:szCs w:val="18"/>
    </w:rPr>
  </w:style>
  <w:style w:type="character" w:customStyle="1" w:styleId="Char">
    <w:name w:val="批注框文本 Char"/>
    <w:basedOn w:val="a0"/>
    <w:link w:val="a3"/>
    <w:uiPriority w:val="99"/>
    <w:semiHidden/>
    <w:rsid w:val="008D4FA1"/>
    <w:rPr>
      <w:rFonts w:ascii="Times New Roman" w:eastAsia="宋体" w:hAnsi="Times New Roman" w:cs="Times New Roman"/>
      <w:sz w:val="18"/>
      <w:szCs w:val="18"/>
    </w:rPr>
  </w:style>
  <w:style w:type="paragraph" w:styleId="a4">
    <w:name w:val="List Paragraph"/>
    <w:basedOn w:val="a"/>
    <w:uiPriority w:val="34"/>
    <w:qFormat/>
    <w:rsid w:val="008D4FA1"/>
    <w:pPr>
      <w:ind w:firstLineChars="200" w:firstLine="420"/>
    </w:pPr>
  </w:style>
  <w:style w:type="paragraph" w:styleId="a5">
    <w:name w:val="No Spacing"/>
    <w:uiPriority w:val="1"/>
    <w:qFormat/>
    <w:rsid w:val="00BF3FF2"/>
    <w:pPr>
      <w:widowControl w:val="0"/>
      <w:jc w:val="both"/>
    </w:pPr>
    <w:rPr>
      <w:rFonts w:ascii="Times New Roman" w:eastAsia="宋体" w:hAnsi="Times New Roman" w:cs="Times New Roman"/>
      <w:szCs w:val="20"/>
    </w:rPr>
  </w:style>
  <w:style w:type="paragraph" w:styleId="a6">
    <w:name w:val="header"/>
    <w:basedOn w:val="a"/>
    <w:link w:val="Char0"/>
    <w:uiPriority w:val="99"/>
    <w:semiHidden/>
    <w:unhideWhenUsed/>
    <w:rsid w:val="00BF3FF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BF3FF2"/>
    <w:rPr>
      <w:rFonts w:ascii="Times New Roman" w:eastAsia="宋体" w:hAnsi="Times New Roman" w:cs="Times New Roman"/>
      <w:sz w:val="18"/>
      <w:szCs w:val="18"/>
    </w:rPr>
  </w:style>
  <w:style w:type="paragraph" w:styleId="a7">
    <w:name w:val="footer"/>
    <w:basedOn w:val="a"/>
    <w:link w:val="Char1"/>
    <w:uiPriority w:val="99"/>
    <w:semiHidden/>
    <w:unhideWhenUsed/>
    <w:rsid w:val="00BF3FF2"/>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BF3FF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4745445">
      <w:bodyDiv w:val="1"/>
      <w:marLeft w:val="0"/>
      <w:marRight w:val="0"/>
      <w:marTop w:val="0"/>
      <w:marBottom w:val="0"/>
      <w:divBdr>
        <w:top w:val="none" w:sz="0" w:space="0" w:color="auto"/>
        <w:left w:val="none" w:sz="0" w:space="0" w:color="auto"/>
        <w:bottom w:val="none" w:sz="0" w:space="0" w:color="auto"/>
        <w:right w:val="none" w:sz="0" w:space="0" w:color="auto"/>
      </w:divBdr>
    </w:div>
    <w:div w:id="297416428">
      <w:bodyDiv w:val="1"/>
      <w:marLeft w:val="0"/>
      <w:marRight w:val="0"/>
      <w:marTop w:val="0"/>
      <w:marBottom w:val="0"/>
      <w:divBdr>
        <w:top w:val="none" w:sz="0" w:space="0" w:color="auto"/>
        <w:left w:val="none" w:sz="0" w:space="0" w:color="auto"/>
        <w:bottom w:val="none" w:sz="0" w:space="0" w:color="auto"/>
        <w:right w:val="none" w:sz="0" w:space="0" w:color="auto"/>
      </w:divBdr>
    </w:div>
    <w:div w:id="460656666">
      <w:bodyDiv w:val="1"/>
      <w:marLeft w:val="0"/>
      <w:marRight w:val="0"/>
      <w:marTop w:val="0"/>
      <w:marBottom w:val="0"/>
      <w:divBdr>
        <w:top w:val="none" w:sz="0" w:space="0" w:color="auto"/>
        <w:left w:val="none" w:sz="0" w:space="0" w:color="auto"/>
        <w:bottom w:val="none" w:sz="0" w:space="0" w:color="auto"/>
        <w:right w:val="none" w:sz="0" w:space="0" w:color="auto"/>
      </w:divBdr>
    </w:div>
    <w:div w:id="177717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1476</TotalTime>
  <Pages>12</Pages>
  <Words>368</Words>
  <Characters>2103</Characters>
  <Application>Microsoft Office Word</Application>
  <DocSecurity>0</DocSecurity>
  <Lines>17</Lines>
  <Paragraphs>4</Paragraphs>
  <ScaleCrop>false</ScaleCrop>
  <Company/>
  <LinksUpToDate>false</LinksUpToDate>
  <CharactersWithSpaces>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cp:lastPrinted>2020-10-22T08:19:00Z</cp:lastPrinted>
  <dcterms:created xsi:type="dcterms:W3CDTF">2020-10-16T07:18:00Z</dcterms:created>
  <dcterms:modified xsi:type="dcterms:W3CDTF">2020-10-23T02:31:00Z</dcterms:modified>
</cp:coreProperties>
</file>