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</w:rPr>
        <w:t>庐山市发改委</w:t>
      </w:r>
      <w:r>
        <w:rPr>
          <w:rFonts w:hint="eastAsia" w:ascii="黑体" w:eastAsia="黑体"/>
          <w:sz w:val="44"/>
          <w:szCs w:val="36"/>
        </w:rPr>
        <w:t>201</w:t>
      </w:r>
      <w:r>
        <w:rPr>
          <w:rFonts w:hint="eastAsia" w:ascii="黑体" w:eastAsia="黑体"/>
          <w:sz w:val="44"/>
          <w:szCs w:val="36"/>
          <w:lang w:val="en-US" w:eastAsia="zh-CN"/>
        </w:rPr>
        <w:t>9</w:t>
      </w:r>
      <w:r>
        <w:rPr>
          <w:rFonts w:hint="eastAsia" w:ascii="黑体" w:eastAsia="黑体"/>
          <w:sz w:val="44"/>
          <w:szCs w:val="36"/>
        </w:rPr>
        <w:t>年度部门决算</w:t>
      </w:r>
    </w:p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 xml:space="preserve">目    录  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第一部分  发改委</w:t>
      </w:r>
      <w:r>
        <w:rPr>
          <w:rFonts w:hint="eastAsia" w:ascii="黑体" w:hAnsi="黑体" w:eastAsia="黑体"/>
          <w:sz w:val="32"/>
          <w:szCs w:val="32"/>
        </w:rPr>
        <w:t>部门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八、政府性基金预算财政拨款收入支出决算表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九、国有资产占用情况表</w:t>
      </w:r>
    </w:p>
    <w:p>
      <w:pPr>
        <w:widowControl/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八、国有资产占用情况说明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九、预算绩效情况说明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 xml:space="preserve">第一部分  </w:t>
      </w:r>
      <w:r>
        <w:rPr>
          <w:rFonts w:hint="eastAsia" w:ascii="宋体" w:hAnsi="宋体"/>
          <w:b/>
          <w:sz w:val="32"/>
          <w:szCs w:val="32"/>
        </w:rPr>
        <w:t>发改委部门</w:t>
      </w:r>
      <w:r>
        <w:rPr>
          <w:rFonts w:hint="eastAsia" w:ascii="宋体" w:hAnsi="宋体"/>
          <w:b/>
          <w:sz w:val="32"/>
          <w:szCs w:val="30"/>
        </w:rPr>
        <w:t>概况</w:t>
      </w:r>
    </w:p>
    <w:p>
      <w:pPr>
        <w:ind w:firstLine="630"/>
        <w:jc w:val="center"/>
        <w:rPr>
          <w:sz w:val="32"/>
          <w:szCs w:val="32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一、部门主要职能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32"/>
          <w:szCs w:val="32"/>
        </w:rPr>
        <w:t>（一）拟订并组织实施全市国民经济和社会发展战略、中长期规划和年度计划，统筹协调经济社会发展，研究分析国内外经济形势，提出市国民经济发展和优化重大经济结构的目标、政策，提出综合运用各种经济手段和政策的建议，受市政府委托向市人大提交全市国民经济和社会发展计划报告。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32"/>
          <w:szCs w:val="32"/>
        </w:rPr>
        <w:t>（二）负责监测全市宏观经济和社会发展态势，研究全市宏观经济运行、总量平衡、经济安全和总体产业安全等重要问题并提出宏观调控政策建议，负责协调解决经济运行中的重大问题，调节经济运行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承担指导推进和综合协调经济体制改革的责任，研究全市经济体制改革和对外开放的重大问题，组织拟订综合性经济体制改革方案，协调有关专项经济体制改革方案，会同有关部门搞好重要专项经济体制改革之间的衔接，指导经济体制改革试点和改革试验区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四）承担规划全市重大建设项目和生产力布局的责任，拟订全社会固定资产投资总规模和投资结构的调控目标、政策及措施，衔接平衡需要安排中央、省、市、县级财政性投资和涉及重大建设项目的专项规划。统筹安排县级财政性建设资金，按管理权限审批、核准、审核重大建设项目、重大外资项目、境外资源开发类重大投资项目和大额用汇投资项目。审查建设项目设计方案，核定工程概算，控制投资规模。负责全市全口径外债的总量控制、结构优化和监测工作，指导和监督全市国外贷款建设资金的使用，引导民间投资的方向，研究提出全市利用外资和境外投资的战略、规划、总量平衡和结构优化的目标和政</w:t>
      </w:r>
      <w:r>
        <w:rPr>
          <w:rFonts w:ascii="微软雅黑" w:hAnsi="微软雅黑" w:eastAsia="微软雅黑" w:cs="微软雅黑"/>
          <w:color w:val="333333"/>
          <w:spacing w:val="-20"/>
          <w:kern w:val="0"/>
          <w:szCs w:val="21"/>
          <w:shd w:val="clear" w:color="auto" w:fill="FFFFFF"/>
        </w:rPr>
        <w:t>策</w:t>
      </w:r>
      <w:r>
        <w:rPr>
          <w:rFonts w:ascii="微软雅黑" w:hAnsi="微软雅黑" w:eastAsia="微软雅黑" w:cs="微软雅黑"/>
          <w:b/>
          <w:bCs/>
          <w:color w:val="333333"/>
          <w:spacing w:val="-20"/>
          <w:kern w:val="0"/>
          <w:szCs w:val="21"/>
          <w:shd w:val="clear" w:color="auto" w:fill="FFFFFF"/>
        </w:rPr>
        <w:t>。</w:t>
      </w:r>
      <w:r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组织开展全市重大建设项目稽察。指导全市工程咨询业发展。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五）推进经济结构战略性调整。组织拟订全市综合性产业政策，负责协调第一、二、三产业发展的重大问题并衔接平衡相关发展规划和重大政策，做好与全市国民经济和社会发展规划、计划的衔接平衡；协调全市农业和农村经济社会发展的重大问题，衔接农业、林业、水利、气象等专项规划和政策；会同有关部门拟订全市服务业发展战略和重大政策，拟订现代物流业发展战略、规划，组织拟订高技术产业发展、产业技术进步的战略、规划和重大政策，协调解决重大技术装备推广应用等方面的重大问题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六）承担组织编制全市主体功能区规划并协调实施和监测评估的责任，组织拟订全市区域协调发展的战略、规划和重大政策，研究提出全市城镇化发展战略和重大政策，安排以工代赈资金，组织实施以工代赈项目，负责全市区域经济协作的统筹协调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七）承担全市重要商品总量平衡和宏观调控的责任，编制外贸进出口发展规划和年度计划以及全市重要农产品、工业品和原材料进出口总量计划并监督执行，根据经济运行情况对进出口总量计划进行调整，拟订全市战略物资储备规划，负责组织战略物资的收储、动用、轮换和管理，会同有关部门管理国家粮食、棉花和食糖等储备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（八）负责全市社会发展与国民经济发展的政策衔接，组织拟大问题及政策。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九）推进全市可持续发展战略，负责节能减排的综合协调和全市应对气候变化工作，组织拟订发展循环经济、全社会能源资源节约和综合利用规划及政策措施并协调实施，参与编制生态建设、环境保护规划，协调生态建设、能源资源节约和综合利用的重大问题，综合协调环保产业和清洁生产促进有关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（十）起草全市国民经济和社会发展、经济体制改革和对外开放的有关规范性文件。指导和协调全市招标投标工作。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（十一）组织编制全市国民经济动员规划、计划，研究国民经济动员与国民经济、国防建设的关系，协调相关重大问题，组织实施国民经济动员有关工作。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二）会同有关部门研究提出年度市重点建设项目和申报列为省、市重点建设项目的名单；接受省、市重点办的指导，协助做好省、市重点建设项目的协调和服务工作；检查市重点建设项目开工条件的具备情况，审查项目的开工报告；会同有关部门做好项目的征地拆迁等开工前准备工作；监督和检查省、市、县重点建设项目计划执行情况，协调解决建设中的问题；管理市重点建设项目的招标投标工作；检查督促市重点建设项目的项目法人责任制、工程招标投标制、工程监理制及合同管理制的落实；配合有关部门对市重点建设项目的工程质量、工程进度和资金使用情况进行监督检查；参与市重点建设项目可行性研究、初步设计审查、概算调整、竣工验收、竣工后评价和审计工作；草拟与市重点建设项目有关的规范性文件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（十三） 负责成品油（石油）、天然气、电力、新能源和可再生能源等能源的行业管理，组织实施有关能源行业标准；按国家、省政府和市政府规定权限，审批、核准、审核规划内和年度计划规模内能源固定资产投资项目；依法管理供电营业区划分工作</w:t>
      </w:r>
      <w:r>
        <w:rPr>
          <w:rFonts w:hint="eastAsia" w:ascii="微软雅黑" w:hAnsi="微软雅黑" w:eastAsia="微软雅黑" w:cs="微软雅黑"/>
          <w:color w:val="333333"/>
          <w:kern w:val="0"/>
          <w:szCs w:val="21"/>
          <w:shd w:val="clear" w:color="auto" w:fill="FFFFFF"/>
        </w:rPr>
        <w:t>,</w:t>
      </w: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负责能源行政执法与执法监督等工作；按规定对成品油进行管理（不含成品油流通监督管理）；按规定权限核准或审核能源外商投资项目和境外重大投资项目。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（十四）承办市政府交办的其他工作。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二、部门基本情况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纳入本套部门决算汇编范围的单位共1个。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年年末编制人数2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人，其中行政编制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/>
          <w:sz w:val="30"/>
          <w:szCs w:val="30"/>
        </w:rPr>
        <w:t xml:space="preserve">人，事业编制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0"/>
          <w:szCs w:val="30"/>
        </w:rPr>
        <w:t>人；年末实有人数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/>
          <w:sz w:val="30"/>
          <w:szCs w:val="30"/>
        </w:rPr>
        <w:t>人，其中在职人员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/>
          <w:sz w:val="30"/>
          <w:szCs w:val="30"/>
        </w:rPr>
        <w:t>人，离休人员0人，退休人员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/>
          <w:sz w:val="30"/>
          <w:szCs w:val="30"/>
        </w:rPr>
        <w:t>人。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rPr>
          <w:rFonts w:ascii="宋体" w:hAnsi="宋体"/>
          <w:b/>
          <w:sz w:val="32"/>
          <w:szCs w:val="32"/>
        </w:rPr>
      </w:pPr>
    </w:p>
    <w:p>
      <w:pPr>
        <w:widowControl/>
        <w:numPr>
          <w:ilvl w:val="0"/>
          <w:numId w:val="1"/>
        </w:numPr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年度部门决算表</w:t>
      </w:r>
    </w:p>
    <w:p>
      <w:pPr>
        <w:widowControl/>
        <w:numPr>
          <w:ilvl w:val="0"/>
          <w:numId w:val="0"/>
        </w:numPr>
        <w:spacing w:line="600" w:lineRule="exact"/>
        <w:jc w:val="both"/>
        <w:rPr>
          <w:rFonts w:hint="eastAsia" w:ascii="宋体" w:hAnsi="宋体" w:eastAsia="宋体"/>
          <w:b/>
          <w:sz w:val="32"/>
          <w:szCs w:val="32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drawing>
          <wp:inline distT="0" distB="0" distL="114300" distR="114300">
            <wp:extent cx="5939790" cy="7331075"/>
            <wp:effectExtent l="0" t="0" r="3810" b="3175"/>
            <wp:docPr id="1" name="图片 1" descr="160257309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02573098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33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687060" cy="3298190"/>
            <wp:effectExtent l="0" t="0" r="8890" b="16510"/>
            <wp:docPr id="2" name="图片 2" descr="160257319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0257319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329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785485" cy="3761740"/>
            <wp:effectExtent l="0" t="0" r="5715" b="10160"/>
            <wp:docPr id="3" name="图片 3" descr="160257327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02573274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85485" cy="376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266690" cy="4321810"/>
            <wp:effectExtent l="0" t="0" r="10160" b="2540"/>
            <wp:docPr id="4" name="图片 4" descr="160257339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02573391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2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272405" cy="4216400"/>
            <wp:effectExtent l="0" t="0" r="4445" b="12700"/>
            <wp:docPr id="5" name="图片 5" descr="160257341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02573414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2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986145" cy="8326120"/>
            <wp:effectExtent l="0" t="0" r="14605" b="17780"/>
            <wp:docPr id="6" name="图片 6" descr="16025739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02573957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6145" cy="832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272405" cy="4911090"/>
            <wp:effectExtent l="0" t="0" r="4445" b="3810"/>
            <wp:docPr id="7" name="图片 7" descr="160257458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02574586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91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271135" cy="2119630"/>
            <wp:effectExtent l="0" t="0" r="5715" b="13970"/>
            <wp:docPr id="8" name="图片 8" descr="160257463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02574633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drawing>
          <wp:inline distT="0" distB="0" distL="114300" distR="114300">
            <wp:extent cx="5057775" cy="2990850"/>
            <wp:effectExtent l="0" t="0" r="9525" b="0"/>
            <wp:docPr id="9" name="图片 9" descr="160257467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02574677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bookmarkStart w:id="0" w:name="_GoBack"/>
      <w:bookmarkEnd w:id="0"/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第三部分 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年度收入总计7396580.18元，其中年初结转和结余</w:t>
      </w:r>
      <w:r>
        <w:rPr>
          <w:rFonts w:hint="eastAsia" w:ascii="仿宋" w:hAnsi="仿宋" w:eastAsia="仿宋"/>
          <w:sz w:val="32"/>
          <w:szCs w:val="32"/>
        </w:rPr>
        <w:t>2762329.45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759685.56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11.45</w:t>
      </w:r>
      <w:r>
        <w:rPr>
          <w:rFonts w:hint="eastAsia" w:ascii="仿宋" w:hAnsi="仿宋" w:eastAsia="仿宋"/>
          <w:sz w:val="30"/>
          <w:szCs w:val="30"/>
        </w:rPr>
        <w:t>%；本年收入合计4634250.73元，较201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1608873.51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53.18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因为机构改革，原物价局部分人员转隶到发改委，工资福利及各项开支增加。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本年收入的具体构成为：财政拨款收入3694870.73元，占100%；事业收入 0元，经营收入 0元，其他收入939380元。  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年度支出总计7396580.18元，其中本年支出合计5706964.31元，较201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1748133.66</w:t>
      </w:r>
      <w:r>
        <w:rPr>
          <w:rFonts w:hint="eastAsia" w:ascii="仿宋" w:hAnsi="仿宋" w:eastAsia="仿宋"/>
          <w:sz w:val="30"/>
          <w:szCs w:val="30"/>
        </w:rPr>
        <w:t>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44.16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因为机构改革，原物价局部分人员转隶到发改委，工资福利及各项开支增加</w:t>
      </w:r>
      <w:r>
        <w:rPr>
          <w:rFonts w:hint="eastAsia" w:ascii="仿宋" w:hAnsi="仿宋" w:eastAsia="仿宋"/>
          <w:sz w:val="30"/>
          <w:szCs w:val="30"/>
        </w:rPr>
        <w:t>；年末结转和结余1689615.87元，较201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1072713.58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38.83 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巩固退耕还林支出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本年支出的具体构成为：基本支出4268739.81元，占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74.8</w:t>
      </w:r>
      <w:r>
        <w:rPr>
          <w:rFonts w:hint="eastAsia" w:ascii="仿宋" w:hAnsi="仿宋" w:eastAsia="仿宋"/>
          <w:sz w:val="30"/>
          <w:szCs w:val="30"/>
        </w:rPr>
        <w:t>%；项目支出1438224.5元，占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25.2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年度财政拨款本年支出年初预算数2970046.92万元，决算数4767584.31元，完成年初预算的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160.52</w:t>
      </w:r>
      <w:r>
        <w:rPr>
          <w:rFonts w:hint="eastAsia" w:ascii="仿宋" w:hAnsi="仿宋" w:eastAsia="仿宋"/>
          <w:sz w:val="30"/>
          <w:szCs w:val="30"/>
        </w:rPr>
        <w:t>%。其中：</w:t>
      </w:r>
    </w:p>
    <w:p>
      <w:pPr>
        <w:numPr>
          <w:ilvl w:val="0"/>
          <w:numId w:val="2"/>
        </w:num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一般公共服务支出年初预算数为2429403.64元，决算数为2689643.01元，完成年初预算的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90.32 </w:t>
      </w:r>
      <w:r>
        <w:rPr>
          <w:rFonts w:hint="eastAsia" w:ascii="仿宋" w:hAnsi="仿宋" w:eastAsia="仿宋"/>
          <w:sz w:val="30"/>
          <w:szCs w:val="30"/>
        </w:rPr>
        <w:t>%。主要原因是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:执行部门预算。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（二）教育支出年初预算数10000元，决算数0元。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三</w:t>
      </w:r>
      <w:r>
        <w:rPr>
          <w:rFonts w:hint="eastAsia" w:ascii="仿宋" w:hAnsi="仿宋" w:eastAsia="仿宋"/>
          <w:sz w:val="30"/>
          <w:szCs w:val="30"/>
        </w:rPr>
        <w:t>）社会保障和就业支出年初预算数273575.52</w:t>
      </w:r>
      <w:r>
        <w:rPr>
          <w:rFonts w:hint="eastAsia" w:ascii="仿宋" w:hAnsi="仿宋" w:eastAsia="仿宋"/>
          <w:sz w:val="30"/>
          <w:szCs w:val="30"/>
          <w:lang w:eastAsia="zh-CN"/>
        </w:rPr>
        <w:t>元</w:t>
      </w:r>
      <w:r>
        <w:rPr>
          <w:rFonts w:hint="eastAsia" w:ascii="仿宋" w:hAnsi="仿宋" w:eastAsia="仿宋"/>
          <w:sz w:val="30"/>
          <w:szCs w:val="30"/>
        </w:rPr>
        <w:t>，决算数为523552.48元，完成年初预算的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191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因为机构改革，原物价局部分人员转隶到发改委，社会保障增加。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（四）卫生健康支出年初预算数120650.80元，决算数107676.82元，完成年初预算的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89.25%，</w:t>
      </w:r>
      <w:r>
        <w:rPr>
          <w:rFonts w:hint="eastAsia" w:ascii="仿宋" w:hAnsi="仿宋" w:eastAsia="仿宋"/>
          <w:sz w:val="30"/>
          <w:szCs w:val="30"/>
          <w:lang w:eastAsia="zh-CN"/>
        </w:rPr>
        <w:t>主要原因：执行部门预算。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五</w:t>
      </w:r>
      <w:r>
        <w:rPr>
          <w:rFonts w:hint="eastAsia" w:ascii="仿宋" w:hAnsi="仿宋" w:eastAsia="仿宋"/>
          <w:sz w:val="30"/>
          <w:szCs w:val="30"/>
        </w:rPr>
        <w:t>）节能环保支出年初预算数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0元</w:t>
      </w:r>
      <w:r>
        <w:rPr>
          <w:rFonts w:hint="eastAsia" w:ascii="仿宋" w:hAnsi="仿宋" w:eastAsia="仿宋"/>
          <w:sz w:val="30"/>
          <w:szCs w:val="30"/>
        </w:rPr>
        <w:t>，决算数为1300000元，主要原因是：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年初结转的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退耕还林资金支出。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（六）住房保障支出年初预算数136416.96元，决算数146712元，</w:t>
      </w:r>
      <w:r>
        <w:rPr>
          <w:rFonts w:hint="eastAsia" w:ascii="仿宋" w:hAnsi="仿宋" w:eastAsia="仿宋"/>
          <w:sz w:val="30"/>
          <w:szCs w:val="30"/>
          <w:lang w:eastAsia="zh-CN"/>
        </w:rPr>
        <w:t>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107.55%，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因为机构改革，原物价局部分人员转隶到发改委，住房公积金增加。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年度一般公共预算财政拨款基本支</w:t>
      </w:r>
      <w:r>
        <w:rPr>
          <w:rFonts w:hint="eastAsia" w:ascii="仿宋" w:hAnsi="仿宋" w:eastAsia="仿宋"/>
          <w:sz w:val="30"/>
          <w:szCs w:val="30"/>
          <w:lang w:eastAsia="zh-CN"/>
        </w:rPr>
        <w:t>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3329359.8</w:t>
      </w:r>
      <w:r>
        <w:rPr>
          <w:rFonts w:hint="eastAsia" w:ascii="仿宋" w:hAnsi="仿宋" w:eastAsia="仿宋"/>
          <w:sz w:val="30"/>
          <w:szCs w:val="30"/>
        </w:rPr>
        <w:t>1元，其中：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（一）工资福利支出2935625.01元，较201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</w:p>
    <w:p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675533.8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29.89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因为机构改革，原物价局部分人员转隶到发改委，工资福利支出增加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（二）商品和服务支出360593.40元，较201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393519.44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52.18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财政拨款减少。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（三）对个人和家庭补助支出33141.40元，较201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5858.6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15.02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财政拨款减少。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年度一般公共预算财政拨款“三公”经费支出年初预算数为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70871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27308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38.53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10045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25.89</w:t>
      </w:r>
      <w:r>
        <w:rPr>
          <w:rFonts w:hint="eastAsia" w:ascii="仿宋" w:hAnsi="仿宋" w:eastAsia="仿宋"/>
          <w:sz w:val="30"/>
          <w:szCs w:val="30"/>
        </w:rPr>
        <w:t>%，其中：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（一）公务接待费支出年初预算数为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70871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27308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38.53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10045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25.89</w:t>
      </w:r>
      <w:r>
        <w:rPr>
          <w:rFonts w:hint="eastAsia" w:ascii="仿宋" w:hAnsi="仿宋" w:eastAsia="仿宋"/>
          <w:sz w:val="30"/>
          <w:szCs w:val="30"/>
        </w:rPr>
        <w:t>%。决算数较年初预算数减少的主要原因是：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严格遵守公务接待开支范围和开支标准，严格控制陪餐人数。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>
      <w:pPr>
        <w:ind w:firstLine="63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年度机关运行经费支出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3329359.8</w:t>
      </w:r>
      <w:r>
        <w:rPr>
          <w:rFonts w:hint="eastAsia" w:ascii="仿宋" w:hAnsi="仿宋" w:eastAsia="仿宋"/>
          <w:sz w:val="30"/>
          <w:szCs w:val="30"/>
        </w:rPr>
        <w:t>1元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222729.76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0.07</w:t>
      </w:r>
      <w:r>
        <w:rPr>
          <w:rFonts w:hint="eastAsia" w:ascii="仿宋_GB2312" w:eastAsia="仿宋_GB2312"/>
          <w:sz w:val="32"/>
          <w:szCs w:val="32"/>
        </w:rPr>
        <w:t>%。包括：工资福利支出2935625.01元，其中：基本工资1015069.08元，较上年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214963.44</w:t>
      </w:r>
      <w:r>
        <w:rPr>
          <w:rFonts w:hint="eastAsia" w:ascii="仿宋_GB2312" w:eastAsia="仿宋_GB2312"/>
          <w:sz w:val="32"/>
          <w:szCs w:val="32"/>
        </w:rPr>
        <w:t>元；津贴586103元，较上年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82937.91</w:t>
      </w:r>
      <w:r>
        <w:rPr>
          <w:rFonts w:hint="eastAsia" w:ascii="仿宋_GB2312" w:eastAsia="仿宋_GB2312"/>
          <w:sz w:val="32"/>
          <w:szCs w:val="32"/>
        </w:rPr>
        <w:t>元；奖金520953.34元，较上年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2877.99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基本养老394561.36元，职业年金127794.12元，</w:t>
      </w:r>
      <w:r>
        <w:rPr>
          <w:rFonts w:hint="eastAsia" w:ascii="仿宋_GB2312" w:eastAsia="仿宋_GB2312"/>
          <w:sz w:val="32"/>
          <w:szCs w:val="32"/>
        </w:rPr>
        <w:t>基本医疗费107676.82元，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224437.3元，</w:t>
      </w:r>
      <w:r>
        <w:rPr>
          <w:rFonts w:hint="eastAsia" w:ascii="仿宋_GB2312" w:eastAsia="仿宋_GB2312"/>
          <w:sz w:val="32"/>
          <w:szCs w:val="32"/>
        </w:rPr>
        <w:t>其他社会保障缴费36755.29元，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21098.59元，</w:t>
      </w:r>
      <w:r>
        <w:rPr>
          <w:rFonts w:hint="eastAsia" w:ascii="仿宋_GB2312" w:eastAsia="仿宋_GB2312"/>
          <w:sz w:val="32"/>
          <w:szCs w:val="32"/>
        </w:rPr>
        <w:t>住房公积金146712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87103.68元；</w:t>
      </w:r>
      <w:r>
        <w:rPr>
          <w:rFonts w:hint="eastAsia" w:ascii="仿宋_GB2312" w:eastAsia="仿宋_GB2312"/>
          <w:sz w:val="32"/>
          <w:szCs w:val="32"/>
        </w:rPr>
        <w:t>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33141.4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5858.6元</w:t>
      </w:r>
      <w:r>
        <w:rPr>
          <w:rFonts w:hint="eastAsia" w:ascii="仿宋_GB2312" w:eastAsia="仿宋_GB2312"/>
          <w:sz w:val="32"/>
          <w:szCs w:val="32"/>
        </w:rPr>
        <w:t>。商品和服务支出360593.4元，其中：办公费25000元，较上年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90139.4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水费429.5元，电费5486元，</w:t>
      </w:r>
      <w:r>
        <w:rPr>
          <w:rFonts w:hint="eastAsia" w:ascii="仿宋_GB2312" w:eastAsia="仿宋_GB2312"/>
          <w:sz w:val="32"/>
          <w:szCs w:val="32"/>
        </w:rPr>
        <w:t>邮电费14084.5元，较上年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11681.9</w:t>
      </w:r>
      <w:r>
        <w:rPr>
          <w:rFonts w:hint="eastAsia" w:ascii="仿宋_GB2312" w:eastAsia="仿宋_GB2312"/>
          <w:sz w:val="32"/>
          <w:szCs w:val="32"/>
        </w:rPr>
        <w:t>元；差旅费34231元，比上年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17231.5</w:t>
      </w:r>
      <w:r>
        <w:rPr>
          <w:rFonts w:hint="eastAsia" w:ascii="仿宋_GB2312" w:eastAsia="仿宋_GB2312"/>
          <w:sz w:val="32"/>
          <w:szCs w:val="32"/>
        </w:rPr>
        <w:t>元；维修费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1295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1321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，租赁费1500元，</w:t>
      </w:r>
      <w:r>
        <w:rPr>
          <w:rFonts w:hint="eastAsia" w:ascii="仿宋_GB2312" w:eastAsia="仿宋_GB2312"/>
          <w:sz w:val="32"/>
          <w:szCs w:val="32"/>
        </w:rPr>
        <w:t>公务接待费9117元，较上年减少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28236</w:t>
      </w:r>
      <w:r>
        <w:rPr>
          <w:rFonts w:hint="eastAsia" w:ascii="仿宋_GB2312" w:eastAsia="仿宋_GB2312"/>
          <w:sz w:val="32"/>
          <w:szCs w:val="32"/>
        </w:rPr>
        <w:t>元；劳务费35323元，</w:t>
      </w:r>
      <w:r>
        <w:rPr>
          <w:rFonts w:hint="eastAsia" w:ascii="仿宋_GB2312" w:eastAsia="仿宋_GB2312"/>
          <w:sz w:val="32"/>
          <w:szCs w:val="32"/>
          <w:lang w:eastAsia="zh-CN"/>
        </w:rPr>
        <w:t>委托业务费100000元，</w:t>
      </w:r>
      <w:r>
        <w:rPr>
          <w:rFonts w:hint="eastAsia" w:ascii="仿宋_GB2312" w:eastAsia="仿宋_GB2312"/>
          <w:sz w:val="32"/>
          <w:szCs w:val="32"/>
        </w:rPr>
        <w:t>工会经费40000元，较上年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20636</w:t>
      </w:r>
      <w:r>
        <w:rPr>
          <w:rFonts w:hint="eastAsia" w:ascii="仿宋_GB2312" w:eastAsia="仿宋_GB2312"/>
          <w:sz w:val="32"/>
          <w:szCs w:val="32"/>
        </w:rPr>
        <w:t>元；福利费32601.88元，较上年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43367.62</w:t>
      </w:r>
      <w:r>
        <w:rPr>
          <w:rFonts w:hint="eastAsia" w:ascii="仿宋_GB2312" w:eastAsia="仿宋_GB2312"/>
          <w:sz w:val="32"/>
          <w:szCs w:val="32"/>
        </w:rPr>
        <w:t>元；其他交通费用61525.52元，较上年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14144.48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>
      <w:pPr>
        <w:pStyle w:val="10"/>
        <w:spacing w:line="600" w:lineRule="atLeast"/>
        <w:ind w:firstLine="6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 xml:space="preserve">年度政府采购支出总额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sz w:val="30"/>
          <w:szCs w:val="30"/>
        </w:rPr>
        <w:t>中：政府采购货物支出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万元、政府采购工程支出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万元、政府采购服务支出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八、国有资产占用情况说明。</w:t>
      </w:r>
    </w:p>
    <w:p>
      <w:pPr>
        <w:ind w:firstLine="630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截止201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30"/>
          <w:szCs w:val="30"/>
        </w:rPr>
        <w:t>年12月31日，本部门共有车辆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辆，其中，副部（省）级及以上领导用车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辆、主要领导干部用车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辆、机要通信用车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辆、应急保障用车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辆、执法执勤用车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辆、特种专业技术用车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辆、其他用车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辆，单位价值50万元以上通用设备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台（套）；单位价值100万元以上专用设备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 xml:space="preserve">    无</w:t>
      </w:r>
    </w:p>
    <w:p/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pStyle w:val="10"/>
        <w:spacing w:line="600" w:lineRule="atLeast"/>
        <w:ind w:firstLine="600"/>
        <w:rPr>
          <w:rFonts w:ascii="仿宋" w:hAnsi="仿宋" w:eastAsia="仿宋"/>
          <w:sz w:val="30"/>
          <w:szCs w:val="30"/>
        </w:rPr>
      </w:pPr>
    </w:p>
    <w:p>
      <w:pPr>
        <w:rPr>
          <w:rFonts w:eastAsia="仿宋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无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ADE635"/>
    <w:multiLevelType w:val="singleLevel"/>
    <w:tmpl w:val="D9ADE635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CB3C0AB"/>
    <w:multiLevelType w:val="singleLevel"/>
    <w:tmpl w:val="5CB3C0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5526B0"/>
    <w:rsid w:val="00851A72"/>
    <w:rsid w:val="008C0C94"/>
    <w:rsid w:val="008D4E09"/>
    <w:rsid w:val="00E24059"/>
    <w:rsid w:val="00F2454C"/>
    <w:rsid w:val="019D3199"/>
    <w:rsid w:val="01B13EBA"/>
    <w:rsid w:val="01EB4023"/>
    <w:rsid w:val="03015055"/>
    <w:rsid w:val="04141A65"/>
    <w:rsid w:val="05232AC5"/>
    <w:rsid w:val="06F61ACE"/>
    <w:rsid w:val="0A663F09"/>
    <w:rsid w:val="0B7828DA"/>
    <w:rsid w:val="0BDF06F5"/>
    <w:rsid w:val="0CE4702F"/>
    <w:rsid w:val="0DAD591A"/>
    <w:rsid w:val="11B42586"/>
    <w:rsid w:val="11FA391A"/>
    <w:rsid w:val="12255C91"/>
    <w:rsid w:val="12902F31"/>
    <w:rsid w:val="148A2E7A"/>
    <w:rsid w:val="16673FD0"/>
    <w:rsid w:val="16810DA2"/>
    <w:rsid w:val="18F25A03"/>
    <w:rsid w:val="1A586383"/>
    <w:rsid w:val="1BC11F00"/>
    <w:rsid w:val="1C112B30"/>
    <w:rsid w:val="1C411E85"/>
    <w:rsid w:val="1C513025"/>
    <w:rsid w:val="21185156"/>
    <w:rsid w:val="235048B8"/>
    <w:rsid w:val="2380258A"/>
    <w:rsid w:val="23C4112B"/>
    <w:rsid w:val="23DC2372"/>
    <w:rsid w:val="23FF7508"/>
    <w:rsid w:val="24B5525C"/>
    <w:rsid w:val="253B7D84"/>
    <w:rsid w:val="25727C55"/>
    <w:rsid w:val="26EF4ECA"/>
    <w:rsid w:val="28871443"/>
    <w:rsid w:val="297311F6"/>
    <w:rsid w:val="2A1662E9"/>
    <w:rsid w:val="2AC828BE"/>
    <w:rsid w:val="2AD41D57"/>
    <w:rsid w:val="2BF9735A"/>
    <w:rsid w:val="2CF378B3"/>
    <w:rsid w:val="2D287729"/>
    <w:rsid w:val="2E440B46"/>
    <w:rsid w:val="2ECE1994"/>
    <w:rsid w:val="30F56798"/>
    <w:rsid w:val="3163053C"/>
    <w:rsid w:val="322E548D"/>
    <w:rsid w:val="32344E68"/>
    <w:rsid w:val="323D52CD"/>
    <w:rsid w:val="3255405B"/>
    <w:rsid w:val="32FB7930"/>
    <w:rsid w:val="33530024"/>
    <w:rsid w:val="35D35047"/>
    <w:rsid w:val="372C19F7"/>
    <w:rsid w:val="394B251B"/>
    <w:rsid w:val="3A94604E"/>
    <w:rsid w:val="3B212E25"/>
    <w:rsid w:val="3C3E2EBC"/>
    <w:rsid w:val="3DE735D5"/>
    <w:rsid w:val="3E7661E7"/>
    <w:rsid w:val="3FFD566A"/>
    <w:rsid w:val="40865783"/>
    <w:rsid w:val="423850B9"/>
    <w:rsid w:val="42860105"/>
    <w:rsid w:val="4335736A"/>
    <w:rsid w:val="44D447A1"/>
    <w:rsid w:val="450D2C41"/>
    <w:rsid w:val="45244336"/>
    <w:rsid w:val="45FB014D"/>
    <w:rsid w:val="46816B91"/>
    <w:rsid w:val="477C3FB9"/>
    <w:rsid w:val="47DC5ECA"/>
    <w:rsid w:val="48A502B4"/>
    <w:rsid w:val="496A48FB"/>
    <w:rsid w:val="49853259"/>
    <w:rsid w:val="4A3D4D5C"/>
    <w:rsid w:val="4A531A32"/>
    <w:rsid w:val="4A577E4A"/>
    <w:rsid w:val="4AB62998"/>
    <w:rsid w:val="4BBA7322"/>
    <w:rsid w:val="4D246612"/>
    <w:rsid w:val="4E223B16"/>
    <w:rsid w:val="4EEB6F9E"/>
    <w:rsid w:val="4F863C3F"/>
    <w:rsid w:val="4FC27D1C"/>
    <w:rsid w:val="51814839"/>
    <w:rsid w:val="53C90C80"/>
    <w:rsid w:val="53FB6FB2"/>
    <w:rsid w:val="56F60E40"/>
    <w:rsid w:val="57A3656F"/>
    <w:rsid w:val="581F612C"/>
    <w:rsid w:val="58674750"/>
    <w:rsid w:val="5A0C3EAA"/>
    <w:rsid w:val="5BE245C2"/>
    <w:rsid w:val="5CF61008"/>
    <w:rsid w:val="5DEB12FB"/>
    <w:rsid w:val="5F3D2B96"/>
    <w:rsid w:val="602C3818"/>
    <w:rsid w:val="61363030"/>
    <w:rsid w:val="61BB2C7C"/>
    <w:rsid w:val="61DC06CB"/>
    <w:rsid w:val="62372487"/>
    <w:rsid w:val="63510A13"/>
    <w:rsid w:val="63B8403F"/>
    <w:rsid w:val="661D3224"/>
    <w:rsid w:val="67946EF8"/>
    <w:rsid w:val="68FB5D51"/>
    <w:rsid w:val="69A10597"/>
    <w:rsid w:val="6A1B7BB6"/>
    <w:rsid w:val="6A415A55"/>
    <w:rsid w:val="6A6F115C"/>
    <w:rsid w:val="6BDE000E"/>
    <w:rsid w:val="6C2C7585"/>
    <w:rsid w:val="6D1D1989"/>
    <w:rsid w:val="6FF6151C"/>
    <w:rsid w:val="6FF83E36"/>
    <w:rsid w:val="74CB64B5"/>
    <w:rsid w:val="74CD4B75"/>
    <w:rsid w:val="75206FA1"/>
    <w:rsid w:val="77F55239"/>
    <w:rsid w:val="780C6204"/>
    <w:rsid w:val="79251166"/>
    <w:rsid w:val="7B3C034E"/>
    <w:rsid w:val="7C542F2C"/>
    <w:rsid w:val="7C9025FD"/>
    <w:rsid w:val="7D620ED7"/>
    <w:rsid w:val="7DA41F48"/>
    <w:rsid w:val="7E146FD0"/>
    <w:rsid w:val="7F9A77B1"/>
    <w:rsid w:val="7FFF3B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FollowedHyperlink"/>
    <w:basedOn w:val="7"/>
    <w:qFormat/>
    <w:uiPriority w:val="0"/>
    <w:rPr>
      <w:color w:val="333333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after"/>
    <w:basedOn w:val="7"/>
    <w:qFormat/>
    <w:uiPriority w:val="0"/>
    <w:rPr>
      <w:sz w:val="21"/>
      <w:szCs w:val="21"/>
    </w:rPr>
  </w:style>
  <w:style w:type="character" w:customStyle="1" w:styleId="15">
    <w:name w:val="after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3834</Words>
  <Characters>849</Characters>
  <Lines>7</Lines>
  <Paragraphs>9</Paragraphs>
  <TotalTime>2</TotalTime>
  <ScaleCrop>false</ScaleCrop>
  <LinksUpToDate>false</LinksUpToDate>
  <CharactersWithSpaces>4674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2019-11-06T01:30:00Z</dcterms:created>
  <dc:creator>子祁</dc:creator>
  <cp:lastModifiedBy>子祁</cp:lastModifiedBy>
  <dcterms:modified xsi:type="dcterms:W3CDTF">2020-10-13T07:38:14Z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