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36"/>
        </w:rPr>
      </w:pPr>
      <w:r>
        <w:rPr>
          <w:rFonts w:hint="eastAsia" w:ascii="黑体" w:eastAsia="黑体"/>
          <w:sz w:val="44"/>
          <w:szCs w:val="36"/>
          <w:lang w:eastAsia="zh-CN"/>
        </w:rPr>
        <w:t>庐山市公安局</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年部门决算</w:t>
      </w:r>
    </w:p>
    <w:p>
      <w:pPr>
        <w:spacing w:line="600" w:lineRule="exact"/>
        <w:jc w:val="center"/>
        <w:rPr>
          <w:rFonts w:hint="eastAsia" w:ascii="黑体" w:eastAsia="黑体"/>
          <w:sz w:val="40"/>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spacing w:line="600" w:lineRule="exact"/>
        <w:jc w:val="center"/>
        <w:rPr>
          <w:rFonts w:hint="eastAsia" w:ascii="黑体" w:eastAsia="黑体"/>
          <w:sz w:val="40"/>
          <w:szCs w:val="36"/>
        </w:rPr>
      </w:pPr>
    </w:p>
    <w:p>
      <w:pPr>
        <w:widowControl/>
        <w:spacing w:line="600" w:lineRule="exact"/>
        <w:ind w:firstLine="640"/>
        <w:jc w:val="left"/>
        <w:rPr>
          <w:rFonts w:hint="eastAsia" w:ascii="黑体" w:hAnsi="黑体" w:eastAsia="黑体"/>
          <w:b w:val="0"/>
          <w:bCs/>
          <w:sz w:val="32"/>
          <w:szCs w:val="32"/>
        </w:rPr>
      </w:pPr>
      <w:r>
        <w:rPr>
          <w:rFonts w:hint="eastAsia" w:ascii="黑体" w:hAnsi="黑体" w:eastAsia="黑体"/>
          <w:b w:val="0"/>
          <w:bCs/>
          <w:sz w:val="32"/>
          <w:szCs w:val="32"/>
        </w:rPr>
        <w:t xml:space="preserve">第一部分  </w:t>
      </w:r>
      <w:r>
        <w:rPr>
          <w:rFonts w:hint="eastAsia" w:ascii="黑体" w:hAnsi="黑体" w:eastAsia="黑体"/>
          <w:b w:val="0"/>
          <w:bCs/>
          <w:sz w:val="32"/>
          <w:szCs w:val="32"/>
          <w:lang w:eastAsia="zh-CN"/>
        </w:rPr>
        <w:t>庐山市公安局</w:t>
      </w:r>
      <w:r>
        <w:rPr>
          <w:rFonts w:hint="eastAsia" w:ascii="黑体" w:hAnsi="黑体" w:eastAsia="黑体"/>
          <w:b w:val="0"/>
          <w:bCs/>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ind w:firstLine="640" w:firstLineChars="200"/>
        <w:jc w:val="left"/>
        <w:rPr>
          <w:rFonts w:hint="eastAsia" w:ascii="黑体" w:hAnsi="黑体" w:eastAsia="黑体"/>
          <w:sz w:val="32"/>
          <w:szCs w:val="32"/>
        </w:rPr>
      </w:pP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default" w:ascii="仿宋" w:hAnsi="仿宋" w:eastAsia="仿宋"/>
          <w:sz w:val="32"/>
          <w:szCs w:val="30"/>
          <w:lang w:val="en-US" w:eastAsia="zh-CN"/>
        </w:rPr>
      </w:pPr>
      <w:r>
        <w:rPr>
          <w:rFonts w:hint="eastAsia" w:ascii="仿宋" w:hAnsi="仿宋" w:eastAsia="仿宋"/>
          <w:sz w:val="32"/>
          <w:szCs w:val="30"/>
        </w:rPr>
        <w:t xml:space="preserve">    八、国有资产占用情况说明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 xml:space="preserve">    </w:t>
      </w:r>
      <w:r>
        <w:rPr>
          <w:rFonts w:hint="eastAsia" w:ascii="黑体" w:hAnsi="黑体" w:eastAsia="黑体"/>
          <w:sz w:val="32"/>
          <w:szCs w:val="32"/>
        </w:rPr>
        <w:t>第四部分  名词解释</w:t>
      </w: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rPr>
        <w:t>部门</w:t>
      </w:r>
      <w:r>
        <w:rPr>
          <w:rFonts w:hint="eastAsia" w:ascii="宋体" w:hAnsi="宋体"/>
          <w:b/>
          <w:sz w:val="32"/>
          <w:szCs w:val="30"/>
        </w:rPr>
        <w:t>概况</w:t>
      </w: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640" w:firstLineChars="200"/>
        <w:rPr>
          <w:rFonts w:hint="eastAsia" w:ascii="仿宋_GB2312" w:hAnsi="仿宋_GB2312" w:eastAsia="仿宋_GB2312" w:cs="仿宋_GB2312"/>
          <w:sz w:val="32"/>
          <w:szCs w:val="32"/>
        </w:rPr>
      </w:pPr>
      <w:r>
        <w:rPr>
          <w:rFonts w:hint="eastAsia" w:ascii="仿宋_GB2312" w:hAnsi="宋体" w:eastAsia="仿宋_GB2312"/>
          <w:sz w:val="32"/>
          <w:szCs w:val="32"/>
          <w:lang w:eastAsia="zh-CN"/>
        </w:rPr>
        <w:t>庐山市</w:t>
      </w:r>
      <w:r>
        <w:rPr>
          <w:rFonts w:hint="eastAsia" w:ascii="仿宋_GB2312" w:hAnsi="宋体" w:eastAsia="仿宋_GB2312"/>
          <w:sz w:val="32"/>
          <w:szCs w:val="32"/>
        </w:rPr>
        <w:t>公安局是</w:t>
      </w:r>
      <w:r>
        <w:rPr>
          <w:rFonts w:hint="eastAsia" w:ascii="仿宋_GB2312" w:hAnsi="宋体" w:eastAsia="仿宋_GB2312"/>
          <w:sz w:val="32"/>
          <w:szCs w:val="32"/>
          <w:lang w:eastAsia="zh-CN"/>
        </w:rPr>
        <w:t>市</w:t>
      </w:r>
      <w:r>
        <w:rPr>
          <w:rFonts w:hint="eastAsia" w:ascii="仿宋_GB2312" w:hAnsi="宋体" w:eastAsia="仿宋_GB2312"/>
          <w:sz w:val="32"/>
          <w:szCs w:val="32"/>
        </w:rPr>
        <w:t>政府主管全</w:t>
      </w:r>
      <w:r>
        <w:rPr>
          <w:rFonts w:hint="eastAsia" w:ascii="仿宋_GB2312" w:hAnsi="宋体" w:eastAsia="仿宋_GB2312"/>
          <w:sz w:val="32"/>
          <w:szCs w:val="32"/>
          <w:lang w:eastAsia="zh-CN"/>
        </w:rPr>
        <w:t>市</w:t>
      </w:r>
      <w:r>
        <w:rPr>
          <w:rFonts w:hint="eastAsia" w:ascii="仿宋_GB2312" w:hAnsi="宋体" w:eastAsia="仿宋_GB2312"/>
          <w:sz w:val="32"/>
          <w:szCs w:val="32"/>
        </w:rPr>
        <w:t>公安工作的职能部门，领导、管理全</w:t>
      </w:r>
      <w:r>
        <w:rPr>
          <w:rFonts w:hint="eastAsia" w:ascii="仿宋_GB2312" w:hAnsi="宋体" w:eastAsia="仿宋_GB2312"/>
          <w:sz w:val="32"/>
          <w:szCs w:val="32"/>
          <w:lang w:eastAsia="zh-CN"/>
        </w:rPr>
        <w:t>市</w:t>
      </w:r>
      <w:r>
        <w:rPr>
          <w:rFonts w:hint="eastAsia" w:ascii="仿宋_GB2312" w:hAnsi="宋体" w:eastAsia="仿宋_GB2312"/>
          <w:sz w:val="32"/>
          <w:szCs w:val="32"/>
        </w:rPr>
        <w:t>范围内的公安工</w:t>
      </w:r>
      <w:r>
        <w:rPr>
          <w:rFonts w:hint="eastAsia" w:ascii="仿宋_GB2312" w:hAnsi="仿宋_GB2312" w:eastAsia="仿宋_GB2312"/>
          <w:sz w:val="32"/>
          <w:szCs w:val="32"/>
        </w:rPr>
        <w:t>作，主要任务是</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"http://baike.baidu.com/view/2257669.htm"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维护国家安全</w:t>
      </w:r>
      <w:r>
        <w:rPr>
          <w:rFonts w:hint="eastAsia" w:ascii="仿宋_GB2312" w:hAnsi="仿宋_GB2312" w:eastAsia="仿宋_GB2312"/>
          <w:color w:val="000000"/>
          <w:sz w:val="32"/>
          <w:szCs w:val="32"/>
        </w:rPr>
        <w:fldChar w:fldCharType="end"/>
      </w:r>
      <w:r>
        <w:rPr>
          <w:rFonts w:hint="eastAsia" w:ascii="仿宋_GB2312" w:hAnsi="仿宋_GB2312" w:eastAsia="仿宋_GB2312"/>
          <w:color w:val="000000"/>
          <w:sz w:val="32"/>
          <w:szCs w:val="32"/>
        </w:rPr>
        <w:t>，维护社会治安秩序，保护公民的人身安全、</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"http://baike.baidu.com/view/46899.htm"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人身自由</w:t>
      </w:r>
      <w:r>
        <w:rPr>
          <w:rFonts w:hint="eastAsia" w:ascii="仿宋_GB2312" w:hAnsi="仿宋_GB2312" w:eastAsia="仿宋_GB2312"/>
          <w:color w:val="000000"/>
          <w:sz w:val="32"/>
          <w:szCs w:val="32"/>
        </w:rPr>
        <w:fldChar w:fldCharType="end"/>
      </w:r>
      <w:r>
        <w:rPr>
          <w:rFonts w:hint="eastAsia" w:ascii="仿宋_GB2312" w:hAnsi="仿宋_GB2312" w:eastAsia="仿宋_GB2312"/>
          <w:sz w:val="32"/>
          <w:szCs w:val="32"/>
        </w:rPr>
        <w:t>和合法财产，保护公共财产，预防、制止和惩治违法犯</w:t>
      </w:r>
      <w:r>
        <w:rPr>
          <w:rFonts w:hint="eastAsia" w:ascii="仿宋_GB2312" w:eastAsia="仿宋_GB2312"/>
          <w:sz w:val="32"/>
          <w:szCs w:val="32"/>
        </w:rPr>
        <w:t>罪活动，保障改革开放和社会主义现代化建设的顺利进行。</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40" w:firstLineChars="200"/>
        <w:rPr>
          <w:rFonts w:hint="eastAsia" w:ascii="仿宋_GB2312" w:hAnsi="仿宋_GB2312" w:eastAsia="仿宋_GB2312"/>
          <w:color w:val="000000"/>
          <w:sz w:val="32"/>
          <w:szCs w:val="32"/>
        </w:rPr>
      </w:pPr>
      <w:r>
        <w:rPr>
          <w:rFonts w:hint="eastAsia" w:ascii="仿宋_GB2312" w:hAnsi="仿宋_GB2312" w:eastAsia="仿宋_GB2312"/>
          <w:color w:val="000000"/>
          <w:sz w:val="32"/>
          <w:szCs w:val="32"/>
        </w:rPr>
        <w:t>纳入本套部门决算汇编范围的单位共</w:t>
      </w:r>
      <w:r>
        <w:rPr>
          <w:rFonts w:hint="eastAsia" w:ascii="仿宋_GB2312" w:hAnsi="仿宋_GB2312" w:eastAsia="仿宋_GB2312"/>
          <w:color w:val="000000"/>
          <w:sz w:val="32"/>
          <w:szCs w:val="32"/>
          <w:lang w:val="en-US" w:eastAsia="zh-CN"/>
        </w:rPr>
        <w:t>1</w:t>
      </w:r>
      <w:r>
        <w:rPr>
          <w:rFonts w:hint="eastAsia" w:ascii="仿宋_GB2312" w:hAnsi="仿宋_GB2312" w:eastAsia="仿宋_GB2312"/>
          <w:color w:val="000000"/>
          <w:sz w:val="32"/>
          <w:szCs w:val="32"/>
        </w:rPr>
        <w:t>个，为</w:t>
      </w:r>
      <w:r>
        <w:rPr>
          <w:rFonts w:hint="eastAsia" w:ascii="仿宋_GB2312" w:hAnsi="仿宋_GB2312" w:eastAsia="仿宋_GB2312"/>
          <w:color w:val="000000"/>
          <w:sz w:val="32"/>
          <w:szCs w:val="32"/>
          <w:lang w:eastAsia="zh-CN"/>
        </w:rPr>
        <w:t>庐山市</w:t>
      </w:r>
      <w:r>
        <w:rPr>
          <w:rFonts w:hint="eastAsia" w:ascii="仿宋_GB2312" w:hAnsi="仿宋_GB2312" w:eastAsia="仿宋_GB2312"/>
          <w:color w:val="000000"/>
          <w:sz w:val="32"/>
          <w:szCs w:val="32"/>
        </w:rPr>
        <w:t>公安局。</w:t>
      </w:r>
    </w:p>
    <w:p>
      <w:pPr>
        <w:ind w:firstLine="640" w:firstLineChars="200"/>
        <w:rPr>
          <w:rFonts w:hint="eastAsia" w:ascii="仿宋_GB2312" w:hAnsi="仿宋_GB2312" w:eastAsia="仿宋_GB2312"/>
          <w:color w:val="000000"/>
          <w:sz w:val="32"/>
          <w:szCs w:val="32"/>
          <w:highlight w:val="none"/>
        </w:rPr>
      </w:pPr>
      <w:r>
        <w:rPr>
          <w:rFonts w:hint="eastAsia" w:ascii="仿宋_GB2312" w:hAnsi="仿宋_GB2312" w:eastAsia="仿宋_GB2312"/>
          <w:color w:val="000000"/>
          <w:sz w:val="32"/>
          <w:szCs w:val="32"/>
          <w:highlight w:val="none"/>
        </w:rPr>
        <w:t>本部门201</w:t>
      </w:r>
      <w:r>
        <w:rPr>
          <w:rFonts w:hint="eastAsia" w:ascii="仿宋_GB2312" w:hAnsi="仿宋_GB2312" w:eastAsia="仿宋_GB2312"/>
          <w:color w:val="000000"/>
          <w:sz w:val="32"/>
          <w:szCs w:val="32"/>
          <w:highlight w:val="none"/>
          <w:lang w:val="en-US" w:eastAsia="zh-CN"/>
        </w:rPr>
        <w:t>9</w:t>
      </w:r>
      <w:r>
        <w:rPr>
          <w:rFonts w:hint="eastAsia" w:ascii="仿宋_GB2312" w:hAnsi="仿宋_GB2312" w:eastAsia="仿宋_GB2312"/>
          <w:color w:val="000000"/>
          <w:sz w:val="32"/>
          <w:szCs w:val="32"/>
          <w:highlight w:val="none"/>
        </w:rPr>
        <w:t>年年末编制人数</w:t>
      </w:r>
      <w:r>
        <w:rPr>
          <w:rFonts w:hint="eastAsia" w:ascii="仿宋_GB2312" w:hAnsi="仿宋_GB2312" w:eastAsia="仿宋_GB2312"/>
          <w:color w:val="000000"/>
          <w:sz w:val="32"/>
          <w:szCs w:val="32"/>
          <w:highlight w:val="none"/>
          <w:lang w:val="en-US" w:eastAsia="zh-CN"/>
        </w:rPr>
        <w:t>207</w:t>
      </w:r>
      <w:r>
        <w:rPr>
          <w:rFonts w:hint="eastAsia" w:ascii="仿宋_GB2312" w:hAnsi="仿宋_GB2312" w:eastAsia="仿宋_GB2312"/>
          <w:color w:val="000000"/>
          <w:sz w:val="32"/>
          <w:szCs w:val="32"/>
          <w:highlight w:val="none"/>
        </w:rPr>
        <w:t>人，其中行政编制</w:t>
      </w:r>
      <w:r>
        <w:rPr>
          <w:rFonts w:hint="eastAsia" w:ascii="仿宋_GB2312" w:hAnsi="仿宋_GB2312" w:eastAsia="仿宋_GB2312"/>
          <w:color w:val="000000"/>
          <w:sz w:val="32"/>
          <w:szCs w:val="32"/>
          <w:highlight w:val="none"/>
          <w:lang w:val="en-US" w:eastAsia="zh-CN"/>
        </w:rPr>
        <w:t>195</w:t>
      </w:r>
      <w:r>
        <w:rPr>
          <w:rFonts w:hint="eastAsia" w:ascii="仿宋_GB2312" w:hAnsi="仿宋_GB2312" w:eastAsia="仿宋_GB2312"/>
          <w:color w:val="000000"/>
          <w:sz w:val="32"/>
          <w:szCs w:val="32"/>
          <w:highlight w:val="none"/>
        </w:rPr>
        <w:t>人，</w:t>
      </w:r>
      <w:r>
        <w:rPr>
          <w:rFonts w:hint="eastAsia" w:ascii="仿宋_GB2312" w:hAnsi="仿宋_GB2312" w:eastAsia="仿宋_GB2312"/>
          <w:color w:val="000000"/>
          <w:sz w:val="32"/>
          <w:szCs w:val="32"/>
          <w:highlight w:val="none"/>
          <w:lang w:eastAsia="zh-CN"/>
        </w:rPr>
        <w:t>工勤</w:t>
      </w:r>
      <w:r>
        <w:rPr>
          <w:rFonts w:hint="eastAsia" w:ascii="仿宋_GB2312" w:hAnsi="仿宋_GB2312" w:eastAsia="仿宋_GB2312"/>
          <w:color w:val="000000"/>
          <w:sz w:val="32"/>
          <w:szCs w:val="32"/>
          <w:highlight w:val="none"/>
        </w:rPr>
        <w:t>编制</w:t>
      </w:r>
      <w:r>
        <w:rPr>
          <w:rFonts w:hint="eastAsia" w:ascii="仿宋_GB2312" w:hAnsi="仿宋_GB2312" w:eastAsia="仿宋_GB2312"/>
          <w:color w:val="000000"/>
          <w:sz w:val="32"/>
          <w:szCs w:val="32"/>
          <w:highlight w:val="none"/>
          <w:lang w:val="en-US" w:eastAsia="zh-CN"/>
        </w:rPr>
        <w:t>12</w:t>
      </w:r>
      <w:r>
        <w:rPr>
          <w:rFonts w:hint="eastAsia" w:ascii="仿宋_GB2312" w:hAnsi="仿宋_GB2312" w:eastAsia="仿宋_GB2312"/>
          <w:color w:val="000000"/>
          <w:sz w:val="32"/>
          <w:szCs w:val="32"/>
          <w:highlight w:val="none"/>
        </w:rPr>
        <w:t>人；年末实有人数</w:t>
      </w:r>
      <w:r>
        <w:rPr>
          <w:rFonts w:hint="eastAsia" w:ascii="仿宋_GB2312" w:hAnsi="仿宋_GB2312" w:eastAsia="仿宋_GB2312"/>
          <w:color w:val="000000"/>
          <w:sz w:val="32"/>
          <w:szCs w:val="32"/>
          <w:highlight w:val="none"/>
          <w:lang w:val="en-US" w:eastAsia="zh-CN"/>
        </w:rPr>
        <w:t>212</w:t>
      </w:r>
      <w:r>
        <w:rPr>
          <w:rFonts w:hint="eastAsia" w:ascii="仿宋_GB2312" w:hAnsi="仿宋_GB2312" w:eastAsia="仿宋_GB2312"/>
          <w:color w:val="000000"/>
          <w:sz w:val="32"/>
          <w:szCs w:val="32"/>
          <w:highlight w:val="none"/>
        </w:rPr>
        <w:t>人，其中</w:t>
      </w:r>
      <w:r>
        <w:rPr>
          <w:rFonts w:hint="eastAsia" w:ascii="仿宋_GB2312" w:hAnsi="仿宋_GB2312" w:eastAsia="仿宋_GB2312"/>
          <w:color w:val="000000"/>
          <w:sz w:val="32"/>
          <w:szCs w:val="32"/>
          <w:highlight w:val="none"/>
          <w:lang w:eastAsia="zh-CN"/>
        </w:rPr>
        <w:t>行政</w:t>
      </w:r>
      <w:r>
        <w:rPr>
          <w:rFonts w:hint="eastAsia" w:ascii="仿宋_GB2312" w:hAnsi="仿宋_GB2312" w:eastAsia="仿宋_GB2312"/>
          <w:color w:val="000000"/>
          <w:sz w:val="32"/>
          <w:szCs w:val="32"/>
          <w:highlight w:val="none"/>
        </w:rPr>
        <w:t>人员</w:t>
      </w:r>
      <w:r>
        <w:rPr>
          <w:rFonts w:hint="eastAsia" w:ascii="仿宋_GB2312" w:hAnsi="仿宋_GB2312" w:eastAsia="仿宋_GB2312"/>
          <w:color w:val="000000"/>
          <w:sz w:val="32"/>
          <w:szCs w:val="32"/>
          <w:highlight w:val="none"/>
          <w:lang w:val="en-US" w:eastAsia="zh-CN"/>
        </w:rPr>
        <w:t>204</w:t>
      </w:r>
      <w:r>
        <w:rPr>
          <w:rFonts w:hint="eastAsia" w:ascii="仿宋_GB2312" w:hAnsi="仿宋_GB2312" w:eastAsia="仿宋_GB2312"/>
          <w:color w:val="000000"/>
          <w:sz w:val="32"/>
          <w:szCs w:val="32"/>
          <w:highlight w:val="none"/>
        </w:rPr>
        <w:t>人，</w:t>
      </w:r>
      <w:r>
        <w:rPr>
          <w:rFonts w:hint="eastAsia" w:ascii="仿宋_GB2312" w:hAnsi="仿宋_GB2312" w:eastAsia="仿宋_GB2312"/>
          <w:color w:val="000000"/>
          <w:sz w:val="32"/>
          <w:szCs w:val="32"/>
          <w:highlight w:val="none"/>
          <w:lang w:eastAsia="zh-CN"/>
        </w:rPr>
        <w:t>工勤</w:t>
      </w:r>
      <w:r>
        <w:rPr>
          <w:rFonts w:hint="eastAsia" w:ascii="仿宋_GB2312" w:hAnsi="仿宋_GB2312" w:eastAsia="仿宋_GB2312"/>
          <w:color w:val="000000"/>
          <w:sz w:val="32"/>
          <w:szCs w:val="32"/>
          <w:highlight w:val="none"/>
        </w:rPr>
        <w:t>人员</w:t>
      </w:r>
      <w:r>
        <w:rPr>
          <w:rFonts w:hint="eastAsia" w:ascii="仿宋_GB2312" w:hAnsi="仿宋_GB2312" w:eastAsia="仿宋_GB2312"/>
          <w:color w:val="000000"/>
          <w:sz w:val="32"/>
          <w:szCs w:val="32"/>
          <w:highlight w:val="none"/>
          <w:lang w:val="en-US" w:eastAsia="zh-CN"/>
        </w:rPr>
        <w:t>8</w:t>
      </w:r>
      <w:r>
        <w:rPr>
          <w:rFonts w:hint="eastAsia" w:ascii="仿宋_GB2312" w:hAnsi="仿宋_GB2312" w:eastAsia="仿宋_GB2312"/>
          <w:color w:val="000000"/>
          <w:sz w:val="32"/>
          <w:szCs w:val="32"/>
          <w:highlight w:val="none"/>
        </w:rPr>
        <w:t>人。</w:t>
      </w:r>
    </w:p>
    <w:p>
      <w:pPr>
        <w:ind w:firstLine="630"/>
        <w:jc w:val="left"/>
        <w:rPr>
          <w:rFonts w:hint="eastAsia" w:ascii="仿宋" w:hAnsi="仿宋" w:eastAsia="仿宋"/>
          <w:sz w:val="30"/>
          <w:szCs w:val="30"/>
          <w:highlight w:val="yellow"/>
        </w:rPr>
      </w:pPr>
    </w:p>
    <w:p>
      <w:pPr>
        <w:ind w:firstLine="630"/>
        <w:jc w:val="left"/>
        <w:rPr>
          <w:rFonts w:hint="eastAsia" w:ascii="仿宋" w:hAnsi="仿宋" w:eastAsia="仿宋"/>
          <w:sz w:val="30"/>
          <w:szCs w:val="30"/>
        </w:rPr>
      </w:pPr>
      <w:bookmarkStart w:id="0" w:name="_GoBack"/>
      <w:bookmarkEnd w:id="0"/>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ind w:firstLine="630"/>
        <w:jc w:val="left"/>
        <w:rPr>
          <w:rFonts w:hint="eastAsia" w:ascii="仿宋" w:hAnsi="仿宋" w:eastAsia="仿宋"/>
          <w:sz w:val="30"/>
          <w:szCs w:val="30"/>
        </w:rPr>
      </w:pPr>
    </w:p>
    <w:p>
      <w:pPr>
        <w:jc w:val="left"/>
        <w:rPr>
          <w:rFonts w:hint="eastAsia" w:ascii="仿宋" w:hAnsi="仿宋" w:eastAsia="仿宋"/>
          <w:sz w:val="30"/>
          <w:szCs w:val="30"/>
        </w:rPr>
      </w:pPr>
    </w:p>
    <w:p>
      <w:pPr>
        <w:jc w:val="left"/>
        <w:rPr>
          <w:rFonts w:hint="eastAsia" w:ascii="仿宋" w:hAnsi="仿宋" w:eastAsia="仿宋"/>
          <w:sz w:val="30"/>
          <w:szCs w:val="30"/>
        </w:rPr>
      </w:pPr>
    </w:p>
    <w:p>
      <w:pPr>
        <w:numPr>
          <w:ilvl w:val="0"/>
          <w:numId w:val="1"/>
        </w:numPr>
        <w:ind w:firstLine="630"/>
        <w:jc w:val="center"/>
        <w:rPr>
          <w:rFonts w:hint="eastAsia" w:ascii="宋体" w:hAnsi="宋体"/>
          <w:b/>
          <w:sz w:val="32"/>
          <w:szCs w:val="32"/>
        </w:rPr>
      </w:pPr>
      <w:r>
        <w:rPr>
          <w:rFonts w:hint="eastAsia" w:ascii="宋体" w:hAnsi="宋体"/>
          <w:b/>
          <w:sz w:val="32"/>
          <w:szCs w:val="32"/>
        </w:rPr>
        <w:t xml:space="preserve"> 201</w:t>
      </w:r>
      <w:r>
        <w:rPr>
          <w:rFonts w:hint="eastAsia" w:ascii="宋体" w:hAnsi="宋体"/>
          <w:b/>
          <w:sz w:val="32"/>
          <w:szCs w:val="32"/>
          <w:lang w:val="en-US" w:eastAsia="zh-CN"/>
        </w:rPr>
        <w:t>9</w:t>
      </w:r>
      <w:r>
        <w:rPr>
          <w:rFonts w:hint="eastAsia" w:ascii="宋体" w:hAnsi="宋体"/>
          <w:b/>
          <w:sz w:val="32"/>
          <w:szCs w:val="32"/>
        </w:rPr>
        <w:t>年度部门决算表</w:t>
      </w:r>
    </w:p>
    <w:tbl>
      <w:tblPr>
        <w:tblStyle w:val="3"/>
        <w:tblW w:w="9558" w:type="dxa"/>
        <w:tblInd w:w="0" w:type="dxa"/>
        <w:shd w:val="clear" w:color="auto" w:fill="auto"/>
        <w:tblLayout w:type="fixed"/>
        <w:tblCellMar>
          <w:top w:w="0" w:type="dxa"/>
          <w:left w:w="0" w:type="dxa"/>
          <w:bottom w:w="0" w:type="dxa"/>
          <w:right w:w="0" w:type="dxa"/>
        </w:tblCellMar>
      </w:tblPr>
      <w:tblGrid>
        <w:gridCol w:w="240"/>
        <w:gridCol w:w="300"/>
        <w:gridCol w:w="318"/>
        <w:gridCol w:w="1894"/>
        <w:gridCol w:w="150"/>
        <w:gridCol w:w="413"/>
        <w:gridCol w:w="731"/>
        <w:gridCol w:w="525"/>
        <w:gridCol w:w="619"/>
        <w:gridCol w:w="750"/>
        <w:gridCol w:w="656"/>
        <w:gridCol w:w="675"/>
        <w:gridCol w:w="37"/>
        <w:gridCol w:w="619"/>
        <w:gridCol w:w="56"/>
        <w:gridCol w:w="600"/>
        <w:gridCol w:w="882"/>
        <w:gridCol w:w="93"/>
      </w:tblGrid>
      <w:tr>
        <w:tblPrEx>
          <w:shd w:val="clear" w:color="auto" w:fill="auto"/>
          <w:tblCellMar>
            <w:top w:w="0" w:type="dxa"/>
            <w:left w:w="0" w:type="dxa"/>
            <w:bottom w:w="0" w:type="dxa"/>
            <w:right w:w="0" w:type="dxa"/>
          </w:tblCellMar>
        </w:tblPrEx>
        <w:trPr>
          <w:gridAfter w:val="1"/>
          <w:wAfter w:w="93" w:type="dxa"/>
          <w:trHeight w:val="508" w:hRule="atLeast"/>
        </w:trPr>
        <w:tc>
          <w:tcPr>
            <w:tcW w:w="9465" w:type="dxa"/>
            <w:gridSpan w:val="17"/>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收入支出决算总表</w:t>
            </w:r>
          </w:p>
        </w:tc>
      </w:tr>
      <w:tr>
        <w:tblPrEx>
          <w:tblCellMar>
            <w:top w:w="0" w:type="dxa"/>
            <w:left w:w="0" w:type="dxa"/>
            <w:bottom w:w="0" w:type="dxa"/>
            <w:right w:w="0" w:type="dxa"/>
          </w:tblCellMar>
        </w:tblPrEx>
        <w:trPr>
          <w:gridAfter w:val="1"/>
          <w:wAfter w:w="93" w:type="dxa"/>
          <w:trHeight w:val="255" w:hRule="atLeast"/>
        </w:trPr>
        <w:tc>
          <w:tcPr>
            <w:tcW w:w="2752" w:type="dxa"/>
            <w:gridSpan w:val="4"/>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563"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56"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737"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1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38"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gridAfter w:val="1"/>
          <w:wAfter w:w="93" w:type="dxa"/>
          <w:trHeight w:val="255" w:hRule="atLeast"/>
        </w:trPr>
        <w:tc>
          <w:tcPr>
            <w:tcW w:w="2752" w:type="dxa"/>
            <w:gridSpan w:val="4"/>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563"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56"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2737"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1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38"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CellMar>
            <w:top w:w="0" w:type="dxa"/>
            <w:left w:w="0" w:type="dxa"/>
            <w:bottom w:w="0" w:type="dxa"/>
            <w:right w:w="0" w:type="dxa"/>
          </w:tblCellMar>
        </w:tblPrEx>
        <w:trPr>
          <w:gridAfter w:val="1"/>
          <w:wAfter w:w="93" w:type="dxa"/>
          <w:trHeight w:val="308" w:hRule="atLeast"/>
        </w:trPr>
        <w:tc>
          <w:tcPr>
            <w:tcW w:w="4571"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收     入</w:t>
            </w:r>
          </w:p>
        </w:tc>
        <w:tc>
          <w:tcPr>
            <w:tcW w:w="4894" w:type="dxa"/>
            <w:gridSpan w:val="9"/>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     出</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项目（按功能分类）</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一、一般公共预算财政拨款收入</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6,485.66</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一、一般公共服务支出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二、政府性基金预算财政拨款收入</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二、外交支出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三、上级补助收入</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三、国防支出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四、事业收入</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四、公共安全支出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4,915.88</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五、经营收入</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五、教育支出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六、附属单位上缴收入</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六、科学技术支出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七、其他收入</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133.68</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七、文化旅游体育与传媒支出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八、社会保障和就业支出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444.42</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九、卫生健康支出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十、节能环保支出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十一、城乡社区支出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十二、农林水支出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十三、交通运输支出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十四、资源勘探信息等支出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十五、商业服务业等支出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十六、金融支出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十七、援助其他地区支出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十八、自然资源海洋气象等支出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十九、住房保障支出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二十、粮油物资储备支出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二十一、灾害防治及应急管理支出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二十二、其他支出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二十三、债务还本支出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二十四、债务付息支出</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本年收入合计</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6,619.34</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本年支出合计</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5,586.00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用事业基金弥补收支差额</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结余分配                 </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年初结转和结余</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1,260.38</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年末结转和结余                                </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2,293.72</w:t>
            </w: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1"/>
          <w:wAfter w:w="93" w:type="dxa"/>
          <w:trHeight w:val="308" w:hRule="atLeast"/>
        </w:trPr>
        <w:tc>
          <w:tcPr>
            <w:tcW w:w="2752"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56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256"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7,879.72</w:t>
            </w:r>
          </w:p>
        </w:tc>
        <w:tc>
          <w:tcPr>
            <w:tcW w:w="273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6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1538"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7,879.72</w:t>
            </w:r>
          </w:p>
        </w:tc>
      </w:tr>
      <w:tr>
        <w:tblPrEx>
          <w:tblCellMar>
            <w:top w:w="0" w:type="dxa"/>
            <w:left w:w="0" w:type="dxa"/>
            <w:bottom w:w="0" w:type="dxa"/>
            <w:right w:w="0" w:type="dxa"/>
          </w:tblCellMar>
        </w:tblPrEx>
        <w:trPr>
          <w:gridAfter w:val="1"/>
          <w:wAfter w:w="93" w:type="dxa"/>
          <w:trHeight w:val="346" w:hRule="atLeast"/>
        </w:trPr>
        <w:tc>
          <w:tcPr>
            <w:tcW w:w="9465" w:type="dxa"/>
            <w:gridSpan w:val="17"/>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注：本表反映部门本年度的总收支和年末结转结余情况。</w:t>
            </w:r>
          </w:p>
        </w:tc>
      </w:tr>
      <w:tr>
        <w:tblPrEx>
          <w:tblCellMar>
            <w:top w:w="0" w:type="dxa"/>
            <w:left w:w="0" w:type="dxa"/>
            <w:bottom w:w="0" w:type="dxa"/>
            <w:right w:w="0" w:type="dxa"/>
          </w:tblCellMar>
        </w:tblPrEx>
        <w:trPr>
          <w:gridAfter w:val="1"/>
          <w:wAfter w:w="93" w:type="dxa"/>
          <w:trHeight w:val="255" w:hRule="atLeast"/>
        </w:trPr>
        <w:tc>
          <w:tcPr>
            <w:tcW w:w="2752"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563"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56"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737"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1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38"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r>
      <w:tr>
        <w:tblPrEx>
          <w:tblCellMar>
            <w:top w:w="0" w:type="dxa"/>
            <w:left w:w="0" w:type="dxa"/>
            <w:bottom w:w="0" w:type="dxa"/>
            <w:right w:w="0" w:type="dxa"/>
          </w:tblCellMar>
        </w:tblPrEx>
        <w:trPr>
          <w:trHeight w:val="540" w:hRule="atLeast"/>
        </w:trPr>
        <w:tc>
          <w:tcPr>
            <w:tcW w:w="9558" w:type="dxa"/>
            <w:gridSpan w:val="18"/>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收入决算表</w:t>
            </w:r>
          </w:p>
        </w:tc>
      </w:tr>
      <w:tr>
        <w:tblPrEx>
          <w:tblCellMar>
            <w:top w:w="0" w:type="dxa"/>
            <w:left w:w="0" w:type="dxa"/>
            <w:bottom w:w="0" w:type="dxa"/>
            <w:right w:w="0" w:type="dxa"/>
          </w:tblCellMar>
        </w:tblPrEx>
        <w:trPr>
          <w:trHeight w:val="255" w:hRule="atLeast"/>
        </w:trPr>
        <w:tc>
          <w:tcPr>
            <w:tcW w:w="240"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3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18"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044"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44"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44"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75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5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7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712"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75"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255" w:hRule="atLeast"/>
        </w:trPr>
        <w:tc>
          <w:tcPr>
            <w:tcW w:w="2902"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1144"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44"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406" w:type="dxa"/>
            <w:gridSpan w:val="2"/>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67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712"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6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7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CellMar>
            <w:top w:w="0" w:type="dxa"/>
            <w:left w:w="0" w:type="dxa"/>
            <w:bottom w:w="0" w:type="dxa"/>
            <w:right w:w="0" w:type="dxa"/>
          </w:tblCellMar>
        </w:tblPrEx>
        <w:trPr>
          <w:trHeight w:val="308" w:hRule="atLeast"/>
        </w:trPr>
        <w:tc>
          <w:tcPr>
            <w:tcW w:w="290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1144"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本年收入合计</w:t>
            </w:r>
          </w:p>
        </w:tc>
        <w:tc>
          <w:tcPr>
            <w:tcW w:w="1144"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财政拨款收入</w:t>
            </w:r>
          </w:p>
        </w:tc>
        <w:tc>
          <w:tcPr>
            <w:tcW w:w="750"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上级补助收入</w:t>
            </w:r>
          </w:p>
        </w:tc>
        <w:tc>
          <w:tcPr>
            <w:tcW w:w="1331" w:type="dxa"/>
            <w:gridSpan w:val="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事业收入</w:t>
            </w:r>
          </w:p>
        </w:tc>
        <w:tc>
          <w:tcPr>
            <w:tcW w:w="712" w:type="dxa"/>
            <w:gridSpan w:val="3"/>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经营收入</w:t>
            </w:r>
          </w:p>
        </w:tc>
        <w:tc>
          <w:tcPr>
            <w:tcW w:w="600"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附属单位上缴收入</w:t>
            </w:r>
          </w:p>
        </w:tc>
        <w:tc>
          <w:tcPr>
            <w:tcW w:w="975" w:type="dxa"/>
            <w:gridSpan w:val="2"/>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其他收入</w:t>
            </w:r>
          </w:p>
        </w:tc>
      </w:tr>
      <w:tr>
        <w:tblPrEx>
          <w:tblCellMar>
            <w:top w:w="0" w:type="dxa"/>
            <w:left w:w="0" w:type="dxa"/>
            <w:bottom w:w="0" w:type="dxa"/>
            <w:right w:w="0" w:type="dxa"/>
          </w:tblCellMar>
        </w:tblPrEx>
        <w:trPr>
          <w:trHeight w:val="308" w:hRule="atLeast"/>
        </w:trPr>
        <w:tc>
          <w:tcPr>
            <w:tcW w:w="858"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支出功能分类科目编码</w:t>
            </w:r>
          </w:p>
        </w:tc>
        <w:tc>
          <w:tcPr>
            <w:tcW w:w="2044"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114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6"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675"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其中：教育收费</w:t>
            </w:r>
          </w:p>
        </w:tc>
        <w:tc>
          <w:tcPr>
            <w:tcW w:w="712" w:type="dxa"/>
            <w:gridSpan w:val="3"/>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58"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44"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12" w:type="dxa"/>
            <w:gridSpan w:val="3"/>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58"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44"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6"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12" w:type="dxa"/>
            <w:gridSpan w:val="3"/>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40"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30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318"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r>
      <w:tr>
        <w:tblPrEx>
          <w:tblCellMar>
            <w:top w:w="0" w:type="dxa"/>
            <w:left w:w="0" w:type="dxa"/>
            <w:bottom w:w="0" w:type="dxa"/>
            <w:right w:w="0" w:type="dxa"/>
          </w:tblCellMar>
        </w:tblPrEx>
        <w:trPr>
          <w:trHeight w:val="323" w:hRule="atLeast"/>
        </w:trPr>
        <w:tc>
          <w:tcPr>
            <w:tcW w:w="240"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8"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6,619.34</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6,485.66</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133.68</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公共安全支出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5,804.02</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5,670.34</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133.68</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公安</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5,804.02</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5,670.34</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133.68</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2040201</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行政运行</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5,790.92</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5,657.24</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133.68</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2040299</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其他公安支出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13.10</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13.10</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589.62</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589.62</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行政事业单位离退休</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554.68</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554.68</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2080506</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机关事业单位职业年金缴费支出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138.91</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138.91</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抚恤</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34.94</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34.94</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2080801</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死亡抚恤</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28.65</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28.65</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2080899</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  其他优抚支出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sz w:val="18"/>
                <w:szCs w:val="18"/>
                <w:u w:val="none"/>
                <w:lang w:val="en-US"/>
              </w:rPr>
            </w:pPr>
            <w:r>
              <w:rPr>
                <w:rFonts w:hint="eastAsia" w:asciiTheme="minorEastAsia" w:hAnsiTheme="minorEastAsia" w:cstheme="minorEastAsia"/>
                <w:i w:val="0"/>
                <w:color w:val="000000"/>
                <w:kern w:val="0"/>
                <w:sz w:val="18"/>
                <w:szCs w:val="18"/>
                <w:u w:val="none"/>
                <w:lang w:val="en-US" w:eastAsia="zh-CN" w:bidi="ar"/>
              </w:rPr>
              <w:t>6.29</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Theme="minorEastAsia" w:hAnsiTheme="minorEastAsia" w:eastAsiaTheme="minorEastAsia" w:cstheme="minorEastAsia"/>
                <w:i w:val="0"/>
                <w:color w:val="000000"/>
                <w:sz w:val="18"/>
                <w:szCs w:val="18"/>
                <w:u w:val="none"/>
                <w:lang w:val="en-US"/>
              </w:rPr>
            </w:pPr>
            <w:r>
              <w:rPr>
                <w:rFonts w:hint="eastAsia" w:asciiTheme="minorEastAsia" w:hAnsiTheme="minorEastAsia" w:cstheme="minorEastAsia"/>
                <w:i w:val="0"/>
                <w:color w:val="000000"/>
                <w:kern w:val="0"/>
                <w:sz w:val="18"/>
                <w:szCs w:val="18"/>
                <w:u w:val="none"/>
                <w:lang w:val="en-US" w:eastAsia="zh-CN" w:bidi="ar"/>
              </w:rPr>
              <w:t>6.29</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210</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卫生健康支出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94.25</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94.25</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21011</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行政事业单位医疗</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94.25</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94.25</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2101101</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  行政单位医疗</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94.25</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94.25</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221</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住房保障支出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131.45</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131.45</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22102</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住房改革支出</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131.45</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131.45</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58"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2210201</w:t>
            </w:r>
          </w:p>
        </w:tc>
        <w:tc>
          <w:tcPr>
            <w:tcW w:w="20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  住房公积金</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131.45</w:t>
            </w:r>
          </w:p>
        </w:tc>
        <w:tc>
          <w:tcPr>
            <w:tcW w:w="1144"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131.45</w:t>
            </w:r>
          </w:p>
        </w:tc>
        <w:tc>
          <w:tcPr>
            <w:tcW w:w="7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712"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7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9558" w:type="dxa"/>
            <w:gridSpan w:val="18"/>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注：本表反映部门本年度取得的各项收入情况。</w:t>
            </w:r>
          </w:p>
        </w:tc>
      </w:tr>
    </w:tbl>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tbl>
      <w:tblPr>
        <w:tblStyle w:val="3"/>
        <w:tblW w:w="9141" w:type="dxa"/>
        <w:tblInd w:w="0" w:type="dxa"/>
        <w:shd w:val="clear" w:color="auto" w:fill="auto"/>
        <w:tblLayout w:type="fixed"/>
        <w:tblCellMar>
          <w:top w:w="0" w:type="dxa"/>
          <w:left w:w="0" w:type="dxa"/>
          <w:bottom w:w="0" w:type="dxa"/>
          <w:right w:w="0" w:type="dxa"/>
        </w:tblCellMar>
      </w:tblPr>
      <w:tblGrid>
        <w:gridCol w:w="291"/>
        <w:gridCol w:w="281"/>
        <w:gridCol w:w="300"/>
        <w:gridCol w:w="1800"/>
        <w:gridCol w:w="1387"/>
        <w:gridCol w:w="1463"/>
        <w:gridCol w:w="1200"/>
        <w:gridCol w:w="806"/>
        <w:gridCol w:w="806"/>
        <w:gridCol w:w="807"/>
      </w:tblGrid>
      <w:tr>
        <w:tblPrEx>
          <w:shd w:val="clear" w:color="auto" w:fill="auto"/>
          <w:tblCellMar>
            <w:top w:w="0" w:type="dxa"/>
            <w:left w:w="0" w:type="dxa"/>
            <w:bottom w:w="0" w:type="dxa"/>
            <w:right w:w="0" w:type="dxa"/>
          </w:tblCellMar>
        </w:tblPrEx>
        <w:trPr>
          <w:trHeight w:val="540" w:hRule="atLeast"/>
        </w:trPr>
        <w:tc>
          <w:tcPr>
            <w:tcW w:w="9141" w:type="dxa"/>
            <w:gridSpan w:val="10"/>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支出决算表</w:t>
            </w:r>
          </w:p>
        </w:tc>
      </w:tr>
      <w:tr>
        <w:tblPrEx>
          <w:tblCellMar>
            <w:top w:w="0" w:type="dxa"/>
            <w:left w:w="0" w:type="dxa"/>
            <w:bottom w:w="0" w:type="dxa"/>
            <w:right w:w="0" w:type="dxa"/>
          </w:tblCellMar>
        </w:tblPrEx>
        <w:trPr>
          <w:trHeight w:val="255" w:hRule="atLeast"/>
        </w:trPr>
        <w:tc>
          <w:tcPr>
            <w:tcW w:w="291"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2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8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87"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463"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2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0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613"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255" w:hRule="atLeast"/>
        </w:trPr>
        <w:tc>
          <w:tcPr>
            <w:tcW w:w="4059"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1463"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12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0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613"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CellMar>
            <w:top w:w="0" w:type="dxa"/>
            <w:left w:w="0" w:type="dxa"/>
            <w:bottom w:w="0" w:type="dxa"/>
            <w:right w:w="0" w:type="dxa"/>
          </w:tblCellMar>
        </w:tblPrEx>
        <w:trPr>
          <w:trHeight w:val="308" w:hRule="atLeast"/>
        </w:trPr>
        <w:tc>
          <w:tcPr>
            <w:tcW w:w="267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1387"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本年支出合计</w:t>
            </w:r>
          </w:p>
        </w:tc>
        <w:tc>
          <w:tcPr>
            <w:tcW w:w="1463"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基本支出</w:t>
            </w:r>
          </w:p>
        </w:tc>
        <w:tc>
          <w:tcPr>
            <w:tcW w:w="1200"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w:t>
            </w:r>
          </w:p>
        </w:tc>
        <w:tc>
          <w:tcPr>
            <w:tcW w:w="806"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上缴上级支出</w:t>
            </w:r>
          </w:p>
        </w:tc>
        <w:tc>
          <w:tcPr>
            <w:tcW w:w="806"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经营支出</w:t>
            </w:r>
          </w:p>
        </w:tc>
        <w:tc>
          <w:tcPr>
            <w:tcW w:w="807"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对附属单位补助支出</w:t>
            </w:r>
          </w:p>
        </w:tc>
      </w:tr>
      <w:tr>
        <w:tblPrEx>
          <w:tblCellMar>
            <w:top w:w="0" w:type="dxa"/>
            <w:left w:w="0" w:type="dxa"/>
            <w:bottom w:w="0" w:type="dxa"/>
            <w:right w:w="0" w:type="dxa"/>
          </w:tblCellMar>
        </w:tblPrEx>
        <w:trPr>
          <w:trHeight w:val="308" w:hRule="atLeast"/>
        </w:trPr>
        <w:tc>
          <w:tcPr>
            <w:tcW w:w="872"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支出功能分类科目编码</w:t>
            </w:r>
          </w:p>
        </w:tc>
        <w:tc>
          <w:tcPr>
            <w:tcW w:w="180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138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63"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72"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0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63"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72"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0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63"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0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91"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281"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30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13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CellMar>
            <w:top w:w="0" w:type="dxa"/>
            <w:left w:w="0" w:type="dxa"/>
            <w:bottom w:w="0" w:type="dxa"/>
            <w:right w:w="0" w:type="dxa"/>
          </w:tblCellMar>
        </w:tblPrEx>
        <w:trPr>
          <w:trHeight w:val="308" w:hRule="atLeast"/>
        </w:trPr>
        <w:tc>
          <w:tcPr>
            <w:tcW w:w="291"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81"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5,586.00</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5,249.22</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公共安全支出</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4,915.88</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4,579.11</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公安</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4,915.88</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4,579.11</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2040201</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行政运行</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4,902.78</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4,566.01</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2040299</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其他公安支出</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13.10</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13.10</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444.42</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444.42</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行政事业单位离退休</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机关事业单位基本养老保险缴费支出</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抚恤</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28.65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28.65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2080801</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死亡抚恤</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28.65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28.65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卫生健康支出</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行政事业单位医疗</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2101101</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行政单位医疗</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住房保障支出</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22102</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住房改革支出</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872"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2210201</w:t>
            </w:r>
          </w:p>
        </w:tc>
        <w:tc>
          <w:tcPr>
            <w:tcW w:w="18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住房公积金</w:t>
            </w:r>
          </w:p>
        </w:tc>
        <w:tc>
          <w:tcPr>
            <w:tcW w:w="13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14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1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9141" w:type="dxa"/>
            <w:gridSpan w:val="10"/>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注：本表反映部门本年度各项支出情况。</w:t>
            </w:r>
          </w:p>
        </w:tc>
      </w:tr>
      <w:tr>
        <w:tblPrEx>
          <w:tblCellMar>
            <w:top w:w="0" w:type="dxa"/>
            <w:left w:w="0" w:type="dxa"/>
            <w:bottom w:w="0" w:type="dxa"/>
            <w:right w:w="0" w:type="dxa"/>
          </w:tblCellMar>
        </w:tblPrEx>
        <w:trPr>
          <w:trHeight w:val="255" w:hRule="atLeast"/>
        </w:trPr>
        <w:tc>
          <w:tcPr>
            <w:tcW w:w="291"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81"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0"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00"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387"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463"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200"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806"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806"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807"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55" w:hRule="atLeast"/>
        </w:trPr>
        <w:tc>
          <w:tcPr>
            <w:tcW w:w="291"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81"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0"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00"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387"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463"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200"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806"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806"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807" w:type="dxa"/>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bl>
    <w:p>
      <w:pPr>
        <w:rPr>
          <w:rFonts w:hint="eastAsia" w:ascii="宋体" w:hAnsi="宋体" w:eastAsia="宋体" w:cs="宋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5"/>
          <w:szCs w:val="15"/>
        </w:rPr>
      </w:pPr>
    </w:p>
    <w:tbl>
      <w:tblPr>
        <w:tblStyle w:val="3"/>
        <w:tblW w:w="9333" w:type="dxa"/>
        <w:tblInd w:w="0" w:type="dxa"/>
        <w:shd w:val="clear" w:color="auto" w:fill="auto"/>
        <w:tblLayout w:type="fixed"/>
        <w:tblCellMar>
          <w:top w:w="0" w:type="dxa"/>
          <w:left w:w="0" w:type="dxa"/>
          <w:bottom w:w="0" w:type="dxa"/>
          <w:right w:w="0" w:type="dxa"/>
        </w:tblCellMar>
      </w:tblPr>
      <w:tblGrid>
        <w:gridCol w:w="2302"/>
        <w:gridCol w:w="319"/>
        <w:gridCol w:w="844"/>
        <w:gridCol w:w="2643"/>
        <w:gridCol w:w="450"/>
        <w:gridCol w:w="863"/>
        <w:gridCol w:w="1069"/>
        <w:gridCol w:w="843"/>
      </w:tblGrid>
      <w:tr>
        <w:tblPrEx>
          <w:shd w:val="clear" w:color="auto" w:fill="auto"/>
          <w:tblCellMar>
            <w:top w:w="0" w:type="dxa"/>
            <w:left w:w="0" w:type="dxa"/>
            <w:bottom w:w="0" w:type="dxa"/>
            <w:right w:w="0" w:type="dxa"/>
          </w:tblCellMar>
        </w:tblPrEx>
        <w:trPr>
          <w:trHeight w:val="255" w:hRule="atLeast"/>
        </w:trPr>
        <w:tc>
          <w:tcPr>
            <w:tcW w:w="9333" w:type="dxa"/>
            <w:gridSpan w:val="8"/>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44"/>
                <w:szCs w:val="44"/>
                <w:u w:val="none"/>
                <w:lang w:val="en-US" w:eastAsia="zh-CN" w:bidi="ar"/>
              </w:rPr>
              <w:t>财政拨款收入支出决算总表</w:t>
            </w:r>
          </w:p>
        </w:tc>
      </w:tr>
      <w:tr>
        <w:tblPrEx>
          <w:tblCellMar>
            <w:top w:w="0" w:type="dxa"/>
            <w:left w:w="0" w:type="dxa"/>
            <w:bottom w:w="0" w:type="dxa"/>
            <w:right w:w="0" w:type="dxa"/>
          </w:tblCellMar>
        </w:tblPrEx>
        <w:trPr>
          <w:trHeight w:val="255" w:hRule="atLeast"/>
        </w:trPr>
        <w:tc>
          <w:tcPr>
            <w:tcW w:w="2302"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31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643"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5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63"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912"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255" w:hRule="atLeast"/>
        </w:trPr>
        <w:tc>
          <w:tcPr>
            <w:tcW w:w="3465" w:type="dxa"/>
            <w:gridSpan w:val="3"/>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2643"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5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63"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912"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CellMar>
            <w:top w:w="0" w:type="dxa"/>
            <w:left w:w="0" w:type="dxa"/>
            <w:bottom w:w="0" w:type="dxa"/>
            <w:right w:w="0" w:type="dxa"/>
          </w:tblCellMar>
        </w:tblPrEx>
        <w:trPr>
          <w:trHeight w:val="308" w:hRule="atLeast"/>
        </w:trPr>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收     入</w:t>
            </w:r>
          </w:p>
        </w:tc>
        <w:tc>
          <w:tcPr>
            <w:tcW w:w="5868" w:type="dxa"/>
            <w:gridSpan w:val="5"/>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     出</w:t>
            </w:r>
          </w:p>
        </w:tc>
      </w:tr>
      <w:tr>
        <w:tblPrEx>
          <w:tblCellMar>
            <w:top w:w="0" w:type="dxa"/>
            <w:left w:w="0" w:type="dxa"/>
            <w:bottom w:w="0" w:type="dxa"/>
            <w:right w:w="0" w:type="dxa"/>
          </w:tblCellMar>
        </w:tblPrEx>
        <w:trPr>
          <w:trHeight w:val="308" w:hRule="atLeast"/>
        </w:trPr>
        <w:tc>
          <w:tcPr>
            <w:tcW w:w="2302"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319"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844"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c>
          <w:tcPr>
            <w:tcW w:w="2643"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项目（按功能分类）</w:t>
            </w:r>
          </w:p>
        </w:tc>
        <w:tc>
          <w:tcPr>
            <w:tcW w:w="45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277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585" w:hRule="atLeast"/>
        </w:trPr>
        <w:tc>
          <w:tcPr>
            <w:tcW w:w="2302"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9"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3"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5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106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一般公共预算财政拨款</w:t>
            </w:r>
          </w:p>
        </w:tc>
        <w:tc>
          <w:tcPr>
            <w:tcW w:w="8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政府性基金预算财政拨款</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    次</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6,485.66</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一、一般公共服务支出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二、外交支出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三、国防支出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四、公共安全支出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4,844.87</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4,844.87</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五、教育支出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六、科学技术支出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七、文化旅游体育与传媒支出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八、社会保障和就业支出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444.42</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444.42</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九、卫生健康支出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十、节能环保支出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十一、城乡社区支出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十二、农林水支出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十三、交通运输支出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十四、资源勘探信息等支出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十五、商业服务业等支出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十六、金融支出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十七、援助其他地区支出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十八、自然资源海洋气象等支出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十九、住房保障支出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二十、粮油物资储备支出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二十一、灾害防治及应急管理支出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二十二、其他支出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二十三、债务还本支出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二十四、债务付息支出</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本年收入合计</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6,485.66</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本年支出合计</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5,514.99</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5,514.99</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年初财政拨款结转和结余</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1,260.38</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年末财政拨款结转和结余</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2,231.05</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2,231.05</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1,260.38</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302"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3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7,746.04</w:t>
            </w:r>
          </w:p>
        </w:tc>
        <w:tc>
          <w:tcPr>
            <w:tcW w:w="26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总计</w:t>
            </w:r>
          </w:p>
        </w:tc>
        <w:tc>
          <w:tcPr>
            <w:tcW w:w="45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86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7,746.04</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7,746.04</w:t>
            </w:r>
          </w:p>
        </w:tc>
        <w:tc>
          <w:tcPr>
            <w:tcW w:w="84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9333" w:type="dxa"/>
            <w:gridSpan w:val="8"/>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注：本表反映部门本年度一般公共预算财政拨款和政府性基金预算财政拨款的总收支和年末结转结余情况。</w:t>
            </w:r>
          </w:p>
        </w:tc>
      </w:tr>
    </w:tbl>
    <w:p>
      <w:pPr>
        <w:jc w:val="both"/>
        <w:rPr>
          <w:rFonts w:hint="eastAsia" w:ascii="黑体" w:eastAsia="黑体"/>
          <w:sz w:val="15"/>
          <w:szCs w:val="15"/>
        </w:rPr>
      </w:pPr>
    </w:p>
    <w:tbl>
      <w:tblPr>
        <w:tblStyle w:val="3"/>
        <w:tblW w:w="8336" w:type="dxa"/>
        <w:tblInd w:w="0" w:type="dxa"/>
        <w:shd w:val="clear" w:color="auto" w:fill="auto"/>
        <w:tblLayout w:type="autofit"/>
        <w:tblCellMar>
          <w:top w:w="0" w:type="dxa"/>
          <w:left w:w="0" w:type="dxa"/>
          <w:bottom w:w="0" w:type="dxa"/>
          <w:right w:w="0" w:type="dxa"/>
        </w:tblCellMar>
      </w:tblPr>
      <w:tblGrid>
        <w:gridCol w:w="273"/>
        <w:gridCol w:w="273"/>
        <w:gridCol w:w="273"/>
        <w:gridCol w:w="3972"/>
        <w:gridCol w:w="1196"/>
        <w:gridCol w:w="809"/>
        <w:gridCol w:w="1540"/>
      </w:tblGrid>
      <w:tr>
        <w:tblPrEx>
          <w:shd w:val="clear" w:color="auto" w:fill="auto"/>
          <w:tblCellMar>
            <w:top w:w="0" w:type="dxa"/>
            <w:left w:w="0" w:type="dxa"/>
            <w:bottom w:w="0" w:type="dxa"/>
            <w:right w:w="0" w:type="dxa"/>
          </w:tblCellMar>
        </w:tblPrEx>
        <w:trPr>
          <w:trHeight w:val="540" w:hRule="atLeast"/>
        </w:trPr>
        <w:tc>
          <w:tcPr>
            <w:tcW w:w="8336" w:type="dxa"/>
            <w:gridSpan w:val="7"/>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一般公共预算财政拨款支出决算表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255" w:hRule="atLeast"/>
        </w:trPr>
        <w:tc>
          <w:tcPr>
            <w:tcW w:w="5289" w:type="dxa"/>
            <w:gridSpan w:val="4"/>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公开05表 </w:t>
            </w:r>
          </w:p>
        </w:tc>
      </w:tr>
      <w:tr>
        <w:tblPrEx>
          <w:tblCellMar>
            <w:top w:w="0" w:type="dxa"/>
            <w:left w:w="0" w:type="dxa"/>
            <w:bottom w:w="0" w:type="dxa"/>
            <w:right w:w="0" w:type="dxa"/>
          </w:tblCellMar>
        </w:tblPrEx>
        <w:trPr>
          <w:trHeight w:val="308"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0" w:type="auto"/>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本年支出合计</w:t>
            </w:r>
          </w:p>
        </w:tc>
        <w:tc>
          <w:tcPr>
            <w:tcW w:w="0" w:type="auto"/>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基本支出</w:t>
            </w:r>
          </w:p>
        </w:tc>
        <w:tc>
          <w:tcPr>
            <w:tcW w:w="0" w:type="auto"/>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w:t>
            </w:r>
          </w:p>
        </w:tc>
      </w:tr>
      <w:tr>
        <w:tblPrEx>
          <w:tblCellMar>
            <w:top w:w="0" w:type="dxa"/>
            <w:left w:w="0" w:type="dxa"/>
            <w:bottom w:w="0" w:type="dxa"/>
            <w:right w:w="0" w:type="dxa"/>
          </w:tblCellMar>
        </w:tblPrEx>
        <w:trPr>
          <w:trHeight w:val="308" w:hRule="atLeast"/>
        </w:trPr>
        <w:tc>
          <w:tcPr>
            <w:tcW w:w="2187"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支出功能分类科目编码</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187"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2187"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0" w:type="auto"/>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r>
      <w:tr>
        <w:tblPrEx>
          <w:tblCellMar>
            <w:top w:w="0" w:type="dxa"/>
            <w:left w:w="0" w:type="dxa"/>
            <w:bottom w:w="0" w:type="dxa"/>
            <w:right w:w="0" w:type="dxa"/>
          </w:tblCellMar>
        </w:tblPrEx>
        <w:trPr>
          <w:trHeight w:val="308" w:hRule="atLeast"/>
        </w:trPr>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5,514.99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5,178.22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公共安全支出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4,844.87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4,508.10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公安</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4,844.87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4,508.10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行政运行</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4,831.77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4,495.00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336.77</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2040299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其他公安支出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444.42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444.42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行政事业单位离退休</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28.65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28.65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2080801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死亡抚恤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28.65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28.65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行政单位医疗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住房保障支出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住房改革支出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2210201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住房公积金</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gridSpan w:val="7"/>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注：本表反映部门本年度一般公共预算财政拨款支出情况。</w:t>
            </w:r>
          </w:p>
        </w:tc>
      </w:tr>
    </w:tbl>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tbl>
      <w:tblPr>
        <w:tblStyle w:val="3"/>
        <w:tblW w:w="8859" w:type="dxa"/>
        <w:tblInd w:w="0" w:type="dxa"/>
        <w:shd w:val="clear" w:color="auto" w:fill="auto"/>
        <w:tblLayout w:type="fixed"/>
        <w:tblCellMar>
          <w:top w:w="0" w:type="dxa"/>
          <w:left w:w="0" w:type="dxa"/>
          <w:bottom w:w="0" w:type="dxa"/>
          <w:right w:w="0" w:type="dxa"/>
        </w:tblCellMar>
      </w:tblPr>
      <w:tblGrid>
        <w:gridCol w:w="516"/>
        <w:gridCol w:w="1106"/>
        <w:gridCol w:w="1069"/>
        <w:gridCol w:w="549"/>
        <w:gridCol w:w="1476"/>
        <w:gridCol w:w="787"/>
        <w:gridCol w:w="581"/>
        <w:gridCol w:w="1824"/>
        <w:gridCol w:w="951"/>
      </w:tblGrid>
      <w:tr>
        <w:tblPrEx>
          <w:shd w:val="clear" w:color="auto" w:fill="auto"/>
          <w:tblCellMar>
            <w:top w:w="0" w:type="dxa"/>
            <w:left w:w="0" w:type="dxa"/>
            <w:bottom w:w="0" w:type="dxa"/>
            <w:right w:w="0" w:type="dxa"/>
          </w:tblCellMar>
        </w:tblPrEx>
        <w:trPr>
          <w:trHeight w:val="540" w:hRule="atLeast"/>
        </w:trPr>
        <w:tc>
          <w:tcPr>
            <w:tcW w:w="8859" w:type="dxa"/>
            <w:gridSpan w:val="9"/>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一般公共预算财政拨款基本支出决算表</w:t>
            </w:r>
          </w:p>
        </w:tc>
      </w:tr>
      <w:tr>
        <w:tblPrEx>
          <w:tblCellMar>
            <w:top w:w="0" w:type="dxa"/>
            <w:left w:w="0" w:type="dxa"/>
            <w:bottom w:w="0" w:type="dxa"/>
            <w:right w:w="0" w:type="dxa"/>
          </w:tblCellMar>
        </w:tblPrEx>
        <w:trPr>
          <w:trHeight w:val="255" w:hRule="atLeast"/>
        </w:trPr>
        <w:tc>
          <w:tcPr>
            <w:tcW w:w="516"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110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6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54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47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787"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5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775"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255" w:hRule="atLeast"/>
        </w:trPr>
        <w:tc>
          <w:tcPr>
            <w:tcW w:w="3240" w:type="dxa"/>
            <w:gridSpan w:val="4"/>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1476"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787"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5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82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51"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公开06表</w:t>
            </w:r>
          </w:p>
        </w:tc>
      </w:tr>
      <w:tr>
        <w:tblPrEx>
          <w:tblCellMar>
            <w:top w:w="0" w:type="dxa"/>
            <w:left w:w="0" w:type="dxa"/>
            <w:bottom w:w="0" w:type="dxa"/>
            <w:right w:w="0" w:type="dxa"/>
          </w:tblCellMar>
        </w:tblPrEx>
        <w:trPr>
          <w:trHeight w:val="308" w:hRule="atLeast"/>
        </w:trPr>
        <w:tc>
          <w:tcPr>
            <w:tcW w:w="269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人员经费</w:t>
            </w:r>
          </w:p>
        </w:tc>
        <w:tc>
          <w:tcPr>
            <w:tcW w:w="6168" w:type="dxa"/>
            <w:gridSpan w:val="6"/>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公用经费</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经济分类科目编码</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w:t>
            </w:r>
          </w:p>
        </w:tc>
        <w:tc>
          <w:tcPr>
            <w:tcW w:w="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经济分类科目编码</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w:t>
            </w:r>
          </w:p>
        </w:tc>
        <w:tc>
          <w:tcPr>
            <w:tcW w:w="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经济分类科目编码</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301</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工资福利支出</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3,594.43</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302</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商品和服务支出</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1,084.81</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307</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债务利息及费用支出</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30101</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基本工资</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773.61</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30201</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办公费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19.59</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30701</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国内债务付息</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30102</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津贴补贴</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1,531.28</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30202</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印刷费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30702</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国外债务付息</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30103</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奖金</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488.21</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30203</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咨询费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30703</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国内债务发行费用</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30106</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伙食补助费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手续费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30704</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国外债务发行费用</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30107</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绩效工资</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30205</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水费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7.41</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310</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资本性支出</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361.22</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30108</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415.77</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30206</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电费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61.48</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31001</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房屋建筑物购建</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30109</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职业年金缴费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30207</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邮电费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48.20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31002</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办公设备购置</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16.47</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30110</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职工基本医疗保险缴费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94.25</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30208</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取暖费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31003</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专用设备购置</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296.73</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30111</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公务员医疗补助缴款</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30209</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物业管理费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31005</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基础设施建设</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30112</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其他社会保障缴费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13.53</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30211</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差旅费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95.01</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31006</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大型修缮</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30113</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住房公积金</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131.45</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30212</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因公出国（境）费用</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31007</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信息网络及软件购置更新</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48.02</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30114</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医疗费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30213</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维修（护）费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18.72</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31008</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物资储备</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30199</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其他工资福利支出</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146.33</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30214</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租赁费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148.33</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31009</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土地补偿</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303</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对个人和家庭的补助</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137.76</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30215</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会议费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31010</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安置补助</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30301</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离休费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30216</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培训费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0.41</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310111</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地上附着物和青苗补偿</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30302</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退休费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30217</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公务接待费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3.98</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31012</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拆迁补偿</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30303</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退职（役）费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30218</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专用材料费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90.31</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31013</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公务用车购置</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30304</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抚恤金</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28.64</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30224</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被装购置费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31019</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其他交通工具购置</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30305</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生活补贴</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76.35</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30225</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专用燃料费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31021</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文物和陈列品购置</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30306</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救济费</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30226</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劳务费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159.78</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31022</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无形资产购置</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30307</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医疗费补助</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30227</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委托业务费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31099</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其他资本性支出</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30308</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助学金</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30228</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工会经费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41.32</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312</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对企业补助</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30309</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奖励金</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30229</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福利费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98.02</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31201</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资本金注入</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30310</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个人农业生产补贴</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30231</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公务用车运行维护费</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69.77</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31203</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政府投资基金股权投资</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30399</w:t>
            </w: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其他对个人和家庭的补助支出</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32.77</w:t>
            </w: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30239</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其他交通费用</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134.37</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31204</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费用补贴</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30240</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税金及附加费用</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31205</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利息补贴</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30299</w:t>
            </w: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其他商品和服务支出</w:t>
            </w: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76.93</w:t>
            </w: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31299</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其他对企业补助</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399</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其他支出</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39906</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赠与</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39907</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国家赔偿费用支出</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39908</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对民间非营利组织和群众性自治组织补贴</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51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4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5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39999</w:t>
            </w:r>
          </w:p>
        </w:tc>
        <w:tc>
          <w:tcPr>
            <w:tcW w:w="18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其他支出</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662" w:hRule="atLeast"/>
        </w:trPr>
        <w:tc>
          <w:tcPr>
            <w:tcW w:w="1622"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人员经费合计</w:t>
            </w:r>
          </w:p>
        </w:tc>
        <w:tc>
          <w:tcPr>
            <w:tcW w:w="106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3,732.19</w:t>
            </w:r>
          </w:p>
        </w:tc>
        <w:tc>
          <w:tcPr>
            <w:tcW w:w="521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公用支出合计</w:t>
            </w:r>
          </w:p>
        </w:tc>
        <w:tc>
          <w:tcPr>
            <w:tcW w:w="95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1,446.03</w:t>
            </w:r>
          </w:p>
        </w:tc>
      </w:tr>
      <w:tr>
        <w:tblPrEx>
          <w:tblCellMar>
            <w:top w:w="0" w:type="dxa"/>
            <w:left w:w="0" w:type="dxa"/>
            <w:bottom w:w="0" w:type="dxa"/>
            <w:right w:w="0" w:type="dxa"/>
          </w:tblCellMar>
        </w:tblPrEx>
        <w:trPr>
          <w:trHeight w:val="308" w:hRule="atLeast"/>
        </w:trPr>
        <w:tc>
          <w:tcPr>
            <w:tcW w:w="8859" w:type="dxa"/>
            <w:gridSpan w:val="9"/>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注：本表反映部门本年度一般公共预算财政拨款基本支出明细情况。</w:t>
            </w:r>
          </w:p>
        </w:tc>
      </w:tr>
    </w:tbl>
    <w:p>
      <w:pPr>
        <w:rPr>
          <w:rFonts w:hint="eastAsia" w:ascii="宋体" w:hAnsi="宋体" w:eastAsia="宋体" w:cs="宋体"/>
          <w:sz w:val="18"/>
          <w:szCs w:val="18"/>
        </w:rPr>
      </w:pPr>
    </w:p>
    <w:tbl>
      <w:tblPr>
        <w:tblStyle w:val="3"/>
        <w:tblW w:w="8336" w:type="dxa"/>
        <w:tblInd w:w="0" w:type="dxa"/>
        <w:shd w:val="clear" w:color="auto" w:fill="auto"/>
        <w:tblLayout w:type="autofit"/>
        <w:tblCellMar>
          <w:top w:w="0" w:type="dxa"/>
          <w:left w:w="0" w:type="dxa"/>
          <w:bottom w:w="0" w:type="dxa"/>
          <w:right w:w="0" w:type="dxa"/>
        </w:tblCellMar>
      </w:tblPr>
      <w:tblGrid>
        <w:gridCol w:w="4028"/>
        <w:gridCol w:w="1170"/>
        <w:gridCol w:w="1236"/>
        <w:gridCol w:w="1902"/>
      </w:tblGrid>
      <w:tr>
        <w:tblPrEx>
          <w:shd w:val="clear" w:color="auto" w:fill="auto"/>
          <w:tblCellMar>
            <w:top w:w="0" w:type="dxa"/>
            <w:left w:w="0" w:type="dxa"/>
            <w:bottom w:w="0" w:type="dxa"/>
            <w:right w:w="0" w:type="dxa"/>
          </w:tblCellMar>
        </w:tblPrEx>
        <w:trPr>
          <w:trHeight w:val="540" w:hRule="atLeast"/>
        </w:trPr>
        <w:tc>
          <w:tcPr>
            <w:tcW w:w="8336" w:type="dxa"/>
            <w:gridSpan w:val="4"/>
            <w:tcBorders>
              <w:top w:val="nil"/>
              <w:left w:val="nil"/>
              <w:bottom w:val="nil"/>
              <w:right w:val="nil"/>
            </w:tcBorders>
            <w:shd w:val="clear" w:color="auto" w:fill="auto"/>
            <w:noWrap/>
            <w:tcMar>
              <w:top w:w="15" w:type="dxa"/>
              <w:left w:w="15" w:type="dxa"/>
              <w:right w:w="15" w:type="dxa"/>
            </w:tcMar>
            <w:vAlign w:val="bottom"/>
          </w:tcPr>
          <w:p>
            <w:pPr>
              <w:jc w:val="center"/>
              <w:rPr>
                <w:rFonts w:hint="default" w:ascii="Arial" w:hAnsi="Arial" w:cs="Arial"/>
                <w:i w:val="0"/>
                <w:color w:val="000000"/>
                <w:sz w:val="20"/>
                <w:szCs w:val="20"/>
                <w:u w:val="none"/>
              </w:rPr>
            </w:pPr>
            <w:r>
              <w:rPr>
                <w:rFonts w:hint="eastAsia" w:ascii="宋体" w:hAnsi="宋体" w:eastAsia="宋体" w:cs="宋体"/>
                <w:i w:val="0"/>
                <w:color w:val="000000"/>
                <w:kern w:val="0"/>
                <w:sz w:val="36"/>
                <w:szCs w:val="36"/>
                <w:u w:val="none"/>
                <w:lang w:val="en-US" w:eastAsia="zh-CN" w:bidi="ar"/>
              </w:rPr>
              <w:t>一般公共预算财政拨款“三公”经费支出决算表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CellMar>
            <w:top w:w="0" w:type="dxa"/>
            <w:left w:w="0" w:type="dxa"/>
            <w:bottom w:w="0" w:type="dxa"/>
            <w:right w:w="0"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一、“三公”经费支出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170.82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73.75</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1.因公出国（境）费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2.公务用车购置及运行维护费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135.40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69.77</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（1）公务用车购置费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（2）公务用车运行维护费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135.40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69.77</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3.公务接待费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35.43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3.98</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（1）国内接待费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35.43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3.98</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其中：外事接待费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（2）国（境）外接待费</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二、相关统计数</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1.因公出国（境）团组数（个）</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2.因公出国（境）人次数（人）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3.公务用车购置数（辆）</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4.公务用车保有量（辆）</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5.国内公务接待批次（个）</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其中：外事接待批次（个）</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6.国内公务接待人次（人）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306</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其中：外事接待人次（人）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7.国（境）外公务接待批次（个）</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8.国（境）外公务接待人次（人）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8336" w:type="dxa"/>
            <w:gridSpan w:val="4"/>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注：本表反映部门本年度“三公”经费支出预决算情况。其中：预算数为批复的年初预算数，不包含以前年度结转的资金；决算数是包括当年一般公共预算财政拨款和以前年度结转资金安排的实际支出。</w:t>
            </w:r>
          </w:p>
        </w:tc>
      </w:tr>
      <w:tr>
        <w:tblPrEx>
          <w:tblCellMar>
            <w:top w:w="0" w:type="dxa"/>
            <w:left w:w="0" w:type="dxa"/>
            <w:bottom w:w="0" w:type="dxa"/>
            <w:right w:w="0" w:type="dxa"/>
          </w:tblCellMar>
        </w:tblPrEx>
        <w:trPr>
          <w:trHeight w:val="523" w:hRule="atLeast"/>
        </w:trPr>
        <w:tc>
          <w:tcPr>
            <w:tcW w:w="8336" w:type="dxa"/>
            <w:gridSpan w:val="4"/>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18"/>
                <w:szCs w:val="18"/>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18"/>
                <w:szCs w:val="18"/>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18"/>
                <w:szCs w:val="18"/>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18"/>
                <w:szCs w:val="18"/>
                <w:u w:val="none"/>
              </w:rPr>
            </w:pPr>
          </w:p>
        </w:tc>
      </w:tr>
    </w:tbl>
    <w:p>
      <w:pPr>
        <w:rPr>
          <w:rFonts w:hint="eastAsia" w:ascii="宋体" w:hAnsi="宋体" w:eastAsia="宋体" w:cs="宋体"/>
          <w:sz w:val="18"/>
          <w:szCs w:val="18"/>
        </w:rPr>
      </w:pPr>
    </w:p>
    <w:p>
      <w:pPr>
        <w:jc w:val="both"/>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tbl>
      <w:tblPr>
        <w:tblStyle w:val="3"/>
        <w:tblW w:w="8640" w:type="dxa"/>
        <w:tblInd w:w="0" w:type="dxa"/>
        <w:shd w:val="clear" w:color="auto" w:fill="auto"/>
        <w:tblLayout w:type="fixed"/>
        <w:tblCellMar>
          <w:top w:w="0" w:type="dxa"/>
          <w:left w:w="0" w:type="dxa"/>
          <w:bottom w:w="0" w:type="dxa"/>
          <w:right w:w="0" w:type="dxa"/>
        </w:tblCellMar>
      </w:tblPr>
      <w:tblGrid>
        <w:gridCol w:w="459"/>
        <w:gridCol w:w="488"/>
        <w:gridCol w:w="412"/>
        <w:gridCol w:w="1187"/>
        <w:gridCol w:w="1331"/>
        <w:gridCol w:w="1144"/>
        <w:gridCol w:w="881"/>
        <w:gridCol w:w="844"/>
        <w:gridCol w:w="900"/>
        <w:gridCol w:w="994"/>
      </w:tblGrid>
      <w:tr>
        <w:tblPrEx>
          <w:shd w:val="clear" w:color="auto" w:fill="auto"/>
          <w:tblCellMar>
            <w:top w:w="0" w:type="dxa"/>
            <w:left w:w="0" w:type="dxa"/>
            <w:bottom w:w="0" w:type="dxa"/>
            <w:right w:w="0" w:type="dxa"/>
          </w:tblCellMar>
        </w:tblPrEx>
        <w:trPr>
          <w:trHeight w:val="540" w:hRule="atLeast"/>
        </w:trPr>
        <w:tc>
          <w:tcPr>
            <w:tcW w:w="8640" w:type="dxa"/>
            <w:gridSpan w:val="10"/>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政府性基金预算财政拨款收入支出决算表</w:t>
            </w:r>
          </w:p>
        </w:tc>
      </w:tr>
      <w:tr>
        <w:tblPrEx>
          <w:tblCellMar>
            <w:top w:w="0" w:type="dxa"/>
            <w:left w:w="0" w:type="dxa"/>
            <w:bottom w:w="0" w:type="dxa"/>
            <w:right w:w="0" w:type="dxa"/>
          </w:tblCellMar>
        </w:tblPrEx>
        <w:trPr>
          <w:trHeight w:val="255" w:hRule="atLeast"/>
        </w:trPr>
        <w:tc>
          <w:tcPr>
            <w:tcW w:w="459"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488"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1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87"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33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14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894"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CellMar>
            <w:top w:w="0" w:type="dxa"/>
            <w:left w:w="0" w:type="dxa"/>
            <w:bottom w:w="0" w:type="dxa"/>
            <w:right w:w="0" w:type="dxa"/>
          </w:tblCellMar>
        </w:tblPrEx>
        <w:trPr>
          <w:trHeight w:val="255" w:hRule="atLeast"/>
        </w:trPr>
        <w:tc>
          <w:tcPr>
            <w:tcW w:w="3877" w:type="dxa"/>
            <w:gridSpan w:val="5"/>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1144"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8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0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94"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CellMar>
            <w:top w:w="0" w:type="dxa"/>
            <w:left w:w="0" w:type="dxa"/>
            <w:bottom w:w="0" w:type="dxa"/>
            <w:right w:w="0" w:type="dxa"/>
          </w:tblCellMar>
        </w:tblPrEx>
        <w:trPr>
          <w:trHeight w:val="308" w:hRule="atLeast"/>
        </w:trPr>
        <w:tc>
          <w:tcPr>
            <w:tcW w:w="254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1331"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年初结转和结余</w:t>
            </w:r>
          </w:p>
        </w:tc>
        <w:tc>
          <w:tcPr>
            <w:tcW w:w="1144"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本年收入</w:t>
            </w:r>
          </w:p>
        </w:tc>
        <w:tc>
          <w:tcPr>
            <w:tcW w:w="2625"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本年支出</w:t>
            </w:r>
          </w:p>
        </w:tc>
        <w:tc>
          <w:tcPr>
            <w:tcW w:w="994" w:type="dxa"/>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年末结转和结余</w:t>
            </w:r>
          </w:p>
        </w:tc>
      </w:tr>
      <w:tr>
        <w:tblPrEx>
          <w:tblCellMar>
            <w:top w:w="0" w:type="dxa"/>
            <w:left w:w="0" w:type="dxa"/>
            <w:bottom w:w="0" w:type="dxa"/>
            <w:right w:w="0" w:type="dxa"/>
          </w:tblCellMar>
        </w:tblPrEx>
        <w:trPr>
          <w:trHeight w:val="308" w:hRule="atLeast"/>
        </w:trPr>
        <w:tc>
          <w:tcPr>
            <w:tcW w:w="1359"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支出功能分类科目编码</w:t>
            </w:r>
          </w:p>
        </w:tc>
        <w:tc>
          <w:tcPr>
            <w:tcW w:w="1187"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1331"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1"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4"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基本支出</w:t>
            </w:r>
          </w:p>
        </w:tc>
        <w:tc>
          <w:tcPr>
            <w:tcW w:w="900"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w:t>
            </w:r>
          </w:p>
        </w:tc>
        <w:tc>
          <w:tcPr>
            <w:tcW w:w="994"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1359"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87"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31"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1"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0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94"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2" w:hRule="atLeast"/>
        </w:trPr>
        <w:tc>
          <w:tcPr>
            <w:tcW w:w="1359"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87"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31"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4"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1"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4"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00"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94" w:type="dxa"/>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459" w:type="dxa"/>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488"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412" w:type="dxa"/>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CellMar>
            <w:top w:w="0" w:type="dxa"/>
            <w:left w:w="0" w:type="dxa"/>
            <w:bottom w:w="0" w:type="dxa"/>
            <w:right w:w="0" w:type="dxa"/>
          </w:tblCellMar>
        </w:tblPrEx>
        <w:trPr>
          <w:trHeight w:val="308" w:hRule="atLeast"/>
        </w:trPr>
        <w:tc>
          <w:tcPr>
            <w:tcW w:w="459"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8"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12" w:type="dxa"/>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135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135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135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135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135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1359" w:type="dxa"/>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8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3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1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8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8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99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8" w:hRule="atLeast"/>
        </w:trPr>
        <w:tc>
          <w:tcPr>
            <w:tcW w:w="8640" w:type="dxa"/>
            <w:gridSpan w:val="10"/>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注：本表反映部门本年度政府性基金预算财政拨款收入、支出及结转和结余情况。</w:t>
            </w:r>
          </w:p>
        </w:tc>
      </w:tr>
    </w:tbl>
    <w:p>
      <w:pPr>
        <w:rPr>
          <w:rFonts w:hint="eastAsia" w:ascii="宋体" w:hAnsi="宋体" w:eastAsia="宋体" w:cs="宋体"/>
          <w:sz w:val="18"/>
          <w:szCs w:val="18"/>
        </w:rPr>
      </w:pPr>
    </w:p>
    <w:p>
      <w:pPr>
        <w:jc w:val="center"/>
        <w:rPr>
          <w:rFonts w:hint="eastAsia" w:ascii="黑体" w:eastAsia="黑体"/>
          <w:sz w:val="15"/>
          <w:szCs w:val="15"/>
        </w:rPr>
      </w:pPr>
    </w:p>
    <w:p>
      <w:pPr>
        <w:jc w:val="center"/>
        <w:rPr>
          <w:rFonts w:hint="eastAsia" w:ascii="黑体" w:eastAsia="黑体"/>
          <w:sz w:val="15"/>
          <w:szCs w:val="15"/>
        </w:rPr>
      </w:pPr>
    </w:p>
    <w:tbl>
      <w:tblPr>
        <w:tblStyle w:val="3"/>
        <w:tblW w:w="7530" w:type="dxa"/>
        <w:tblInd w:w="0" w:type="dxa"/>
        <w:shd w:val="clear" w:color="auto" w:fill="auto"/>
        <w:tblLayout w:type="autofit"/>
        <w:tblCellMar>
          <w:top w:w="0" w:type="dxa"/>
          <w:left w:w="0" w:type="dxa"/>
          <w:bottom w:w="0" w:type="dxa"/>
          <w:right w:w="0" w:type="dxa"/>
        </w:tblCellMar>
      </w:tblPr>
      <w:tblGrid>
        <w:gridCol w:w="4622"/>
        <w:gridCol w:w="1019"/>
        <w:gridCol w:w="1889"/>
      </w:tblGrid>
      <w:tr>
        <w:tblPrEx>
          <w:shd w:val="clear" w:color="auto" w:fill="auto"/>
          <w:tblCellMar>
            <w:top w:w="0" w:type="dxa"/>
            <w:left w:w="0" w:type="dxa"/>
            <w:bottom w:w="0" w:type="dxa"/>
            <w:right w:w="0" w:type="dxa"/>
          </w:tblCellMar>
        </w:tblPrEx>
        <w:trPr>
          <w:trHeight w:val="540" w:hRule="atLeast"/>
        </w:trPr>
        <w:tc>
          <w:tcPr>
            <w:tcW w:w="7530"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国有资产占用情况表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单位：台、辆、套</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编制单位：庐山市公安局（本级）</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2019年度</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CellMar>
            <w:top w:w="0" w:type="dxa"/>
            <w:left w:w="0" w:type="dxa"/>
            <w:bottom w:w="0" w:type="dxa"/>
            <w:right w:w="0"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一、车辆数合计(台、辆)</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1.副部（省）级及以上领导用车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2.主要领导干部用车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3.机要通信用车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4.应急保障用车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5.执法执勤用车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6.特种专业技术用车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7.离退休干部用车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8.其他用车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二、单价50万元（含）以上通用设备（台，套）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三、单价100万元（含）以上专用设备（台，套）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bl>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numPr>
          <w:ilvl w:val="0"/>
          <w:numId w:val="0"/>
        </w:numPr>
        <w:ind w:firstLine="1606" w:firstLineChars="500"/>
        <w:jc w:val="both"/>
        <w:rPr>
          <w:rFonts w:hint="eastAsia" w:ascii="宋体" w:hAnsi="宋体"/>
          <w:b/>
          <w:sz w:val="32"/>
          <w:szCs w:val="32"/>
        </w:rPr>
      </w:pPr>
      <w:r>
        <w:rPr>
          <w:rFonts w:hint="eastAsia" w:ascii="宋体" w:hAnsi="宋体"/>
          <w:b/>
          <w:sz w:val="32"/>
          <w:szCs w:val="32"/>
          <w:lang w:eastAsia="zh-CN"/>
        </w:rPr>
        <w:t>第三部分</w:t>
      </w:r>
      <w:r>
        <w:rPr>
          <w:rFonts w:hint="eastAsia" w:ascii="宋体" w:hAnsi="宋体"/>
          <w:b/>
          <w:sz w:val="32"/>
          <w:szCs w:val="32"/>
        </w:rPr>
        <w:t xml:space="preserve"> 201</w:t>
      </w:r>
      <w:r>
        <w:rPr>
          <w:rFonts w:hint="eastAsia" w:ascii="宋体" w:hAnsi="宋体"/>
          <w:b/>
          <w:sz w:val="32"/>
          <w:szCs w:val="32"/>
          <w:lang w:val="en-US" w:eastAsia="zh-CN"/>
        </w:rPr>
        <w:t>9</w:t>
      </w:r>
      <w:r>
        <w:rPr>
          <w:rFonts w:hint="eastAsia" w:ascii="宋体" w:hAnsi="宋体"/>
          <w:b/>
          <w:sz w:val="32"/>
          <w:szCs w:val="32"/>
        </w:rPr>
        <w:t>年度部门决算情况说明</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年度收入总计</w:t>
      </w:r>
      <w:r>
        <w:rPr>
          <w:rFonts w:hint="eastAsia" w:ascii="仿宋" w:hAnsi="仿宋" w:eastAsia="仿宋"/>
          <w:sz w:val="30"/>
          <w:szCs w:val="30"/>
          <w:lang w:val="en-US" w:eastAsia="zh-CN"/>
        </w:rPr>
        <w:t>7879.72</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1260.38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176.73</w:t>
      </w:r>
      <w:r>
        <w:rPr>
          <w:rFonts w:hint="eastAsia" w:ascii="仿宋" w:hAnsi="仿宋" w:eastAsia="仿宋"/>
          <w:sz w:val="30"/>
          <w:szCs w:val="30"/>
        </w:rPr>
        <w:t>万元，</w:t>
      </w:r>
      <w:r>
        <w:rPr>
          <w:rFonts w:hint="eastAsia" w:ascii="仿宋" w:hAnsi="仿宋" w:eastAsia="仿宋"/>
          <w:sz w:val="30"/>
          <w:szCs w:val="30"/>
          <w:lang w:eastAsia="zh-CN"/>
        </w:rPr>
        <w:t>下降</w:t>
      </w:r>
      <w:r>
        <w:rPr>
          <w:rFonts w:hint="eastAsia" w:ascii="仿宋" w:hAnsi="仿宋" w:eastAsia="仿宋"/>
          <w:sz w:val="30"/>
          <w:szCs w:val="30"/>
          <w:lang w:val="en-US" w:eastAsia="zh-CN"/>
        </w:rPr>
        <w:t>12.29</w:t>
      </w:r>
      <w:r>
        <w:rPr>
          <w:rFonts w:hint="eastAsia" w:ascii="仿宋" w:hAnsi="仿宋" w:eastAsia="仿宋"/>
          <w:sz w:val="30"/>
          <w:szCs w:val="30"/>
        </w:rPr>
        <w:t xml:space="preserve"> %；本年收入合计</w:t>
      </w:r>
      <w:r>
        <w:rPr>
          <w:rFonts w:hint="eastAsia" w:ascii="仿宋" w:hAnsi="仿宋" w:eastAsia="仿宋"/>
          <w:sz w:val="30"/>
          <w:szCs w:val="30"/>
          <w:lang w:val="en-US" w:eastAsia="zh-CN"/>
        </w:rPr>
        <w:t>6619.34</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2123.57</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47.23</w:t>
      </w:r>
      <w:r>
        <w:rPr>
          <w:rFonts w:hint="eastAsia" w:ascii="仿宋" w:hAnsi="仿宋" w:eastAsia="仿宋"/>
          <w:sz w:val="30"/>
          <w:szCs w:val="30"/>
        </w:rPr>
        <w:t>%，主要原因是：</w:t>
      </w:r>
      <w:r>
        <w:rPr>
          <w:rFonts w:hint="eastAsia" w:ascii="仿宋" w:hAnsi="仿宋" w:eastAsia="仿宋"/>
          <w:sz w:val="30"/>
          <w:szCs w:val="30"/>
          <w:lang w:val="en-US" w:eastAsia="zh-CN"/>
        </w:rPr>
        <w:t>2019年</w:t>
      </w:r>
      <w:r>
        <w:rPr>
          <w:rFonts w:hint="eastAsia" w:ascii="仿宋_GB2312" w:hAnsi="仿宋" w:eastAsia="仿宋_GB2312"/>
          <w:sz w:val="32"/>
          <w:szCs w:val="32"/>
          <w:lang w:val="en-US" w:eastAsia="zh-CN"/>
        </w:rPr>
        <w:t>民警工资、岗位津贴、超时补贴、乡镇补贴以及巡防员工资的提高导致人员经费提高，以及公安业务技术用房建设资金需要。另外，本年度追加“扫黑除恶”、“智能安防小区”、“平安湖区”等专项资金，</w:t>
      </w:r>
      <w:r>
        <w:rPr>
          <w:rFonts w:hint="eastAsia" w:ascii="仿宋" w:hAnsi="仿宋" w:eastAsia="仿宋"/>
          <w:sz w:val="30"/>
          <w:szCs w:val="30"/>
          <w:lang w:eastAsia="zh-CN"/>
        </w:rPr>
        <w:t>所以</w:t>
      </w:r>
      <w:r>
        <w:rPr>
          <w:rFonts w:hint="eastAsia" w:ascii="仿宋" w:hAnsi="仿宋" w:eastAsia="仿宋"/>
          <w:sz w:val="30"/>
          <w:szCs w:val="30"/>
          <w:lang w:val="en-US" w:eastAsia="zh-CN"/>
        </w:rPr>
        <w:t>2019年收入比上年有所增长。</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6485.66</w:t>
      </w:r>
      <w:r>
        <w:rPr>
          <w:rFonts w:hint="eastAsia" w:ascii="仿宋" w:hAnsi="仿宋" w:eastAsia="仿宋"/>
          <w:sz w:val="30"/>
          <w:szCs w:val="30"/>
        </w:rPr>
        <w:t>万元，占</w:t>
      </w:r>
      <w:r>
        <w:rPr>
          <w:rFonts w:hint="eastAsia" w:ascii="仿宋" w:hAnsi="仿宋" w:eastAsia="仿宋"/>
          <w:sz w:val="30"/>
          <w:szCs w:val="30"/>
          <w:lang w:val="en-US" w:eastAsia="zh-CN"/>
        </w:rPr>
        <w:t>97.98</w:t>
      </w:r>
      <w:r>
        <w:rPr>
          <w:rFonts w:hint="eastAsia" w:ascii="仿宋" w:hAnsi="仿宋" w:eastAsia="仿宋"/>
          <w:sz w:val="30"/>
          <w:szCs w:val="30"/>
        </w:rPr>
        <w:t>%；其他收入</w:t>
      </w:r>
      <w:r>
        <w:rPr>
          <w:rFonts w:hint="eastAsia" w:ascii="仿宋" w:hAnsi="仿宋" w:eastAsia="仿宋"/>
          <w:sz w:val="30"/>
          <w:szCs w:val="30"/>
          <w:lang w:val="en-US" w:eastAsia="zh-CN"/>
        </w:rPr>
        <w:t>133.68</w:t>
      </w:r>
      <w:r>
        <w:rPr>
          <w:rFonts w:hint="eastAsia" w:ascii="仿宋" w:hAnsi="仿宋" w:eastAsia="仿宋"/>
          <w:sz w:val="30"/>
          <w:szCs w:val="30"/>
        </w:rPr>
        <w:t>万元，占</w:t>
      </w:r>
      <w:r>
        <w:rPr>
          <w:rFonts w:hint="eastAsia" w:ascii="仿宋" w:hAnsi="仿宋" w:eastAsia="仿宋"/>
          <w:sz w:val="30"/>
          <w:szCs w:val="30"/>
          <w:lang w:val="en-US" w:eastAsia="zh-CN"/>
        </w:rPr>
        <w:t>2.02</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年度支出总计</w:t>
      </w:r>
      <w:r>
        <w:rPr>
          <w:rFonts w:hint="eastAsia" w:ascii="仿宋" w:hAnsi="仿宋" w:eastAsia="仿宋"/>
          <w:sz w:val="30"/>
          <w:szCs w:val="30"/>
          <w:lang w:val="en-US" w:eastAsia="zh-CN"/>
        </w:rPr>
        <w:t>7879.72</w:t>
      </w:r>
      <w:r>
        <w:rPr>
          <w:rFonts w:hint="eastAsia" w:ascii="仿宋" w:hAnsi="仿宋" w:eastAsia="仿宋"/>
          <w:sz w:val="30"/>
          <w:szCs w:val="30"/>
        </w:rPr>
        <w:t>万元，其中本年支出合计</w:t>
      </w:r>
      <w:r>
        <w:rPr>
          <w:rFonts w:hint="eastAsia" w:ascii="仿宋" w:hAnsi="仿宋" w:eastAsia="仿宋"/>
          <w:sz w:val="30"/>
          <w:szCs w:val="30"/>
          <w:lang w:val="en-US" w:eastAsia="zh-CN"/>
        </w:rPr>
        <w:t>5586</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1007.13</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21.99</w:t>
      </w:r>
      <w:r>
        <w:rPr>
          <w:rFonts w:hint="eastAsia" w:ascii="仿宋" w:hAnsi="仿宋" w:eastAsia="仿宋"/>
          <w:sz w:val="30"/>
          <w:szCs w:val="30"/>
        </w:rPr>
        <w:t>%，主要原因是：</w:t>
      </w:r>
      <w:r>
        <w:rPr>
          <w:rFonts w:hint="eastAsia" w:ascii="仿宋" w:hAnsi="仿宋" w:eastAsia="仿宋"/>
          <w:sz w:val="30"/>
          <w:szCs w:val="30"/>
          <w:lang w:val="en-US" w:eastAsia="zh-CN"/>
        </w:rPr>
        <w:t>2019年</w:t>
      </w:r>
      <w:r>
        <w:rPr>
          <w:rFonts w:hint="eastAsia" w:ascii="仿宋_GB2312" w:hAnsi="仿宋" w:eastAsia="仿宋_GB2312"/>
          <w:sz w:val="32"/>
          <w:szCs w:val="32"/>
          <w:lang w:val="en-US" w:eastAsia="zh-CN"/>
        </w:rPr>
        <w:t>民警工资、岗位津贴、超时补贴、乡镇补贴以及巡防员工资的提高导致人员经费提高，以及公安业务技术用房建设资金需要。另外，本年度追加“扫黑除恶”、“智能安防小区”、“平安湖区”等专项资金，</w:t>
      </w:r>
      <w:r>
        <w:rPr>
          <w:rFonts w:hint="eastAsia" w:ascii="仿宋" w:hAnsi="仿宋" w:eastAsia="仿宋"/>
          <w:sz w:val="30"/>
          <w:szCs w:val="30"/>
          <w:lang w:eastAsia="zh-CN"/>
        </w:rPr>
        <w:t>所以</w:t>
      </w:r>
      <w:r>
        <w:rPr>
          <w:rFonts w:hint="eastAsia" w:ascii="仿宋" w:hAnsi="仿宋" w:eastAsia="仿宋"/>
          <w:sz w:val="30"/>
          <w:szCs w:val="30"/>
          <w:lang w:val="en-US" w:eastAsia="zh-CN"/>
        </w:rPr>
        <w:t>2019年收入比上年有所增长</w:t>
      </w:r>
      <w:r>
        <w:rPr>
          <w:rFonts w:hint="eastAsia" w:ascii="仿宋" w:hAnsi="仿宋" w:eastAsia="仿宋"/>
          <w:sz w:val="30"/>
          <w:szCs w:val="30"/>
        </w:rPr>
        <w:t>；年末结转和结余</w:t>
      </w:r>
      <w:r>
        <w:rPr>
          <w:rFonts w:hint="eastAsia" w:ascii="仿宋" w:hAnsi="仿宋" w:eastAsia="仿宋"/>
          <w:sz w:val="30"/>
          <w:szCs w:val="30"/>
          <w:lang w:val="en-US" w:eastAsia="zh-CN"/>
        </w:rPr>
        <w:t>2293.72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939.71</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69.4</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5249.23</w:t>
      </w:r>
      <w:r>
        <w:rPr>
          <w:rFonts w:hint="eastAsia" w:ascii="仿宋" w:hAnsi="仿宋" w:eastAsia="仿宋"/>
          <w:sz w:val="30"/>
          <w:szCs w:val="30"/>
        </w:rPr>
        <w:t>万元，占</w:t>
      </w:r>
      <w:r>
        <w:rPr>
          <w:rFonts w:hint="eastAsia" w:ascii="仿宋" w:hAnsi="仿宋" w:eastAsia="仿宋"/>
          <w:sz w:val="30"/>
          <w:szCs w:val="30"/>
          <w:lang w:val="en-US" w:eastAsia="zh-CN"/>
        </w:rPr>
        <w:t>93.97</w:t>
      </w:r>
      <w:r>
        <w:rPr>
          <w:rFonts w:hint="eastAsia" w:ascii="仿宋" w:hAnsi="仿宋" w:eastAsia="仿宋"/>
          <w:sz w:val="30"/>
          <w:szCs w:val="30"/>
        </w:rPr>
        <w:t>%；项目支出</w:t>
      </w:r>
      <w:r>
        <w:rPr>
          <w:rFonts w:hint="eastAsia" w:ascii="仿宋" w:hAnsi="仿宋" w:eastAsia="仿宋"/>
          <w:sz w:val="30"/>
          <w:szCs w:val="30"/>
          <w:lang w:val="en-US" w:eastAsia="zh-CN"/>
        </w:rPr>
        <w:t>336.77</w:t>
      </w:r>
      <w:r>
        <w:rPr>
          <w:rFonts w:hint="eastAsia" w:ascii="仿宋" w:hAnsi="仿宋" w:eastAsia="仿宋"/>
          <w:sz w:val="30"/>
          <w:szCs w:val="30"/>
        </w:rPr>
        <w:t>万元，占</w:t>
      </w:r>
      <w:r>
        <w:rPr>
          <w:rFonts w:hint="eastAsia" w:ascii="仿宋" w:hAnsi="仿宋" w:eastAsia="仿宋"/>
          <w:sz w:val="30"/>
          <w:szCs w:val="30"/>
          <w:lang w:val="en-US" w:eastAsia="zh-CN"/>
        </w:rPr>
        <w:t>6.03</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4639.87</w:t>
      </w:r>
      <w:r>
        <w:rPr>
          <w:rFonts w:hint="eastAsia" w:ascii="仿宋" w:hAnsi="仿宋" w:eastAsia="仿宋"/>
          <w:sz w:val="30"/>
          <w:szCs w:val="30"/>
        </w:rPr>
        <w:t>万元，决算数为</w:t>
      </w:r>
      <w:r>
        <w:rPr>
          <w:rFonts w:hint="eastAsia" w:ascii="仿宋" w:hAnsi="仿宋" w:eastAsia="仿宋"/>
          <w:sz w:val="30"/>
          <w:szCs w:val="30"/>
          <w:lang w:val="en-US" w:eastAsia="zh-CN"/>
        </w:rPr>
        <w:t>5514.99</w:t>
      </w:r>
      <w:r>
        <w:rPr>
          <w:rFonts w:hint="eastAsia" w:ascii="仿宋" w:hAnsi="仿宋" w:eastAsia="仿宋"/>
          <w:sz w:val="30"/>
          <w:szCs w:val="30"/>
        </w:rPr>
        <w:t>万元，完成年初预算的</w:t>
      </w:r>
      <w:r>
        <w:rPr>
          <w:rFonts w:hint="eastAsia" w:ascii="仿宋" w:hAnsi="仿宋" w:eastAsia="仿宋"/>
          <w:sz w:val="30"/>
          <w:szCs w:val="30"/>
          <w:lang w:val="en-US" w:eastAsia="zh-CN"/>
        </w:rPr>
        <w:t>118.86</w:t>
      </w:r>
      <w:r>
        <w:rPr>
          <w:rFonts w:hint="eastAsia" w:ascii="仿宋" w:hAnsi="仿宋" w:eastAsia="仿宋"/>
          <w:sz w:val="30"/>
          <w:szCs w:val="30"/>
        </w:rPr>
        <w:t>%。其中：</w:t>
      </w:r>
    </w:p>
    <w:p>
      <w:pPr>
        <w:numPr>
          <w:ilvl w:val="0"/>
          <w:numId w:val="2"/>
        </w:numPr>
        <w:ind w:firstLine="630"/>
        <w:jc w:val="left"/>
        <w:rPr>
          <w:rFonts w:hint="eastAsia" w:ascii="仿宋" w:hAnsi="仿宋" w:eastAsia="仿宋"/>
          <w:sz w:val="30"/>
          <w:szCs w:val="30"/>
        </w:rPr>
      </w:pPr>
      <w:r>
        <w:rPr>
          <w:rFonts w:hint="eastAsia" w:ascii="仿宋" w:hAnsi="仿宋" w:eastAsia="仿宋"/>
          <w:sz w:val="30"/>
          <w:szCs w:val="30"/>
        </w:rPr>
        <w:t>公共安全支出年初预算数为</w:t>
      </w:r>
      <w:r>
        <w:rPr>
          <w:rFonts w:hint="eastAsia" w:ascii="仿宋" w:hAnsi="仿宋" w:eastAsia="仿宋"/>
          <w:sz w:val="30"/>
          <w:szCs w:val="30"/>
          <w:lang w:val="en-US" w:eastAsia="zh-CN"/>
        </w:rPr>
        <w:t>3975.45</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4844.87</w:t>
      </w:r>
      <w:r>
        <w:rPr>
          <w:rFonts w:hint="eastAsia" w:ascii="仿宋" w:hAnsi="仿宋" w:eastAsia="仿宋"/>
          <w:sz w:val="30"/>
          <w:szCs w:val="30"/>
        </w:rPr>
        <w:t>万元，完成年初预算的</w:t>
      </w:r>
      <w:r>
        <w:rPr>
          <w:rFonts w:hint="eastAsia" w:ascii="仿宋" w:hAnsi="仿宋" w:eastAsia="仿宋"/>
          <w:sz w:val="30"/>
          <w:szCs w:val="30"/>
          <w:lang w:val="en-US" w:eastAsia="zh-CN"/>
        </w:rPr>
        <w:t>121.87</w:t>
      </w:r>
      <w:r>
        <w:rPr>
          <w:rFonts w:hint="eastAsia" w:ascii="仿宋" w:hAnsi="仿宋" w:eastAsia="仿宋"/>
          <w:sz w:val="30"/>
          <w:szCs w:val="30"/>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社会保障和就业支出年初预算数为</w:t>
      </w:r>
      <w:r>
        <w:rPr>
          <w:rFonts w:hint="eastAsia" w:ascii="仿宋" w:hAnsi="仿宋" w:eastAsia="仿宋"/>
          <w:sz w:val="30"/>
          <w:szCs w:val="30"/>
          <w:lang w:val="en-US" w:eastAsia="zh-CN"/>
        </w:rPr>
        <w:t>360.98万元，决算数为444.42万元，完成年初预算的123.11%。</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医疗卫生与计划生育</w:t>
      </w:r>
      <w:r>
        <w:rPr>
          <w:rFonts w:hint="eastAsia" w:ascii="仿宋" w:hAnsi="仿宋" w:eastAsia="仿宋"/>
          <w:sz w:val="30"/>
          <w:szCs w:val="30"/>
        </w:rPr>
        <w:t>支出年初预算数为</w:t>
      </w:r>
      <w:r>
        <w:rPr>
          <w:rFonts w:hint="eastAsia" w:ascii="仿宋" w:hAnsi="仿宋" w:eastAsia="仿宋"/>
          <w:sz w:val="30"/>
          <w:szCs w:val="30"/>
          <w:lang w:val="en-US" w:eastAsia="zh-CN"/>
        </w:rPr>
        <w:t>139.3万元，决算数为94.25万元，完成年初预算的67.66%。</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住房保障</w:t>
      </w:r>
      <w:r>
        <w:rPr>
          <w:rFonts w:hint="eastAsia" w:ascii="仿宋" w:hAnsi="仿宋" w:eastAsia="仿宋"/>
          <w:sz w:val="30"/>
          <w:szCs w:val="30"/>
        </w:rPr>
        <w:t>支出年初预算数为</w:t>
      </w:r>
      <w:r>
        <w:rPr>
          <w:rFonts w:hint="eastAsia" w:ascii="仿宋" w:hAnsi="仿宋" w:eastAsia="仿宋"/>
          <w:sz w:val="30"/>
          <w:szCs w:val="30"/>
          <w:lang w:val="en-US" w:eastAsia="zh-CN"/>
        </w:rPr>
        <w:t>164.14</w:t>
      </w:r>
      <w:r>
        <w:rPr>
          <w:rFonts w:hint="eastAsia" w:ascii="仿宋" w:hAnsi="仿宋" w:eastAsia="仿宋"/>
          <w:sz w:val="30"/>
          <w:szCs w:val="30"/>
        </w:rPr>
        <w:t>万元，决算数为</w:t>
      </w:r>
      <w:r>
        <w:rPr>
          <w:rFonts w:hint="eastAsia" w:ascii="仿宋" w:hAnsi="仿宋" w:eastAsia="仿宋"/>
          <w:sz w:val="30"/>
          <w:szCs w:val="30"/>
          <w:lang w:val="en-US" w:eastAsia="zh-CN"/>
        </w:rPr>
        <w:t>131.45</w:t>
      </w:r>
      <w:r>
        <w:rPr>
          <w:rFonts w:hint="eastAsia" w:ascii="仿宋" w:hAnsi="仿宋" w:eastAsia="仿宋"/>
          <w:sz w:val="30"/>
          <w:szCs w:val="30"/>
        </w:rPr>
        <w:t>万元，完成年初预算的</w:t>
      </w:r>
      <w:r>
        <w:rPr>
          <w:rFonts w:hint="eastAsia" w:ascii="仿宋" w:hAnsi="仿宋" w:eastAsia="仿宋"/>
          <w:sz w:val="30"/>
          <w:szCs w:val="30"/>
          <w:lang w:val="en-US" w:eastAsia="zh-CN"/>
        </w:rPr>
        <w:t>80.08</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5178.22</w:t>
      </w:r>
      <w:r>
        <w:rPr>
          <w:rFonts w:hint="eastAsia" w:ascii="仿宋" w:hAnsi="仿宋" w:eastAsia="仿宋"/>
          <w:sz w:val="30"/>
          <w:szCs w:val="30"/>
        </w:rPr>
        <w:t>万元，其中：</w:t>
      </w:r>
    </w:p>
    <w:p>
      <w:pPr>
        <w:ind w:firstLine="585"/>
        <w:jc w:val="left"/>
        <w:rPr>
          <w:rFonts w:hint="eastAsia" w:ascii="仿宋" w:hAnsi="仿宋" w:eastAsia="仿宋"/>
          <w:sz w:val="30"/>
          <w:szCs w:val="30"/>
          <w:lang w:eastAsia="zh-CN"/>
        </w:rPr>
      </w:pPr>
      <w:r>
        <w:rPr>
          <w:rFonts w:hint="eastAsia" w:ascii="仿宋" w:hAnsi="仿宋" w:eastAsia="仿宋"/>
          <w:sz w:val="30"/>
          <w:szCs w:val="30"/>
        </w:rPr>
        <w:t>（一）工资福利支出</w:t>
      </w:r>
      <w:r>
        <w:rPr>
          <w:rFonts w:hint="eastAsia" w:ascii="仿宋" w:hAnsi="仿宋" w:eastAsia="仿宋"/>
          <w:sz w:val="30"/>
          <w:szCs w:val="30"/>
          <w:lang w:val="en-US" w:eastAsia="zh-CN"/>
        </w:rPr>
        <w:t>3594.43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1192.52</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49.65</w:t>
      </w:r>
      <w:r>
        <w:rPr>
          <w:rFonts w:hint="eastAsia" w:ascii="仿宋" w:hAnsi="仿宋" w:eastAsia="仿宋"/>
          <w:sz w:val="30"/>
          <w:szCs w:val="30"/>
        </w:rPr>
        <w:t>%</w:t>
      </w:r>
      <w:r>
        <w:rPr>
          <w:rFonts w:hint="eastAsia" w:ascii="仿宋" w:hAnsi="仿宋" w:eastAsia="仿宋"/>
          <w:sz w:val="30"/>
          <w:szCs w:val="30"/>
          <w:lang w:eastAsia="zh-CN"/>
        </w:rPr>
        <w:t>，主要原因是：</w:t>
      </w:r>
      <w:r>
        <w:rPr>
          <w:rFonts w:hint="eastAsia" w:ascii="仿宋" w:hAnsi="仿宋" w:eastAsia="仿宋"/>
          <w:sz w:val="30"/>
          <w:szCs w:val="30"/>
          <w:lang w:val="en-US" w:eastAsia="zh-CN"/>
        </w:rPr>
        <w:t>2019年</w:t>
      </w:r>
      <w:r>
        <w:rPr>
          <w:rFonts w:hint="eastAsia" w:ascii="仿宋_GB2312" w:hAnsi="仿宋" w:eastAsia="仿宋_GB2312"/>
          <w:sz w:val="32"/>
          <w:szCs w:val="32"/>
          <w:lang w:val="en-US" w:eastAsia="zh-CN"/>
        </w:rPr>
        <w:t>民警工资、岗位津贴、超时补贴、乡镇补贴以及巡防员工资的提高导致人员经费提高。</w:t>
      </w:r>
    </w:p>
    <w:p>
      <w:pPr>
        <w:ind w:firstLine="585"/>
        <w:jc w:val="left"/>
        <w:rPr>
          <w:rFonts w:hint="eastAsia" w:ascii="仿宋" w:hAnsi="仿宋" w:eastAsia="仿宋"/>
          <w:sz w:val="30"/>
          <w:szCs w:val="30"/>
          <w:lang w:eastAsia="zh-CN"/>
        </w:rPr>
      </w:pPr>
      <w:r>
        <w:rPr>
          <w:rFonts w:hint="eastAsia" w:ascii="仿宋" w:hAnsi="仿宋" w:eastAsia="仿宋"/>
          <w:sz w:val="30"/>
          <w:szCs w:val="30"/>
        </w:rPr>
        <w:t>（二）商品和服务支出</w:t>
      </w:r>
      <w:r>
        <w:rPr>
          <w:rFonts w:hint="eastAsia" w:ascii="仿宋" w:hAnsi="仿宋" w:eastAsia="仿宋"/>
          <w:sz w:val="30"/>
          <w:szCs w:val="30"/>
          <w:lang w:val="en-US" w:eastAsia="zh-CN"/>
        </w:rPr>
        <w:t>1084.81</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590.21</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119.33</w:t>
      </w:r>
      <w:r>
        <w:rPr>
          <w:rFonts w:hint="eastAsia" w:ascii="仿宋" w:hAnsi="仿宋" w:eastAsia="仿宋"/>
          <w:sz w:val="30"/>
          <w:szCs w:val="30"/>
        </w:rPr>
        <w:t>%</w:t>
      </w:r>
      <w:r>
        <w:rPr>
          <w:rFonts w:hint="eastAsia" w:ascii="仿宋" w:hAnsi="仿宋" w:eastAsia="仿宋"/>
          <w:sz w:val="30"/>
          <w:szCs w:val="30"/>
          <w:lang w:eastAsia="zh-CN"/>
        </w:rPr>
        <w:t>，主要原因是：</w:t>
      </w:r>
      <w:r>
        <w:rPr>
          <w:rFonts w:hint="eastAsia" w:ascii="仿宋_GB2312" w:hAnsi="仿宋" w:eastAsia="仿宋_GB2312"/>
          <w:sz w:val="32"/>
          <w:szCs w:val="32"/>
          <w:lang w:val="en-US" w:eastAsia="zh-CN"/>
        </w:rPr>
        <w:t>2019年开展“扫黑除恶”等专项行动，使得办案经费支出提高，</w:t>
      </w:r>
      <w:r>
        <w:rPr>
          <w:rFonts w:hint="eastAsia" w:ascii="仿宋" w:hAnsi="仿宋" w:eastAsia="仿宋"/>
          <w:sz w:val="30"/>
          <w:szCs w:val="30"/>
          <w:lang w:eastAsia="zh-CN"/>
        </w:rPr>
        <w:t>所以</w:t>
      </w:r>
      <w:r>
        <w:rPr>
          <w:rFonts w:hint="eastAsia" w:ascii="仿宋" w:hAnsi="仿宋" w:eastAsia="仿宋"/>
          <w:sz w:val="30"/>
          <w:szCs w:val="30"/>
          <w:lang w:val="en-US" w:eastAsia="zh-CN"/>
        </w:rPr>
        <w:t>2019年收入比上年有所增长。</w:t>
      </w:r>
    </w:p>
    <w:p>
      <w:pPr>
        <w:ind w:firstLine="585"/>
        <w:jc w:val="left"/>
        <w:rPr>
          <w:rFonts w:hint="eastAsia" w:ascii="仿宋" w:hAnsi="仿宋" w:eastAsia="仿宋"/>
          <w:sz w:val="30"/>
          <w:szCs w:val="30"/>
          <w:lang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137.76</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75.28</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120.49</w:t>
      </w:r>
      <w:r>
        <w:rPr>
          <w:rFonts w:hint="eastAsia" w:ascii="仿宋" w:hAnsi="仿宋" w:eastAsia="仿宋"/>
          <w:sz w:val="30"/>
          <w:szCs w:val="30"/>
        </w:rPr>
        <w:t>%。</w:t>
      </w:r>
    </w:p>
    <w:p>
      <w:pPr>
        <w:ind w:firstLine="585"/>
        <w:jc w:val="left"/>
        <w:rPr>
          <w:rFonts w:hint="eastAsia" w:ascii="仿宋" w:hAnsi="仿宋" w:eastAsia="仿宋"/>
          <w:sz w:val="30"/>
          <w:szCs w:val="30"/>
          <w:lang w:eastAsia="zh-CN"/>
        </w:rPr>
      </w:pPr>
      <w:r>
        <w:rPr>
          <w:rFonts w:hint="eastAsia" w:ascii="仿宋" w:hAnsi="仿宋" w:eastAsia="仿宋"/>
          <w:sz w:val="30"/>
          <w:szCs w:val="30"/>
        </w:rPr>
        <w:t>（四）资本性支出</w:t>
      </w:r>
      <w:r>
        <w:rPr>
          <w:rFonts w:hint="eastAsia" w:ascii="仿宋" w:hAnsi="仿宋" w:eastAsia="仿宋"/>
          <w:sz w:val="30"/>
          <w:szCs w:val="30"/>
          <w:lang w:val="en-US" w:eastAsia="zh-CN"/>
        </w:rPr>
        <w:t>361.22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361.22</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，主要原因是：公安业务技术用房、</w:t>
      </w:r>
      <w:r>
        <w:rPr>
          <w:rFonts w:hint="eastAsia" w:ascii="仿宋_GB2312" w:hAnsi="仿宋" w:eastAsia="仿宋_GB2312"/>
          <w:sz w:val="32"/>
          <w:szCs w:val="32"/>
          <w:lang w:val="en-US" w:eastAsia="zh-CN"/>
        </w:rPr>
        <w:t>“智能安防小区”、“平安湖区”等项目的建设，使得资本性支出增长。</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170.82</w:t>
      </w:r>
      <w:r>
        <w:rPr>
          <w:rFonts w:hint="eastAsia" w:ascii="仿宋" w:hAnsi="仿宋" w:eastAsia="仿宋"/>
          <w:sz w:val="30"/>
          <w:szCs w:val="30"/>
        </w:rPr>
        <w:t>万元，决算数为</w:t>
      </w:r>
      <w:r>
        <w:rPr>
          <w:rFonts w:hint="eastAsia" w:ascii="仿宋" w:hAnsi="仿宋" w:eastAsia="仿宋"/>
          <w:sz w:val="30"/>
          <w:szCs w:val="30"/>
          <w:lang w:val="en-US" w:eastAsia="zh-CN"/>
        </w:rPr>
        <w:t>73.75</w:t>
      </w:r>
      <w:r>
        <w:rPr>
          <w:rFonts w:hint="eastAsia" w:ascii="仿宋" w:hAnsi="仿宋" w:eastAsia="仿宋"/>
          <w:sz w:val="30"/>
          <w:szCs w:val="30"/>
        </w:rPr>
        <w:t>万元，完成预算的</w:t>
      </w:r>
      <w:r>
        <w:rPr>
          <w:rFonts w:hint="eastAsia" w:ascii="仿宋" w:hAnsi="仿宋" w:eastAsia="仿宋"/>
          <w:sz w:val="30"/>
          <w:szCs w:val="30"/>
          <w:lang w:val="en-US" w:eastAsia="zh-CN"/>
        </w:rPr>
        <w:t>43.17</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45.97</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165.48</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相同</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35.43</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3.98</w:t>
      </w:r>
      <w:r>
        <w:rPr>
          <w:rFonts w:hint="eastAsia" w:ascii="仿宋" w:hAnsi="仿宋" w:eastAsia="仿宋"/>
          <w:sz w:val="30"/>
          <w:szCs w:val="30"/>
        </w:rPr>
        <w:t>万元，完成预算的</w:t>
      </w:r>
      <w:r>
        <w:rPr>
          <w:rFonts w:hint="eastAsia" w:ascii="仿宋" w:hAnsi="仿宋" w:eastAsia="仿宋"/>
          <w:sz w:val="30"/>
          <w:szCs w:val="30"/>
          <w:lang w:val="en-US" w:eastAsia="zh-CN"/>
        </w:rPr>
        <w:t>11.23</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3.2</w:t>
      </w:r>
      <w:r>
        <w:rPr>
          <w:rFonts w:hint="eastAsia" w:ascii="仿宋" w:hAnsi="仿宋" w:eastAsia="仿宋"/>
          <w:sz w:val="30"/>
          <w:szCs w:val="30"/>
        </w:rPr>
        <w:t>万元，下降</w:t>
      </w:r>
      <w:r>
        <w:rPr>
          <w:rFonts w:hint="eastAsia" w:ascii="仿宋" w:hAnsi="仿宋" w:eastAsia="仿宋"/>
          <w:sz w:val="30"/>
          <w:szCs w:val="30"/>
          <w:lang w:val="en-US" w:eastAsia="zh-CN"/>
        </w:rPr>
        <w:t>44.57</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69.77</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相同</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135.4</w:t>
      </w:r>
      <w:r>
        <w:rPr>
          <w:rFonts w:hint="eastAsia" w:ascii="仿宋" w:hAnsi="仿宋" w:eastAsia="仿宋"/>
          <w:sz w:val="30"/>
          <w:szCs w:val="30"/>
        </w:rPr>
        <w:t>万元，决算数为</w:t>
      </w:r>
      <w:r>
        <w:rPr>
          <w:rFonts w:hint="eastAsia" w:ascii="仿宋" w:hAnsi="仿宋" w:eastAsia="仿宋"/>
          <w:sz w:val="30"/>
          <w:szCs w:val="30"/>
          <w:lang w:val="en-US" w:eastAsia="zh-CN"/>
        </w:rPr>
        <w:t>69.77</w:t>
      </w:r>
      <w:r>
        <w:rPr>
          <w:rFonts w:hint="eastAsia" w:ascii="仿宋" w:hAnsi="仿宋" w:eastAsia="仿宋"/>
          <w:sz w:val="30"/>
          <w:szCs w:val="30"/>
        </w:rPr>
        <w:t>万元，完成预算的</w:t>
      </w:r>
      <w:r>
        <w:rPr>
          <w:rFonts w:hint="eastAsia" w:ascii="仿宋" w:hAnsi="仿宋" w:eastAsia="仿宋"/>
          <w:sz w:val="30"/>
          <w:szCs w:val="30"/>
          <w:lang w:val="en-US" w:eastAsia="zh-CN"/>
        </w:rPr>
        <w:t>51.53</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49.17</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238.69</w:t>
      </w:r>
      <w:r>
        <w:rPr>
          <w:rFonts w:hint="eastAsia" w:ascii="仿宋" w:hAnsi="仿宋" w:eastAsia="仿宋"/>
          <w:sz w:val="30"/>
          <w:szCs w:val="30"/>
        </w:rPr>
        <w:t>%。决算数较年初预算数增加的主要原因是：</w:t>
      </w:r>
      <w:r>
        <w:rPr>
          <w:rFonts w:hint="eastAsia" w:ascii="仿宋" w:hAnsi="仿宋" w:eastAsia="仿宋"/>
          <w:sz w:val="30"/>
          <w:szCs w:val="30"/>
          <w:lang w:val="en-US" w:eastAsia="zh-CN"/>
        </w:rPr>
        <w:t>2019年开展了“扫黑除恶”等专项工作，办案经费相较上年增长较大</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年度机关运行经费支出</w:t>
      </w:r>
      <w:r>
        <w:rPr>
          <w:rFonts w:hint="eastAsia" w:ascii="仿宋" w:hAnsi="仿宋" w:eastAsia="仿宋"/>
          <w:sz w:val="30"/>
          <w:szCs w:val="30"/>
          <w:lang w:val="en-US" w:eastAsia="zh-CN"/>
        </w:rPr>
        <w:t>1446.03</w:t>
      </w:r>
      <w:r>
        <w:rPr>
          <w:rFonts w:hint="eastAsia" w:ascii="仿宋" w:hAnsi="仿宋" w:eastAsia="仿宋"/>
          <w:sz w:val="30"/>
          <w:szCs w:val="30"/>
        </w:rPr>
        <w:t>万元（与部门决算中行政单位和参照公务员法管理事业单位一般公共预算财政拨款基本支出中公用经费之和保持一致），较</w:t>
      </w:r>
      <w:r>
        <w:rPr>
          <w:rFonts w:hint="eastAsia" w:ascii="仿宋" w:hAnsi="仿宋" w:eastAsia="仿宋"/>
          <w:sz w:val="30"/>
          <w:szCs w:val="30"/>
          <w:lang w:val="en-US" w:eastAsia="zh-CN"/>
        </w:rPr>
        <w:t>2018年</w:t>
      </w:r>
      <w:r>
        <w:rPr>
          <w:rFonts w:hint="eastAsia" w:ascii="仿宋" w:hAnsi="仿宋" w:eastAsia="仿宋"/>
          <w:sz w:val="30"/>
          <w:szCs w:val="30"/>
          <w:lang w:eastAsia="zh-CN"/>
        </w:rPr>
        <w:t>增加</w:t>
      </w:r>
      <w:r>
        <w:rPr>
          <w:rFonts w:hint="eastAsia" w:ascii="仿宋" w:hAnsi="仿宋" w:eastAsia="仿宋"/>
          <w:sz w:val="30"/>
          <w:szCs w:val="30"/>
          <w:lang w:val="en-US" w:eastAsia="zh-CN"/>
        </w:rPr>
        <w:t>951.43</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192.36</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6"/>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2390.94</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2076.43</w:t>
      </w:r>
      <w:r>
        <w:rPr>
          <w:rFonts w:hint="eastAsia" w:ascii="仿宋" w:hAnsi="仿宋" w:eastAsia="仿宋"/>
          <w:sz w:val="30"/>
          <w:szCs w:val="30"/>
        </w:rPr>
        <w:t>万元、政府采购工程支出</w:t>
      </w:r>
      <w:r>
        <w:rPr>
          <w:rFonts w:hint="eastAsia" w:ascii="仿宋" w:hAnsi="仿宋" w:eastAsia="仿宋"/>
          <w:sz w:val="30"/>
          <w:szCs w:val="30"/>
          <w:lang w:val="en-US" w:eastAsia="zh-CN"/>
        </w:rPr>
        <w:t>135.2</w:t>
      </w:r>
      <w:r>
        <w:rPr>
          <w:rFonts w:hint="eastAsia" w:ascii="仿宋" w:hAnsi="仿宋" w:eastAsia="仿宋"/>
          <w:sz w:val="30"/>
          <w:szCs w:val="30"/>
        </w:rPr>
        <w:t>万元、政府采购服务支出</w:t>
      </w:r>
      <w:r>
        <w:rPr>
          <w:rFonts w:hint="eastAsia" w:ascii="仿宋" w:hAnsi="仿宋" w:eastAsia="仿宋"/>
          <w:sz w:val="30"/>
          <w:szCs w:val="30"/>
          <w:lang w:val="en-US" w:eastAsia="zh-CN"/>
        </w:rPr>
        <w:t>179.31</w:t>
      </w:r>
      <w:r>
        <w:rPr>
          <w:rFonts w:hint="eastAsia" w:ascii="仿宋" w:hAnsi="仿宋" w:eastAsia="仿宋"/>
          <w:sz w:val="30"/>
          <w:szCs w:val="30"/>
        </w:rPr>
        <w:t>万元。</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cs="仿宋_GB2312"/>
          <w:kern w:val="0"/>
          <w:sz w:val="30"/>
          <w:szCs w:val="30"/>
        </w:rPr>
      </w:pPr>
      <w:r>
        <w:rPr>
          <w:rFonts w:hint="eastAsia" w:ascii="仿宋" w:hAnsi="仿宋" w:eastAsia="仿宋"/>
          <w:kern w:val="0"/>
          <w:sz w:val="30"/>
          <w:szCs w:val="30"/>
        </w:rPr>
        <w:t>截止201</w:t>
      </w:r>
      <w:r>
        <w:rPr>
          <w:rFonts w:hint="eastAsia" w:ascii="仿宋" w:hAnsi="仿宋" w:eastAsia="仿宋"/>
          <w:kern w:val="0"/>
          <w:sz w:val="30"/>
          <w:szCs w:val="30"/>
          <w:lang w:val="en-US" w:eastAsia="zh-CN"/>
        </w:rPr>
        <w:t>9</w:t>
      </w:r>
      <w:r>
        <w:rPr>
          <w:rFonts w:hint="eastAsia" w:ascii="仿宋" w:hAnsi="仿宋" w:eastAsia="仿宋"/>
          <w:kern w:val="0"/>
          <w:sz w:val="30"/>
          <w:szCs w:val="30"/>
        </w:rPr>
        <w:t>年12月31日，本部门共有车辆</w:t>
      </w:r>
      <w:r>
        <w:rPr>
          <w:rFonts w:hint="eastAsia" w:ascii="仿宋" w:hAnsi="仿宋" w:eastAsia="仿宋"/>
          <w:kern w:val="0"/>
          <w:sz w:val="30"/>
          <w:szCs w:val="30"/>
          <w:lang w:val="en-US" w:eastAsia="zh-CN"/>
        </w:rPr>
        <w:t>41</w:t>
      </w:r>
      <w:r>
        <w:rPr>
          <w:rFonts w:hint="eastAsia" w:ascii="仿宋" w:hAnsi="仿宋" w:eastAsia="仿宋"/>
          <w:kern w:val="0"/>
          <w:sz w:val="30"/>
          <w:szCs w:val="30"/>
        </w:rPr>
        <w:t>辆，其中，</w:t>
      </w:r>
      <w:r>
        <w:rPr>
          <w:rFonts w:hint="eastAsia" w:ascii="仿宋" w:hAnsi="仿宋" w:eastAsia="仿宋" w:cs="仿宋_GB2312"/>
          <w:kern w:val="0"/>
          <w:sz w:val="30"/>
          <w:szCs w:val="30"/>
        </w:rPr>
        <w:t>一般执法执勤用车</w:t>
      </w:r>
      <w:r>
        <w:rPr>
          <w:rFonts w:hint="eastAsia" w:ascii="仿宋" w:hAnsi="仿宋" w:eastAsia="仿宋" w:cs="仿宋_GB2312"/>
          <w:kern w:val="0"/>
          <w:sz w:val="30"/>
          <w:szCs w:val="30"/>
          <w:lang w:val="en-US" w:eastAsia="zh-CN"/>
        </w:rPr>
        <w:t>30</w:t>
      </w:r>
      <w:r>
        <w:rPr>
          <w:rFonts w:hint="eastAsia" w:ascii="仿宋" w:hAnsi="仿宋" w:eastAsia="仿宋" w:cs="仿宋_GB2312"/>
          <w:kern w:val="0"/>
          <w:sz w:val="30"/>
          <w:szCs w:val="30"/>
        </w:rPr>
        <w:t>辆、特种专业技术用车</w:t>
      </w:r>
      <w:r>
        <w:rPr>
          <w:rFonts w:hint="eastAsia" w:ascii="仿宋" w:hAnsi="仿宋" w:eastAsia="仿宋" w:cs="仿宋_GB2312"/>
          <w:kern w:val="0"/>
          <w:sz w:val="30"/>
          <w:szCs w:val="30"/>
          <w:lang w:val="en-US" w:eastAsia="zh-CN"/>
        </w:rPr>
        <w:t>11</w:t>
      </w:r>
      <w:r>
        <w:rPr>
          <w:rFonts w:hint="eastAsia" w:ascii="仿宋" w:hAnsi="仿宋" w:eastAsia="仿宋" w:cs="仿宋_GB2312"/>
          <w:kern w:val="0"/>
          <w:sz w:val="30"/>
          <w:szCs w:val="30"/>
        </w:rPr>
        <w:t>辆。</w:t>
      </w:r>
    </w:p>
    <w:p>
      <w:pPr>
        <w:widowControl/>
        <w:spacing w:line="600" w:lineRule="exact"/>
        <w:ind w:firstLine="640"/>
        <w:jc w:val="center"/>
        <w:rPr>
          <w:rFonts w:hint="eastAsia" w:ascii="仿宋" w:hAnsi="仿宋" w:eastAsia="仿宋"/>
          <w:kern w:val="0"/>
          <w:sz w:val="30"/>
          <w:szCs w:val="30"/>
        </w:rPr>
      </w:pPr>
      <w:r>
        <w:rPr>
          <w:rFonts w:hint="eastAsia" w:ascii="宋体" w:hAnsi="宋体"/>
          <w:b/>
          <w:sz w:val="32"/>
          <w:szCs w:val="32"/>
        </w:rPr>
        <w:t>第四部分  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一、机关运行经费：是指各部门的公用经费，包括办公及印刷费、邮电费、差旅费、会议费、福利费、日常维修费、专用材料及一般设备购置费、办公用房水电费、办公用房取暖费、办公用房物业管理费、公务用车运行维护费及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二、“三公经费”：纳入省财政预算管理的“三公”经费，是指用一般公共预算拨款安排的公务接待费、公务用车购置及运行维护费和因公出国（境）费。其中，公务接待费反映单位按规定开支的各类接待支出；公务用车购置及运行费反映单位公务用车车辆购置支出（含车辆购置税），以及燃料费、维修费、保险费等支出；因公出国（境）费反映单位公务出国（境）的国际旅游费、国外城市间交通费、食宿费等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jc w:val="left"/>
        <w:rPr>
          <w:rFonts w:hint="eastAsia" w:ascii="仿宋" w:hAnsi="仿宋" w:eastAsia="仿宋" w:cstheme="minorBidi"/>
          <w:kern w:val="0"/>
          <w:sz w:val="30"/>
          <w:szCs w:val="30"/>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B1B69C"/>
    <w:multiLevelType w:val="singleLevel"/>
    <w:tmpl w:val="9CB1B69C"/>
    <w:lvl w:ilvl="0" w:tentative="0">
      <w:start w:val="2"/>
      <w:numFmt w:val="chineseCounting"/>
      <w:suff w:val="space"/>
      <w:lvlText w:val="第%1部分"/>
      <w:lvlJc w:val="left"/>
      <w:rPr>
        <w:rFonts w:hint="eastAsia"/>
      </w:rPr>
    </w:lvl>
  </w:abstractNum>
  <w:abstractNum w:abstractNumId="1">
    <w:nsid w:val="6A25F9AE"/>
    <w:multiLevelType w:val="singleLevel"/>
    <w:tmpl w:val="6A25F9A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A8"/>
    <w:rsid w:val="005903A8"/>
    <w:rsid w:val="0FF71526"/>
    <w:rsid w:val="13C548E7"/>
    <w:rsid w:val="17AB523E"/>
    <w:rsid w:val="1AEE3BC3"/>
    <w:rsid w:val="1C68633E"/>
    <w:rsid w:val="24704227"/>
    <w:rsid w:val="27EA408B"/>
    <w:rsid w:val="2F3B2FEE"/>
    <w:rsid w:val="356F7430"/>
    <w:rsid w:val="363F66E9"/>
    <w:rsid w:val="36F22925"/>
    <w:rsid w:val="38440A3B"/>
    <w:rsid w:val="3E587D7B"/>
    <w:rsid w:val="3E9637CA"/>
    <w:rsid w:val="407A2DAF"/>
    <w:rsid w:val="44F23236"/>
    <w:rsid w:val="47154D03"/>
    <w:rsid w:val="4A743F8B"/>
    <w:rsid w:val="4B8F4DDF"/>
    <w:rsid w:val="4E6524D8"/>
    <w:rsid w:val="4F9E201B"/>
    <w:rsid w:val="531D25D2"/>
    <w:rsid w:val="5A5666C5"/>
    <w:rsid w:val="5E2C4F1C"/>
    <w:rsid w:val="63BD539A"/>
    <w:rsid w:val="6B1A4B08"/>
    <w:rsid w:val="6D1E7718"/>
    <w:rsid w:val="6EF60628"/>
    <w:rsid w:val="75C06A75"/>
    <w:rsid w:val="772D184C"/>
    <w:rsid w:val="79727161"/>
    <w:rsid w:val="7CFF6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2019-11-05T07:27:00Z</dcterms:created>
  <dc:creator>Administrator</dc:creator>
  <cp:lastModifiedBy>Administrator</cp:lastModifiedBy>
  <dcterms:modified xsi:type="dcterms:W3CDTF">2020-10-19T08:00:49Z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