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hAnsi="黑体" w:eastAsia="黑体"/>
          <w:sz w:val="44"/>
          <w:szCs w:val="36"/>
        </w:rPr>
      </w:pPr>
    </w:p>
    <w:p>
      <w:pPr>
        <w:jc w:val="center"/>
        <w:rPr>
          <w:rFonts w:hint="eastAsia" w:ascii="黑体" w:hAnsi="黑体" w:eastAsia="黑体"/>
          <w:sz w:val="44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36"/>
          <w:lang w:eastAsia="zh-CN"/>
        </w:rPr>
        <w:t>江西庐山市工业园区管理委员会</w:t>
      </w:r>
    </w:p>
    <w:p>
      <w:pPr>
        <w:spacing w:line="600" w:lineRule="exact"/>
        <w:jc w:val="center"/>
        <w:rPr>
          <w:rFonts w:hint="eastAsia" w:ascii="黑体" w:eastAsia="黑体"/>
          <w:sz w:val="44"/>
          <w:szCs w:val="36"/>
        </w:rPr>
      </w:pPr>
      <w:r>
        <w:rPr>
          <w:rFonts w:hint="eastAsia" w:ascii="黑体" w:eastAsia="黑体"/>
          <w:sz w:val="44"/>
          <w:szCs w:val="36"/>
        </w:rPr>
        <w:t>201</w:t>
      </w:r>
      <w:r>
        <w:rPr>
          <w:rFonts w:hint="eastAsia" w:ascii="黑体" w:eastAsia="黑体"/>
          <w:sz w:val="44"/>
          <w:szCs w:val="36"/>
          <w:lang w:val="en-US" w:eastAsia="zh-CN"/>
        </w:rPr>
        <w:t>9</w:t>
      </w:r>
      <w:r>
        <w:rPr>
          <w:rFonts w:hint="eastAsia" w:ascii="黑体" w:eastAsia="黑体"/>
          <w:sz w:val="44"/>
          <w:szCs w:val="36"/>
        </w:rPr>
        <w:t>年度部门决算</w:t>
      </w:r>
    </w:p>
    <w:p>
      <w:pPr>
        <w:spacing w:line="600" w:lineRule="exact"/>
        <w:jc w:val="center"/>
        <w:rPr>
          <w:rFonts w:hint="eastAsia" w:ascii="黑体" w:eastAsia="黑体"/>
          <w:sz w:val="44"/>
          <w:szCs w:val="36"/>
        </w:rPr>
      </w:pPr>
    </w:p>
    <w:p>
      <w:pPr>
        <w:spacing w:line="600" w:lineRule="exact"/>
        <w:jc w:val="center"/>
        <w:rPr>
          <w:rFonts w:hint="eastAsia" w:ascii="黑体" w:eastAsia="黑体"/>
          <w:sz w:val="40"/>
          <w:szCs w:val="36"/>
        </w:rPr>
      </w:pPr>
      <w:r>
        <w:rPr>
          <w:rFonts w:hint="eastAsia" w:ascii="黑体" w:eastAsia="黑体"/>
          <w:sz w:val="40"/>
          <w:szCs w:val="36"/>
        </w:rPr>
        <w:t>目    录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sz w:val="32"/>
          <w:szCs w:val="30"/>
        </w:rPr>
      </w:pPr>
    </w:p>
    <w:p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第一部分  </w:t>
      </w:r>
      <w:r>
        <w:rPr>
          <w:rFonts w:hint="eastAsia" w:ascii="黑体" w:hAnsi="黑体" w:eastAsia="黑体"/>
          <w:sz w:val="32"/>
          <w:szCs w:val="32"/>
          <w:lang w:eastAsia="zh-CN"/>
        </w:rPr>
        <w:t>江西庐山市工业园区管理委员会</w:t>
      </w:r>
      <w:r>
        <w:rPr>
          <w:rFonts w:hint="eastAsia" w:ascii="黑体" w:hAnsi="黑体" w:eastAsia="黑体"/>
          <w:sz w:val="32"/>
          <w:szCs w:val="32"/>
        </w:rPr>
        <w:t>部门</w:t>
      </w:r>
      <w:r>
        <w:rPr>
          <w:rFonts w:hint="eastAsia" w:ascii="黑体" w:hAnsi="黑体" w:eastAsia="黑体"/>
          <w:sz w:val="32"/>
          <w:szCs w:val="32"/>
          <w:lang w:eastAsia="zh-CN"/>
        </w:rPr>
        <w:t>概况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b/>
          <w:sz w:val="32"/>
          <w:szCs w:val="30"/>
        </w:rPr>
        <w:t xml:space="preserve">    </w:t>
      </w:r>
      <w:r>
        <w:rPr>
          <w:rFonts w:hint="eastAsia" w:ascii="仿宋" w:hAnsi="仿宋" w:eastAsia="仿宋"/>
          <w:sz w:val="32"/>
          <w:szCs w:val="30"/>
        </w:rPr>
        <w:t>一、部门主要职责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二、部门基本情况</w:t>
      </w:r>
    </w:p>
    <w:p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 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年度部门决算表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一、收入支出决算总表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二、收入决算表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三、支出决算表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四、财政拨款收入支出决算总表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五、一般公共预算财政拨款支出决算表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六、一般公共预算财政拨款基本支出决算表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七、一般公共预算财政拨款“三公”经费支出决算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八、政府性基金预算财政拨款收入支出决算表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九、国有资产占用情况表</w:t>
      </w:r>
    </w:p>
    <w:p>
      <w:pPr>
        <w:widowControl/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第三部分  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年度部门决算情况说明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三、财政拨款支出决算情况说明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四、一般公共预算财政拨款基本支出决算情况说明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五、一般公共预算财政拨款“三公”经费支出决算</w:t>
      </w:r>
    </w:p>
    <w:p>
      <w:pPr>
        <w:widowControl/>
        <w:spacing w:line="600" w:lineRule="exact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情况说明</w:t>
      </w:r>
    </w:p>
    <w:p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六、机关运行经费支出情况说明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七、政府采购支出情况说明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八、国有资产占用情况说明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九、预算绩效情况说明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both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widowControl/>
        <w:spacing w:line="580" w:lineRule="exact"/>
        <w:jc w:val="center"/>
        <w:rPr>
          <w:rFonts w:hint="eastAsia" w:ascii="宋体" w:hAnsi="宋体"/>
          <w:b/>
          <w:sz w:val="32"/>
          <w:szCs w:val="30"/>
        </w:rPr>
      </w:pPr>
    </w:p>
    <w:p>
      <w:pPr>
        <w:widowControl/>
        <w:spacing w:line="580" w:lineRule="exact"/>
        <w:jc w:val="center"/>
        <w:rPr>
          <w:rFonts w:hint="eastAsia" w:ascii="宋体" w:hAnsi="宋体"/>
          <w:b/>
          <w:sz w:val="32"/>
          <w:szCs w:val="30"/>
        </w:rPr>
      </w:pPr>
      <w:r>
        <w:rPr>
          <w:rFonts w:hint="eastAsia" w:ascii="宋体" w:hAnsi="宋体"/>
          <w:b/>
          <w:sz w:val="32"/>
          <w:szCs w:val="30"/>
        </w:rPr>
        <w:t xml:space="preserve">第一部分  </w:t>
      </w:r>
      <w:r>
        <w:rPr>
          <w:rFonts w:hint="eastAsia" w:ascii="宋体" w:hAnsi="宋体"/>
          <w:b/>
          <w:sz w:val="32"/>
          <w:szCs w:val="30"/>
          <w:lang w:val="en-US" w:eastAsia="zh-CN"/>
        </w:rPr>
        <w:t>江西庐山市工业园管区理委员会</w:t>
      </w:r>
      <w:r>
        <w:rPr>
          <w:rFonts w:hint="eastAsia" w:ascii="宋体" w:hAnsi="宋体"/>
          <w:b/>
          <w:sz w:val="32"/>
          <w:szCs w:val="32"/>
        </w:rPr>
        <w:t>部门</w:t>
      </w:r>
      <w:r>
        <w:rPr>
          <w:rFonts w:hint="eastAsia" w:ascii="宋体" w:hAnsi="宋体"/>
          <w:b/>
          <w:sz w:val="32"/>
          <w:szCs w:val="30"/>
        </w:rPr>
        <w:t>概况</w:t>
      </w:r>
    </w:p>
    <w:p>
      <w:pPr>
        <w:ind w:firstLine="630"/>
        <w:jc w:val="center"/>
        <w:rPr>
          <w:rFonts w:hint="eastAsia"/>
          <w:sz w:val="32"/>
          <w:szCs w:val="32"/>
        </w:rPr>
      </w:pP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一、部门主要职能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一</w:t>
      </w:r>
      <w:r>
        <w:rPr>
          <w:rFonts w:hint="eastAsia" w:ascii="Calibri" w:hAnsi="Calibri" w:cs="宋体"/>
          <w:szCs w:val="30"/>
        </w:rPr>
        <w:t xml:space="preserve">）依照国家有关法律、法规、规章及市委、市政府制定的相关政策规定，拟订庐山工业园具体的管理办法，并负责组织实施。 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二</w:t>
      </w:r>
      <w:r>
        <w:rPr>
          <w:rFonts w:hint="eastAsia" w:ascii="Calibri" w:hAnsi="Calibri" w:cs="宋体"/>
          <w:szCs w:val="30"/>
        </w:rPr>
        <w:t xml:space="preserve">）起草拟订庐山工业园区总体规划和经济、社会发展计划，报县人民政府批准后，负责组织实施。  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三</w:t>
      </w:r>
      <w:r>
        <w:rPr>
          <w:rFonts w:hint="eastAsia" w:ascii="Calibri" w:hAnsi="Calibri" w:cs="宋体"/>
          <w:szCs w:val="30"/>
        </w:rPr>
        <w:t xml:space="preserve">）按照规定程序，负责庐山工业园区内投资项目的审查、申报。 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四</w:t>
      </w:r>
      <w:r>
        <w:rPr>
          <w:rFonts w:hint="eastAsia" w:ascii="Calibri" w:hAnsi="Calibri" w:cs="宋体"/>
          <w:szCs w:val="30"/>
        </w:rPr>
        <w:t xml:space="preserve">）负责为进园企业提供全方位的优质服务，负责对进园项目的实施进行全过程的监督；  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五</w:t>
      </w:r>
      <w:r>
        <w:rPr>
          <w:rFonts w:hint="eastAsia" w:ascii="Calibri" w:hAnsi="Calibri" w:cs="宋体"/>
          <w:szCs w:val="30"/>
        </w:rPr>
        <w:t xml:space="preserve">）指导庐山工业园区内各类企业建立现代企业制度、完善法人治理结构，切实维护进园企业的合法权益。 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六</w:t>
      </w:r>
      <w:r>
        <w:rPr>
          <w:rFonts w:hint="eastAsia" w:ascii="Calibri" w:hAnsi="Calibri" w:cs="宋体"/>
          <w:szCs w:val="30"/>
        </w:rPr>
        <w:t xml:space="preserve">）负责组织协调、督促工业园区内各项基础设施建设，优化投资硬件环境。  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七</w:t>
      </w:r>
      <w:r>
        <w:rPr>
          <w:rFonts w:hint="eastAsia" w:ascii="Calibri" w:hAnsi="Calibri" w:cs="宋体"/>
          <w:szCs w:val="30"/>
        </w:rPr>
        <w:t xml:space="preserve">）负责管理工业园区内的劳动人事、环境保护、社会治安、安全生产及有关资料统计等工作。 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八</w:t>
      </w:r>
      <w:r>
        <w:rPr>
          <w:rFonts w:hint="eastAsia" w:ascii="Calibri" w:hAnsi="Calibri" w:cs="宋体"/>
          <w:szCs w:val="30"/>
        </w:rPr>
        <w:t xml:space="preserve">）负责指导园区内企业的党建、精神文明建设和群团组织建设等工作。 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九</w:t>
      </w:r>
      <w:r>
        <w:rPr>
          <w:rFonts w:hint="eastAsia" w:ascii="Calibri" w:hAnsi="Calibri" w:cs="宋体"/>
          <w:szCs w:val="30"/>
        </w:rPr>
        <w:t xml:space="preserve">）负责兴办和管理园区内的公益事业。 </w:t>
      </w:r>
    </w:p>
    <w:p>
      <w:pPr>
        <w:pStyle w:val="8"/>
        <w:spacing w:line="360" w:lineRule="auto"/>
        <w:ind w:firstLine="600"/>
        <w:rPr>
          <w:rFonts w:ascii="Calibri" w:hAnsi="Calibri" w:cs="宋体"/>
          <w:szCs w:val="30"/>
        </w:rPr>
      </w:pPr>
      <w:r>
        <w:rPr>
          <w:rFonts w:hint="eastAsia" w:ascii="Calibri" w:hAnsi="Calibri" w:cs="宋体"/>
          <w:szCs w:val="30"/>
        </w:rPr>
        <w:t>（</w:t>
      </w:r>
      <w:r>
        <w:rPr>
          <w:rFonts w:hint="eastAsia" w:ascii="Calibri" w:hAnsi="Calibri" w:cs="宋体"/>
          <w:szCs w:val="30"/>
          <w:lang w:eastAsia="zh-CN"/>
        </w:rPr>
        <w:t>十</w:t>
      </w:r>
      <w:r>
        <w:rPr>
          <w:rFonts w:hint="eastAsia" w:ascii="Calibri" w:hAnsi="Calibri" w:cs="宋体"/>
          <w:szCs w:val="30"/>
        </w:rPr>
        <w:t>）市委、市政府委托管理的其它职责。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二、部门基本情况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纳入本套部门决算汇编范围的单位共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 xml:space="preserve"> 个，</w:t>
      </w:r>
      <w:r>
        <w:rPr>
          <w:rFonts w:hint="eastAsia" w:ascii="仿宋" w:hAnsi="仿宋" w:eastAsia="仿宋"/>
          <w:sz w:val="30"/>
          <w:szCs w:val="30"/>
          <w:lang w:eastAsia="zh-CN"/>
        </w:rPr>
        <w:t>即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江西庐山市工业园管区理委员会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00" w:firstLineChars="200"/>
        <w:rPr>
          <w:rFonts w:hint="eastAsia" w:ascii="宋体" w:hAnsi="宋体"/>
          <w:b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年年末编制人数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人，其中行政编制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</w:t>
      </w:r>
      <w:r>
        <w:rPr>
          <w:rFonts w:hint="eastAsia" w:ascii="仿宋" w:hAnsi="仿宋" w:eastAsia="仿宋"/>
          <w:sz w:val="30"/>
          <w:szCs w:val="30"/>
        </w:rPr>
        <w:t>人，事业编制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人；年末实有人数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/>
          <w:sz w:val="30"/>
          <w:szCs w:val="30"/>
        </w:rPr>
        <w:t>人，其中在职人员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/>
          <w:sz w:val="30"/>
          <w:szCs w:val="30"/>
        </w:rPr>
        <w:t>人，离休人员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人，退休人员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人；年末学生人数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人。</w:t>
      </w:r>
    </w:p>
    <w:p>
      <w:pPr>
        <w:widowControl/>
        <w:spacing w:line="600" w:lineRule="exact"/>
        <w:jc w:val="both"/>
        <w:rPr>
          <w:rFonts w:hint="eastAsia"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hint="eastAsia"/>
          <w:szCs w:val="30"/>
        </w:rPr>
      </w:pPr>
      <w:r>
        <w:rPr>
          <w:rFonts w:hint="eastAsia" w:ascii="宋体" w:hAnsi="宋体"/>
          <w:b/>
          <w:sz w:val="32"/>
          <w:szCs w:val="32"/>
        </w:rPr>
        <w:t>第二部分  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年度部门决算表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drawing>
          <wp:inline distT="0" distB="0" distL="114300" distR="114300">
            <wp:extent cx="5273675" cy="4878070"/>
            <wp:effectExtent l="0" t="0" r="3175" b="1778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87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 </w:t>
      </w:r>
      <w:r>
        <w:drawing>
          <wp:inline distT="0" distB="0" distL="114300" distR="114300">
            <wp:extent cx="5267960" cy="3395345"/>
            <wp:effectExtent l="0" t="0" r="8890" b="1460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39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</w:pPr>
    </w:p>
    <w:p>
      <w:pPr>
        <w:autoSpaceDE w:val="0"/>
        <w:autoSpaceDN w:val="0"/>
        <w:adjustRightInd w:val="0"/>
        <w:spacing w:line="360" w:lineRule="auto"/>
        <w:jc w:val="left"/>
      </w:pPr>
      <w:r>
        <w:drawing>
          <wp:inline distT="0" distB="0" distL="114300" distR="114300">
            <wp:extent cx="5269230" cy="3134995"/>
            <wp:effectExtent l="0" t="0" r="7620" b="825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</w:pPr>
    </w:p>
    <w:p>
      <w:pPr>
        <w:autoSpaceDE w:val="0"/>
        <w:autoSpaceDN w:val="0"/>
        <w:adjustRightInd w:val="0"/>
        <w:spacing w:line="360" w:lineRule="auto"/>
        <w:jc w:val="left"/>
      </w:pPr>
      <w:r>
        <w:drawing>
          <wp:inline distT="0" distB="0" distL="114300" distR="114300">
            <wp:extent cx="5271135" cy="4211955"/>
            <wp:effectExtent l="0" t="0" r="5715" b="1714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21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</w:pPr>
    </w:p>
    <w:p>
      <w:pPr>
        <w:autoSpaceDE w:val="0"/>
        <w:autoSpaceDN w:val="0"/>
        <w:adjustRightInd w:val="0"/>
        <w:spacing w:line="360" w:lineRule="auto"/>
        <w:jc w:val="left"/>
      </w:pPr>
      <w:r>
        <w:drawing>
          <wp:inline distT="0" distB="0" distL="114300" distR="114300">
            <wp:extent cx="5272405" cy="3972560"/>
            <wp:effectExtent l="0" t="0" r="4445" b="889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7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</w:pPr>
      <w:r>
        <w:drawing>
          <wp:inline distT="0" distB="0" distL="114300" distR="114300">
            <wp:extent cx="5268595" cy="9100820"/>
            <wp:effectExtent l="0" t="0" r="8255" b="508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10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</w:pPr>
      <w:r>
        <w:drawing>
          <wp:inline distT="0" distB="0" distL="114300" distR="114300">
            <wp:extent cx="5229225" cy="5305425"/>
            <wp:effectExtent l="0" t="0" r="9525" b="9525"/>
            <wp:docPr id="2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</w:pPr>
    </w:p>
    <w:p>
      <w:pPr>
        <w:autoSpaceDE w:val="0"/>
        <w:autoSpaceDN w:val="0"/>
        <w:adjustRightInd w:val="0"/>
        <w:spacing w:line="360" w:lineRule="auto"/>
        <w:jc w:val="left"/>
      </w:pPr>
    </w:p>
    <w:p>
      <w:pPr>
        <w:autoSpaceDE w:val="0"/>
        <w:autoSpaceDN w:val="0"/>
        <w:adjustRightInd w:val="0"/>
        <w:spacing w:line="360" w:lineRule="auto"/>
        <w:jc w:val="left"/>
      </w:pPr>
      <w:r>
        <w:drawing>
          <wp:inline distT="0" distB="0" distL="114300" distR="114300">
            <wp:extent cx="5267960" cy="1934845"/>
            <wp:effectExtent l="0" t="0" r="8890" b="8255"/>
            <wp:docPr id="1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</w:pPr>
    </w:p>
    <w:p>
      <w:pPr>
        <w:autoSpaceDE w:val="0"/>
        <w:autoSpaceDN w:val="0"/>
        <w:adjustRightInd w:val="0"/>
        <w:spacing w:line="360" w:lineRule="auto"/>
        <w:jc w:val="left"/>
      </w:pPr>
    </w:p>
    <w:p>
      <w:pPr>
        <w:autoSpaceDE w:val="0"/>
        <w:autoSpaceDN w:val="0"/>
        <w:adjustRightInd w:val="0"/>
        <w:spacing w:line="360" w:lineRule="auto"/>
        <w:jc w:val="left"/>
      </w:pPr>
      <w:r>
        <w:drawing>
          <wp:inline distT="0" distB="0" distL="114300" distR="114300">
            <wp:extent cx="4800600" cy="2886075"/>
            <wp:effectExtent l="0" t="0" r="0" b="9525"/>
            <wp:docPr id="2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</w:pPr>
    </w:p>
    <w:p>
      <w:pPr>
        <w:widowControl/>
        <w:spacing w:line="600" w:lineRule="exact"/>
        <w:ind w:firstLine="640"/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宋体" w:hAnsi="宋体"/>
          <w:b/>
          <w:sz w:val="32"/>
          <w:szCs w:val="32"/>
        </w:rPr>
        <w:t>第三部分  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年度部门决算情况说明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一、收入决算情况说明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年度收入总计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4967.88</w:t>
      </w:r>
      <w:r>
        <w:rPr>
          <w:rFonts w:hint="eastAsia" w:ascii="仿宋" w:hAnsi="仿宋" w:eastAsia="仿宋"/>
          <w:sz w:val="30"/>
          <w:szCs w:val="30"/>
        </w:rPr>
        <w:t>万元，其中年初结转和结余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1491.59</w:t>
      </w:r>
      <w:r>
        <w:rPr>
          <w:rFonts w:hint="eastAsia" w:ascii="仿宋" w:hAnsi="仿宋" w:eastAsia="仿宋"/>
          <w:sz w:val="30"/>
          <w:szCs w:val="30"/>
        </w:rPr>
        <w:t>万元，较201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1211.46</w:t>
      </w:r>
      <w:r>
        <w:rPr>
          <w:rFonts w:hint="eastAsia" w:ascii="仿宋" w:hAnsi="仿宋" w:eastAsia="仿宋"/>
          <w:sz w:val="30"/>
          <w:szCs w:val="30"/>
        </w:rPr>
        <w:t>万元，下降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44.82</w:t>
      </w:r>
      <w:r>
        <w:rPr>
          <w:rFonts w:hint="eastAsia" w:ascii="仿宋" w:hAnsi="仿宋" w:eastAsia="仿宋"/>
          <w:sz w:val="30"/>
          <w:szCs w:val="30"/>
        </w:rPr>
        <w:t xml:space="preserve"> %；本年收入合计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3476.29</w:t>
      </w:r>
      <w:r>
        <w:rPr>
          <w:rFonts w:hint="eastAsia" w:ascii="仿宋" w:hAnsi="仿宋" w:eastAsia="仿宋"/>
          <w:sz w:val="30"/>
          <w:szCs w:val="30"/>
        </w:rPr>
        <w:t>万元，较201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2540.94</w:t>
      </w:r>
      <w:r>
        <w:rPr>
          <w:rFonts w:hint="eastAsia" w:ascii="仿宋" w:hAnsi="仿宋" w:eastAsia="仿宋"/>
          <w:sz w:val="30"/>
          <w:szCs w:val="30"/>
        </w:rPr>
        <w:t>万元，下降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42.43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当年资本性支出财政拨款降幅较大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本年收入的具体构成为：财政拨款收入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3319.93</w:t>
      </w:r>
      <w:r>
        <w:rPr>
          <w:rFonts w:hint="eastAsia" w:ascii="仿宋" w:hAnsi="仿宋" w:eastAsia="仿宋"/>
          <w:sz w:val="30"/>
          <w:szCs w:val="30"/>
        </w:rPr>
        <w:t>万元，占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95.5</w:t>
      </w:r>
      <w:r>
        <w:rPr>
          <w:rFonts w:hint="eastAsia" w:ascii="仿宋" w:hAnsi="仿宋" w:eastAsia="仿宋"/>
          <w:sz w:val="30"/>
          <w:szCs w:val="30"/>
        </w:rPr>
        <w:t>%；事业收入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%；经营收入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%；其他收入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156.36</w:t>
      </w:r>
      <w:r>
        <w:rPr>
          <w:rFonts w:hint="eastAsia" w:ascii="仿宋" w:hAnsi="仿宋" w:eastAsia="仿宋"/>
          <w:sz w:val="30"/>
          <w:szCs w:val="30"/>
        </w:rPr>
        <w:t>万元，占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4.5</w:t>
      </w:r>
      <w:r>
        <w:rPr>
          <w:rFonts w:hint="eastAsia" w:ascii="仿宋" w:hAnsi="仿宋" w:eastAsia="仿宋"/>
          <w:sz w:val="30"/>
          <w:szCs w:val="30"/>
        </w:rPr>
        <w:t xml:space="preserve">%。  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年度支出总计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4967.88</w:t>
      </w:r>
      <w:r>
        <w:rPr>
          <w:rFonts w:hint="eastAsia" w:ascii="仿宋" w:hAnsi="仿宋" w:eastAsia="仿宋"/>
          <w:sz w:val="30"/>
          <w:szCs w:val="30"/>
        </w:rPr>
        <w:t>万元，其中本年支出合计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4628.70</w:t>
      </w:r>
      <w:r>
        <w:rPr>
          <w:rFonts w:hint="eastAsia" w:ascii="仿宋" w:hAnsi="仿宋" w:eastAsia="仿宋"/>
          <w:sz w:val="30"/>
          <w:szCs w:val="30"/>
        </w:rPr>
        <w:t>万元，较201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2441.42</w:t>
      </w:r>
      <w:r>
        <w:rPr>
          <w:rFonts w:hint="eastAsia" w:ascii="仿宋" w:hAnsi="仿宋" w:eastAsia="仿宋"/>
          <w:sz w:val="30"/>
          <w:szCs w:val="30"/>
        </w:rPr>
        <w:t>万元，下降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34.53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年度部门支出预算调减较多</w:t>
      </w:r>
      <w:r>
        <w:rPr>
          <w:rFonts w:hint="eastAsia" w:ascii="仿宋" w:hAnsi="仿宋" w:eastAsia="仿宋"/>
          <w:sz w:val="30"/>
          <w:szCs w:val="30"/>
        </w:rPr>
        <w:t>；年末结转和结余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339.18</w:t>
      </w:r>
      <w:r>
        <w:rPr>
          <w:rFonts w:hint="eastAsia" w:ascii="仿宋" w:hAnsi="仿宋" w:eastAsia="仿宋"/>
          <w:sz w:val="30"/>
          <w:szCs w:val="30"/>
        </w:rPr>
        <w:t>万元，较201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1310.98</w:t>
      </w:r>
      <w:r>
        <w:rPr>
          <w:rFonts w:hint="eastAsia" w:ascii="仿宋" w:hAnsi="仿宋" w:eastAsia="仿宋"/>
          <w:sz w:val="30"/>
          <w:szCs w:val="30"/>
        </w:rPr>
        <w:t>万元，下降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79.44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使用上年结余应返还费用额度较多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本年支出的具体构成为：基本支出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331.52</w:t>
      </w:r>
      <w:r>
        <w:rPr>
          <w:rFonts w:hint="eastAsia" w:ascii="仿宋" w:hAnsi="仿宋" w:eastAsia="仿宋"/>
          <w:sz w:val="30"/>
          <w:szCs w:val="30"/>
        </w:rPr>
        <w:t>万元，占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7.16</w:t>
      </w:r>
      <w:r>
        <w:rPr>
          <w:rFonts w:hint="eastAsia" w:ascii="仿宋" w:hAnsi="仿宋" w:eastAsia="仿宋"/>
          <w:sz w:val="30"/>
          <w:szCs w:val="30"/>
        </w:rPr>
        <w:t>%；项目支出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4297.18</w:t>
      </w:r>
      <w:r>
        <w:rPr>
          <w:rFonts w:hint="eastAsia" w:ascii="仿宋" w:hAnsi="仿宋" w:eastAsia="仿宋"/>
          <w:sz w:val="30"/>
          <w:szCs w:val="30"/>
        </w:rPr>
        <w:t>万元，占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92.84</w:t>
      </w:r>
      <w:r>
        <w:rPr>
          <w:rFonts w:hint="eastAsia" w:ascii="仿宋" w:hAnsi="仿宋" w:eastAsia="仿宋"/>
          <w:sz w:val="30"/>
          <w:szCs w:val="30"/>
        </w:rPr>
        <w:t>%；经营支出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%；其他支出（对附属单位补助支出、上缴上级支出）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三、财政拨款支出决算情况说明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年度财政拨款本年支出年初预算数为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486.34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4477.54</w:t>
      </w:r>
      <w:r>
        <w:rPr>
          <w:rFonts w:hint="eastAsia" w:ascii="仿宋" w:hAnsi="仿宋" w:eastAsia="仿宋"/>
          <w:sz w:val="30"/>
          <w:szCs w:val="30"/>
        </w:rPr>
        <w:t>万元，完成年初预算的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920.66</w:t>
      </w:r>
      <w:r>
        <w:rPr>
          <w:rFonts w:hint="eastAsia" w:ascii="仿宋" w:hAnsi="仿宋" w:eastAsia="仿宋"/>
          <w:sz w:val="30"/>
          <w:szCs w:val="30"/>
        </w:rPr>
        <w:t>%。其中：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（一）社会保障和就业支出年初预算数为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27.78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32.14</w:t>
      </w:r>
      <w:r>
        <w:rPr>
          <w:rFonts w:hint="eastAsia" w:ascii="仿宋" w:hAnsi="仿宋" w:eastAsia="仿宋"/>
          <w:sz w:val="30"/>
          <w:szCs w:val="30"/>
        </w:rPr>
        <w:t>万元，完成年初预算的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115.69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执行部门年度支出预算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（二）卫生健康支出年初预算数为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6.8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7.3</w:t>
      </w:r>
      <w:r>
        <w:rPr>
          <w:rFonts w:hint="eastAsia" w:ascii="仿宋" w:hAnsi="仿宋" w:eastAsia="仿宋"/>
          <w:sz w:val="30"/>
          <w:szCs w:val="30"/>
        </w:rPr>
        <w:t>万元，完成年初预算的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107.35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执行部门年度支出预算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（三）</w:t>
      </w:r>
      <w:r>
        <w:rPr>
          <w:rFonts w:hint="eastAsia" w:ascii="仿宋" w:hAnsi="仿宋" w:eastAsia="仿宋"/>
          <w:sz w:val="30"/>
          <w:szCs w:val="30"/>
        </w:rPr>
        <w:t>城乡社区支出年初预算数为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1061.78</w:t>
      </w:r>
      <w:r>
        <w:rPr>
          <w:rFonts w:hint="eastAsia" w:ascii="仿宋" w:hAnsi="仿宋" w:eastAsia="仿宋"/>
          <w:sz w:val="30"/>
          <w:szCs w:val="30"/>
        </w:rPr>
        <w:t>万元，完成年初预算的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100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执行部门年度支出预算，并使用部分上年度结余费用额度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（四）</w:t>
      </w:r>
      <w:r>
        <w:rPr>
          <w:rFonts w:hint="eastAsia" w:ascii="仿宋" w:hAnsi="仿宋" w:eastAsia="仿宋"/>
          <w:sz w:val="30"/>
          <w:szCs w:val="30"/>
        </w:rPr>
        <w:t>资源勘探信息等支出年初预算数为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443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3366.97</w:t>
      </w:r>
      <w:r>
        <w:rPr>
          <w:rFonts w:hint="eastAsia" w:ascii="仿宋" w:hAnsi="仿宋" w:eastAsia="仿宋"/>
          <w:sz w:val="30"/>
          <w:szCs w:val="30"/>
        </w:rPr>
        <w:t>万元，完成年初预算的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760.04</w:t>
      </w:r>
      <w:r>
        <w:rPr>
          <w:rFonts w:hint="eastAsia" w:ascii="仿宋" w:hAnsi="仿宋" w:eastAsia="仿宋"/>
          <w:sz w:val="30"/>
          <w:szCs w:val="30"/>
        </w:rPr>
        <w:t xml:space="preserve"> 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调增部门年度支出预算，并使用部分上年度结余费用额度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（五）</w:t>
      </w:r>
      <w:r>
        <w:rPr>
          <w:rFonts w:hint="eastAsia" w:ascii="仿宋" w:hAnsi="仿宋" w:eastAsia="仿宋"/>
          <w:sz w:val="30"/>
          <w:szCs w:val="30"/>
        </w:rPr>
        <w:t>住房保障支出年初预算数为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8.76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9.34</w:t>
      </w:r>
      <w:r>
        <w:rPr>
          <w:rFonts w:hint="eastAsia" w:ascii="仿宋" w:hAnsi="仿宋" w:eastAsia="仿宋"/>
          <w:sz w:val="30"/>
          <w:szCs w:val="30"/>
        </w:rPr>
        <w:t>万元，完成年初预算的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106.62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执行部门年度支出预算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585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四、一般公共预算财政拨款基本支出决算情况说明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年度一般公共预算财政拨款基本支出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331.53</w:t>
      </w:r>
      <w:r>
        <w:rPr>
          <w:rFonts w:hint="eastAsia" w:ascii="仿宋" w:hAnsi="仿宋" w:eastAsia="仿宋"/>
          <w:sz w:val="30"/>
          <w:szCs w:val="30"/>
        </w:rPr>
        <w:t>万元，其中：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（一）工资福利支出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218.56</w:t>
      </w:r>
      <w:r>
        <w:rPr>
          <w:rFonts w:hint="eastAsia" w:ascii="仿宋" w:hAnsi="仿宋" w:eastAsia="仿宋"/>
          <w:sz w:val="30"/>
          <w:szCs w:val="30"/>
        </w:rPr>
        <w:t>万元，较201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77.77</w:t>
      </w:r>
      <w:r>
        <w:rPr>
          <w:rFonts w:hint="eastAsia" w:ascii="仿宋" w:hAnsi="仿宋" w:eastAsia="仿宋"/>
          <w:sz w:val="30"/>
          <w:szCs w:val="30"/>
        </w:rPr>
        <w:t>万元，增长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55.24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津补贴及奖金支出有一定幅度增加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（二）商品和服务支出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106.27</w:t>
      </w:r>
      <w:r>
        <w:rPr>
          <w:rFonts w:hint="eastAsia" w:ascii="仿宋" w:hAnsi="仿宋" w:eastAsia="仿宋"/>
          <w:sz w:val="30"/>
          <w:szCs w:val="30"/>
        </w:rPr>
        <w:t>万元，较201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92.56</w:t>
      </w:r>
      <w:r>
        <w:rPr>
          <w:rFonts w:hint="eastAsia" w:ascii="仿宋" w:hAnsi="仿宋" w:eastAsia="仿宋"/>
          <w:sz w:val="30"/>
          <w:szCs w:val="30"/>
        </w:rPr>
        <w:t xml:space="preserve">  万元，增长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675.13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当年园区内零星维护维修、绿化保养、各种劳务等支出增幅较大。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（三）对个人和家庭补助支出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1.56</w:t>
      </w:r>
      <w:r>
        <w:rPr>
          <w:rFonts w:hint="eastAsia" w:ascii="仿宋" w:hAnsi="仿宋" w:eastAsia="仿宋"/>
          <w:sz w:val="30"/>
          <w:szCs w:val="30"/>
        </w:rPr>
        <w:t>万元，较201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1.26</w:t>
      </w:r>
      <w:r>
        <w:rPr>
          <w:rFonts w:hint="eastAsia" w:ascii="仿宋" w:hAnsi="仿宋" w:eastAsia="仿宋"/>
          <w:sz w:val="30"/>
          <w:szCs w:val="30"/>
        </w:rPr>
        <w:t>万元，增长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420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精准扶贫、新农村建设各各种走访慰问费用增幅较大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（四）资本性支出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5.14</w:t>
      </w:r>
      <w:r>
        <w:rPr>
          <w:rFonts w:hint="eastAsia" w:ascii="仿宋" w:hAnsi="仿宋" w:eastAsia="仿宋"/>
          <w:sz w:val="30"/>
          <w:szCs w:val="30"/>
        </w:rPr>
        <w:t>万元，较201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355.46</w:t>
      </w:r>
      <w:r>
        <w:rPr>
          <w:rFonts w:hint="eastAsia" w:ascii="仿宋" w:hAnsi="仿宋" w:eastAsia="仿宋"/>
          <w:sz w:val="30"/>
          <w:szCs w:val="30"/>
        </w:rPr>
        <w:t>万元，下降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98.57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当年财政拨入额度有限，资本性支出大多使用财政专户管理资金。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五、一般公共预算财政拨款“三公”经费支出决算情况说明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年度一般公共预算财政拨款“三公”经费支出年初预算数为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0.25</w:t>
      </w:r>
      <w:r>
        <w:rPr>
          <w:rFonts w:hint="eastAsia" w:ascii="仿宋" w:hAnsi="仿宋" w:eastAsia="仿宋"/>
          <w:sz w:val="30"/>
          <w:szCs w:val="30"/>
        </w:rPr>
        <w:t>万元，完成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年初</w:t>
      </w:r>
      <w:r>
        <w:rPr>
          <w:rFonts w:hint="eastAsia" w:ascii="仿宋" w:hAnsi="仿宋" w:eastAsia="仿宋"/>
          <w:sz w:val="30"/>
          <w:szCs w:val="30"/>
        </w:rPr>
        <w:t>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0.08</w:t>
      </w:r>
      <w:r>
        <w:rPr>
          <w:rFonts w:hint="eastAsia" w:ascii="仿宋" w:hAnsi="仿宋" w:eastAsia="仿宋"/>
          <w:sz w:val="30"/>
          <w:szCs w:val="30"/>
        </w:rPr>
        <w:t>万元，增长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47.06</w:t>
      </w:r>
      <w:r>
        <w:rPr>
          <w:rFonts w:hint="eastAsia" w:ascii="仿宋" w:hAnsi="仿宋" w:eastAsia="仿宋"/>
          <w:sz w:val="30"/>
          <w:szCs w:val="30"/>
        </w:rPr>
        <w:t>%，其中：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（一）因公出国（境）支出年初预算数为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万元，决算数为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0万</w:t>
      </w:r>
      <w:r>
        <w:rPr>
          <w:rFonts w:hint="eastAsia" w:ascii="仿宋" w:hAnsi="仿宋" w:eastAsia="仿宋"/>
          <w:sz w:val="30"/>
          <w:szCs w:val="30"/>
        </w:rPr>
        <w:t>元，完成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年初</w:t>
      </w:r>
      <w:r>
        <w:rPr>
          <w:rFonts w:hint="eastAsia" w:ascii="仿宋" w:hAnsi="仿宋" w:eastAsia="仿宋"/>
          <w:sz w:val="30"/>
          <w:szCs w:val="30"/>
        </w:rPr>
        <w:t>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年增加（减少）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万元，增长（下降）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（二）公务接待费支出年初预算数为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0.25</w:t>
      </w:r>
      <w:r>
        <w:rPr>
          <w:rFonts w:hint="eastAsia" w:ascii="仿宋" w:hAnsi="仿宋" w:eastAsia="仿宋"/>
          <w:sz w:val="30"/>
          <w:szCs w:val="30"/>
        </w:rPr>
        <w:t>万元，完成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年初</w:t>
      </w:r>
      <w:r>
        <w:rPr>
          <w:rFonts w:hint="eastAsia" w:ascii="仿宋" w:hAnsi="仿宋" w:eastAsia="仿宋"/>
          <w:sz w:val="30"/>
          <w:szCs w:val="30"/>
        </w:rPr>
        <w:t>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0.08</w:t>
      </w:r>
      <w:r>
        <w:rPr>
          <w:rFonts w:hint="eastAsia" w:ascii="仿宋" w:hAnsi="仿宋" w:eastAsia="仿宋"/>
          <w:sz w:val="30"/>
          <w:szCs w:val="30"/>
        </w:rPr>
        <w:t>万元，增长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47.06</w:t>
      </w:r>
      <w:r>
        <w:rPr>
          <w:rFonts w:hint="eastAsia" w:ascii="仿宋" w:hAnsi="仿宋" w:eastAsia="仿宋"/>
          <w:sz w:val="30"/>
          <w:szCs w:val="30"/>
        </w:rPr>
        <w:t>%。决算数较年初预算数</w:t>
      </w:r>
      <w:r>
        <w:rPr>
          <w:rFonts w:hint="eastAsia" w:ascii="仿宋" w:hAnsi="仿宋" w:eastAsia="仿宋"/>
          <w:sz w:val="30"/>
          <w:szCs w:val="30"/>
          <w:lang w:eastAsia="zh-CN"/>
        </w:rPr>
        <w:t>减少</w:t>
      </w:r>
      <w:r>
        <w:rPr>
          <w:rFonts w:hint="eastAsia" w:ascii="仿宋" w:hAnsi="仿宋" w:eastAsia="仿宋"/>
          <w:sz w:val="30"/>
          <w:szCs w:val="30"/>
        </w:rPr>
        <w:t>的主要原因是：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严格执行八项规定，控制“三公”经费支出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（三）公务用车购置及运行维护费支出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万元，其中公务用车购置年初预算数为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万元，完成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年初</w:t>
      </w:r>
      <w:r>
        <w:rPr>
          <w:rFonts w:hint="eastAsia" w:ascii="仿宋" w:hAnsi="仿宋" w:eastAsia="仿宋"/>
          <w:sz w:val="30"/>
          <w:szCs w:val="30"/>
        </w:rPr>
        <w:t>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年增加（减少）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万元，增长（下降）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%。公务用车运行维护费支出年初预算数为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万元，完成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年初</w:t>
      </w:r>
      <w:r>
        <w:rPr>
          <w:rFonts w:hint="eastAsia" w:ascii="仿宋" w:hAnsi="仿宋" w:eastAsia="仿宋"/>
          <w:sz w:val="30"/>
          <w:szCs w:val="30"/>
        </w:rPr>
        <w:t>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年增加（减少）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万元，增长（下降）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%。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六、机关运行经费支出情况说明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年度机关运行经费支出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111.4</w:t>
      </w:r>
      <w:r>
        <w:rPr>
          <w:rFonts w:hint="eastAsia" w:ascii="仿宋" w:hAnsi="仿宋" w:eastAsia="仿宋"/>
          <w:sz w:val="30"/>
          <w:szCs w:val="30"/>
        </w:rPr>
        <w:t>万元，较年初预算数减少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224.33</w:t>
      </w:r>
      <w:r>
        <w:rPr>
          <w:rFonts w:hint="eastAsia" w:ascii="仿宋" w:hAnsi="仿宋" w:eastAsia="仿宋"/>
          <w:sz w:val="30"/>
          <w:szCs w:val="30"/>
        </w:rPr>
        <w:t>万元，降低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66.82</w:t>
      </w:r>
      <w:r>
        <w:rPr>
          <w:rFonts w:hint="eastAsia" w:ascii="仿宋" w:hAnsi="仿宋" w:eastAsia="仿宋"/>
          <w:sz w:val="30"/>
          <w:szCs w:val="30"/>
        </w:rPr>
        <w:t xml:space="preserve"> 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厉行节约，节能降耗，防止公共费用跑冒滴漏现象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七、政府采购支出情况说明</w:t>
      </w:r>
    </w:p>
    <w:p>
      <w:pPr>
        <w:pStyle w:val="7"/>
        <w:spacing w:line="600" w:lineRule="atLeast"/>
        <w:ind w:firstLine="6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年度政府采购支出总额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4493.74</w:t>
      </w:r>
      <w:r>
        <w:rPr>
          <w:rFonts w:hint="eastAsia" w:ascii="仿宋" w:hAnsi="仿宋" w:eastAsia="仿宋"/>
          <w:sz w:val="30"/>
          <w:szCs w:val="30"/>
        </w:rPr>
        <w:t>万元，其中：政府采购货物支出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33.42</w:t>
      </w:r>
      <w:r>
        <w:rPr>
          <w:rFonts w:hint="eastAsia" w:ascii="仿宋" w:hAnsi="仿宋" w:eastAsia="仿宋"/>
          <w:sz w:val="30"/>
          <w:szCs w:val="30"/>
        </w:rPr>
        <w:t>万元、政府采购工程支出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3737.74</w:t>
      </w:r>
      <w:r>
        <w:rPr>
          <w:rFonts w:hint="eastAsia" w:ascii="仿宋" w:hAnsi="仿宋" w:eastAsia="仿宋"/>
          <w:sz w:val="30"/>
          <w:szCs w:val="30"/>
        </w:rPr>
        <w:t>万元、政府采购服务支出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722.57</w:t>
      </w:r>
      <w:r>
        <w:rPr>
          <w:rFonts w:hint="eastAsia" w:ascii="仿宋" w:hAnsi="仿宋" w:eastAsia="仿宋"/>
          <w:sz w:val="30"/>
          <w:szCs w:val="30"/>
        </w:rPr>
        <w:t>万元。授予中小企业合同金额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4265.43</w:t>
      </w:r>
      <w:r>
        <w:rPr>
          <w:rFonts w:hint="eastAsia" w:ascii="仿宋" w:hAnsi="仿宋" w:eastAsia="仿宋"/>
          <w:sz w:val="30"/>
          <w:szCs w:val="30"/>
        </w:rPr>
        <w:t xml:space="preserve">  万元，占政府采购支出总额的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94.92</w:t>
      </w:r>
      <w:r>
        <w:rPr>
          <w:rFonts w:hint="eastAsia" w:ascii="仿宋" w:hAnsi="仿宋" w:eastAsia="仿宋"/>
          <w:sz w:val="30"/>
          <w:szCs w:val="30"/>
        </w:rPr>
        <w:t>%，其中：授予小微企业合同金额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4265.43</w:t>
      </w:r>
      <w:r>
        <w:rPr>
          <w:rFonts w:hint="eastAsia" w:ascii="仿宋" w:hAnsi="仿宋" w:eastAsia="仿宋"/>
          <w:sz w:val="30"/>
          <w:szCs w:val="30"/>
        </w:rPr>
        <w:t>万元，占政府采购支出总额的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94.92</w:t>
      </w:r>
      <w:r>
        <w:rPr>
          <w:rFonts w:hint="eastAsia" w:ascii="仿宋" w:hAnsi="仿宋" w:eastAsia="仿宋"/>
          <w:sz w:val="30"/>
          <w:szCs w:val="30"/>
        </w:rPr>
        <w:t>%。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八、国有资产占用情况说明。</w:t>
      </w:r>
    </w:p>
    <w:p>
      <w:pPr>
        <w:ind w:firstLine="630"/>
        <w:jc w:val="left"/>
        <w:rPr>
          <w:rFonts w:hint="eastAsia"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截止201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kern w:val="0"/>
          <w:sz w:val="30"/>
          <w:szCs w:val="30"/>
        </w:rPr>
        <w:t>年12月31日，本部门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国有资产占用情况见公开09表《国有资产占用情况表》。其中车辆中的</w:t>
      </w:r>
      <w:r>
        <w:rPr>
          <w:rFonts w:hint="eastAsia" w:ascii="仿宋" w:hAnsi="仿宋" w:eastAsia="仿宋"/>
          <w:kern w:val="0"/>
          <w:sz w:val="30"/>
          <w:szCs w:val="30"/>
        </w:rPr>
        <w:t>应急保障用车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30"/>
          <w:szCs w:val="30"/>
        </w:rPr>
        <w:t>辆</w:t>
      </w:r>
      <w:r>
        <w:rPr>
          <w:rFonts w:hint="eastAsia" w:ascii="仿宋" w:hAnsi="仿宋" w:eastAsia="仿宋"/>
          <w:kern w:val="0"/>
          <w:sz w:val="30"/>
          <w:szCs w:val="30"/>
          <w:lang w:eastAsia="zh-CN"/>
        </w:rPr>
        <w:t>为本部门所属经济实体金鹿开发建设总公司业务用车</w:t>
      </w:r>
      <w:r>
        <w:rPr>
          <w:rFonts w:hint="eastAsia" w:ascii="仿宋" w:hAnsi="仿宋" w:eastAsia="仿宋"/>
          <w:kern w:val="0"/>
          <w:sz w:val="30"/>
          <w:szCs w:val="30"/>
        </w:rPr>
        <w:t>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九、预算绩效情况说明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>（一）绩效管理工作开展情况。</w:t>
      </w:r>
    </w:p>
    <w:p>
      <w:pPr>
        <w:autoSpaceDE w:val="0"/>
        <w:autoSpaceDN w:val="0"/>
        <w:adjustRightInd w:val="0"/>
        <w:spacing w:line="360" w:lineRule="auto"/>
        <w:ind w:firstLine="600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>根据预算绩效管理要求，我部门组织对</w:t>
      </w:r>
      <w:r>
        <w:rPr>
          <w:rFonts w:ascii="仿宋" w:hAnsi="仿宋" w:eastAsia="仿宋" w:cs="仿宋_GB2312"/>
          <w:kern w:val="0"/>
          <w:sz w:val="30"/>
          <w:szCs w:val="30"/>
        </w:rPr>
        <w:t>201</w:t>
      </w: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年度一般公共预算项目支出全面开展绩效自评，其中，一级项目  个，二级项目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   个，共涉及资金  万元，占一般公共预算项目支出总额的  %。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    组织对“</w:t>
      </w: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”、“</w:t>
      </w: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”等  个项目</w:t>
      </w: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>开展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了</w:t>
      </w: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>部门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评价，涉及一般公共预算支出  万元。其中，对“</w:t>
      </w: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”、“</w:t>
      </w: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”等项目分别委托“</w:t>
      </w: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”、“</w:t>
      </w: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”等第三方机构开展</w:t>
      </w:r>
      <w:r>
        <w:rPr>
          <w:rFonts w:hint="eastAsia" w:ascii="仿宋" w:hAnsi="仿宋" w:eastAsia="仿宋" w:cs="宋体"/>
          <w:kern w:val="0"/>
          <w:sz w:val="30"/>
          <w:szCs w:val="30"/>
        </w:rPr>
        <w:t>绩效评价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。从评价情况来看，……（请对预算绩效评价情况进行简单说明）。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    （二）部门决算中项目绩效自评结果（选择1至2个项目）。</w:t>
      </w:r>
    </w:p>
    <w:p>
      <w:pPr>
        <w:autoSpaceDE w:val="0"/>
        <w:autoSpaceDN w:val="0"/>
        <w:adjustRightInd w:val="0"/>
        <w:spacing w:line="360" w:lineRule="auto"/>
        <w:ind w:firstLine="585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>我部门今年在省级部门决算中反映</w:t>
      </w: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及</w:t>
      </w: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项目绩效自评结果。</w:t>
      </w:r>
    </w:p>
    <w:p>
      <w:pPr>
        <w:autoSpaceDE w:val="0"/>
        <w:autoSpaceDN w:val="0"/>
        <w:adjustRightInd w:val="0"/>
        <w:spacing w:line="360" w:lineRule="auto"/>
        <w:ind w:firstLine="585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项目绩效自评综述：根据年初设定的绩效目标，</w:t>
      </w:r>
      <w:r>
        <w:rPr>
          <w:rFonts w:ascii="仿宋" w:hAnsi="仿宋" w:eastAsia="仿宋" w:cs="仿宋_GB2312"/>
          <w:kern w:val="0"/>
          <w:sz w:val="30"/>
          <w:szCs w:val="30"/>
        </w:rPr>
        <w:t xml:space="preserve">XXX 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项目绩效自评得分为 </w:t>
      </w:r>
      <w:r>
        <w:rPr>
          <w:rFonts w:ascii="仿宋" w:hAnsi="仿宋" w:eastAsia="仿宋" w:cs="仿宋_GB2312"/>
          <w:kern w:val="0"/>
          <w:sz w:val="30"/>
          <w:szCs w:val="30"/>
        </w:rPr>
        <w:t xml:space="preserve"> 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分。项目全年预算数为  万元，执行数为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  万元，完成预算的  %。主要产出和效果：一是……；二是……。发现的问题及原因：一是……；二是……。下一步改进措施：一是……；二是……。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    </w:t>
      </w:r>
      <w:r>
        <w:rPr>
          <w:rFonts w:ascii="仿宋" w:hAnsi="仿宋" w:eastAsia="仿宋" w:cs="仿宋_GB2312"/>
          <w:kern w:val="0"/>
          <w:sz w:val="30"/>
          <w:szCs w:val="30"/>
        </w:rPr>
        <w:t>XXX</w:t>
      </w:r>
      <w:r>
        <w:rPr>
          <w:rFonts w:hint="eastAsia" w:ascii="仿宋" w:hAnsi="仿宋" w:eastAsia="仿宋" w:cs="仿宋_GB2312"/>
          <w:kern w:val="0"/>
          <w:sz w:val="30"/>
          <w:szCs w:val="30"/>
        </w:rPr>
        <w:t>项目绩效自评综述：……。</w:t>
      </w:r>
    </w:p>
    <w:p>
      <w:pPr>
        <w:autoSpaceDE w:val="0"/>
        <w:autoSpaceDN w:val="0"/>
        <w:adjustRightInd w:val="0"/>
        <w:spacing w:line="360" w:lineRule="auto"/>
        <w:ind w:firstLine="600"/>
        <w:jc w:val="left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>在公开项目绩效自评综述的同时，需公开《项目支出绩效自评表》。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第四部分  名词解释</w:t>
      </w:r>
    </w:p>
    <w:p>
      <w:pPr>
        <w:ind w:firstLine="600" w:firstLineChars="200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>无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Align="top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afterLines="0"/>
    </w:pPr>
    <w:r>
      <w:fldChar w:fldCharType="begin"/>
    </w:r>
    <w:r>
      <w:rPr>
        <w:rStyle w:val="6"/>
      </w:rPr>
      <w:instrText xml:space="preserve"> PAGE  </w:instrText>
    </w:r>
    <w:r>
      <w:fldChar w:fldCharType="separate"/>
    </w:r>
    <w:r>
      <w:rPr>
        <w:rStyle w:val="6"/>
      </w:rPr>
      <w:t>- 1 -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E7CF9"/>
    <w:rsid w:val="07976E27"/>
    <w:rsid w:val="0D5340D9"/>
    <w:rsid w:val="13CB0626"/>
    <w:rsid w:val="185B0F3F"/>
    <w:rsid w:val="333E7CF9"/>
    <w:rsid w:val="3BFE258D"/>
    <w:rsid w:val="3CD65F3A"/>
    <w:rsid w:val="668413F5"/>
    <w:rsid w:val="6B0E6F80"/>
    <w:rsid w:val="72F4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page number"/>
    <w:basedOn w:val="5"/>
    <w:uiPriority w:val="0"/>
  </w:style>
  <w:style w:type="paragraph" w:customStyle="1" w:styleId="7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8">
    <w:name w:val="No Spacing"/>
    <w:qFormat/>
    <w:uiPriority w:val="0"/>
    <w:pPr>
      <w:ind w:firstLine="200" w:firstLineChars="200"/>
    </w:pPr>
    <w:rPr>
      <w:rFonts w:ascii="Times New Roman" w:hAnsi="Times New Roman" w:eastAsia="仿宋_GB2312" w:cs="Times New Roman"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emf"/><Relationship Id="rId13" Type="http://schemas.openxmlformats.org/officeDocument/2006/relationships/image" Target="media/image8.emf"/><Relationship Id="rId12" Type="http://schemas.openxmlformats.org/officeDocument/2006/relationships/image" Target="media/image7.emf"/><Relationship Id="rId11" Type="http://schemas.openxmlformats.org/officeDocument/2006/relationships/image" Target="media/image6.emf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2020-10-19T01:41:00Z</dcterms:created>
  <dc:creator>Administrator</dc:creator>
  <cp:lastModifiedBy>Administrator</cp:lastModifiedBy>
  <dcterms:modified xsi:type="dcterms:W3CDTF">2020-10-20T08:29:58Z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