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2C80">
      <w:pPr>
        <w:spacing w:line="600" w:lineRule="exact"/>
        <w:rPr>
          <w:rFonts w:ascii="方正仿宋_GBK" w:hAnsi="仿宋" w:eastAsia="方正仿宋_GBK"/>
          <w:bCs/>
          <w:sz w:val="32"/>
          <w:szCs w:val="32"/>
        </w:rPr>
      </w:pPr>
    </w:p>
    <w:p w14:paraId="7040DBC3">
      <w:pPr>
        <w:spacing w:line="620" w:lineRule="exact"/>
        <w:jc w:val="center"/>
        <w:rPr>
          <w:rFonts w:hint="eastAsia" w:ascii="方正小标宋简体" w:hAnsi="方正小标宋简体" w:eastAsia="方正小标宋简体"/>
          <w:sz w:val="44"/>
          <w:szCs w:val="32"/>
          <w:lang w:eastAsia="zh-CN"/>
        </w:rPr>
      </w:pPr>
      <w:r>
        <w:rPr>
          <w:rFonts w:hint="eastAsia" w:ascii="方正小标宋简体" w:hAnsi="方正小标宋简体" w:eastAsia="方正小标宋简体"/>
          <w:sz w:val="44"/>
          <w:szCs w:val="32"/>
          <w:lang w:eastAsia="zh-CN"/>
        </w:rPr>
        <w:t>蛟塘镇202</w:t>
      </w:r>
      <w:r>
        <w:rPr>
          <w:rFonts w:hint="eastAsia" w:ascii="方正小标宋简体" w:hAnsi="方正小标宋简体" w:eastAsia="方正小标宋简体"/>
          <w:sz w:val="44"/>
          <w:szCs w:val="32"/>
          <w:lang w:val="en-US" w:eastAsia="zh-CN"/>
        </w:rPr>
        <w:t>4</w:t>
      </w:r>
      <w:r>
        <w:rPr>
          <w:rFonts w:hint="eastAsia" w:ascii="方正小标宋简体" w:hAnsi="方正小标宋简体" w:eastAsia="方正小标宋简体"/>
          <w:sz w:val="44"/>
          <w:szCs w:val="32"/>
          <w:lang w:eastAsia="zh-CN"/>
        </w:rPr>
        <w:t>年基层组织运转经费</w:t>
      </w:r>
    </w:p>
    <w:p w14:paraId="605AC15C">
      <w:pPr>
        <w:spacing w:line="620" w:lineRule="exact"/>
        <w:jc w:val="center"/>
        <w:rPr>
          <w:rFonts w:hint="eastAsia" w:ascii="方正小标宋简体" w:hAnsi="方正小标宋简体" w:eastAsia="方正小标宋简体"/>
          <w:sz w:val="44"/>
          <w:szCs w:val="32"/>
        </w:rPr>
      </w:pPr>
      <w:r>
        <w:rPr>
          <w:rFonts w:hint="eastAsia" w:ascii="方正小标宋简体" w:hAnsi="方正小标宋简体" w:eastAsia="方正小标宋简体"/>
          <w:sz w:val="44"/>
          <w:szCs w:val="32"/>
        </w:rPr>
        <w:t>绩效自评报告</w:t>
      </w:r>
    </w:p>
    <w:p w14:paraId="1ED5F2FE">
      <w:pPr>
        <w:rPr>
          <w:rFonts w:hint="eastAsia" w:ascii="黑体" w:hAnsi="仿宋" w:eastAsia="黑体"/>
          <w:bCs/>
          <w:sz w:val="32"/>
          <w:szCs w:val="32"/>
        </w:rPr>
      </w:pPr>
    </w:p>
    <w:p w14:paraId="37FDA5AA">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一、基本情况</w:t>
      </w:r>
    </w:p>
    <w:p w14:paraId="417167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（一）项目概况</w:t>
      </w:r>
    </w:p>
    <w:p w14:paraId="2252A9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为提高基层组织运转能力，兜住乡镇“三保”支出底线，</w:t>
      </w:r>
    </w:p>
    <w:p w14:paraId="6AF746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对蛟塘镇八村一居委会投入基层组织运转保障经费市级财政补助资金共计拨入45万元。</w:t>
      </w:r>
    </w:p>
    <w:p w14:paraId="1D2B6E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（二）绩效目标 </w:t>
      </w:r>
    </w:p>
    <w:p w14:paraId="15C7D5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绩效总体目标：提高基层组织运转能力，兜住乡镇“三保”支出底线。</w:t>
      </w:r>
    </w:p>
    <w:p w14:paraId="682F5162">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二、绩效评价工作开展情况</w:t>
      </w:r>
    </w:p>
    <w:p w14:paraId="390C3F53">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p>
    <w:p w14:paraId="07F90F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为提高基层组织运转保障水平，兜住乡镇“三保”支出底线，</w:t>
      </w:r>
      <w:r>
        <w:rPr>
          <w:rFonts w:hint="eastAsia" w:ascii="仿宋_GB2312" w:hAnsi="仿宋_GB2312" w:eastAsia="仿宋_GB2312"/>
          <w:color w:val="auto"/>
          <w:sz w:val="32"/>
          <w:lang w:val="en-US" w:eastAsia="zh-CN"/>
        </w:rPr>
        <w:t>根据庐山市财政局《关于下达2024年度基层组织运转经费的通知》(庐财行指【2024】11号)文件精神，</w:t>
      </w:r>
      <w:r>
        <w:rPr>
          <w:rFonts w:hint="eastAsia" w:ascii="仿宋_GB2312" w:hAnsi="仿宋_GB2312" w:eastAsia="仿宋_GB2312"/>
          <w:sz w:val="32"/>
          <w:lang w:val="en-US" w:eastAsia="zh-CN"/>
        </w:rPr>
        <w:t>下达我镇八村一居委会基层组织运转经费，保障基层组织正常运转。对资金使用和效益进行客观评价，强化资金使用管理意识、提升资金管理水平和工作质量，为上级政策决策提供科学客观依据。</w:t>
      </w:r>
    </w:p>
    <w:p w14:paraId="275A05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（二）绩效评价原则、评价指标体系、评价方法及评价标准</w:t>
      </w:r>
    </w:p>
    <w:p w14:paraId="432D45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评价遵循实事求是、全面客观的原则。评价方法按照上级文件要求，采取定性、定量分析并量化打分的方式。具体指标如下：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1471"/>
        <w:gridCol w:w="2385"/>
        <w:gridCol w:w="3135"/>
        <w:gridCol w:w="950"/>
      </w:tblGrid>
      <w:tr w14:paraId="7CBC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39" w:type="pct"/>
            <w:vMerge w:val="restart"/>
            <w:shd w:val="clear" w:color="auto" w:fill="auto"/>
            <w:textDirection w:val="tbRlV"/>
            <w:vAlign w:val="center"/>
          </w:tcPr>
          <w:p w14:paraId="50B468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绩效指标</w:t>
            </w:r>
          </w:p>
        </w:tc>
        <w:tc>
          <w:tcPr>
            <w:tcW w:w="863" w:type="pct"/>
            <w:vMerge w:val="restart"/>
            <w:shd w:val="clear" w:color="auto" w:fill="auto"/>
            <w:vAlign w:val="center"/>
          </w:tcPr>
          <w:p w14:paraId="62031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一级指标</w:t>
            </w:r>
          </w:p>
        </w:tc>
        <w:tc>
          <w:tcPr>
            <w:tcW w:w="1399" w:type="pct"/>
            <w:vMerge w:val="restart"/>
            <w:shd w:val="clear" w:color="auto" w:fill="auto"/>
            <w:vAlign w:val="center"/>
          </w:tcPr>
          <w:p w14:paraId="504C6D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二级指标</w:t>
            </w:r>
          </w:p>
        </w:tc>
        <w:tc>
          <w:tcPr>
            <w:tcW w:w="1840" w:type="pct"/>
            <w:vMerge w:val="restart"/>
            <w:shd w:val="clear" w:color="auto" w:fill="auto"/>
            <w:vAlign w:val="center"/>
          </w:tcPr>
          <w:p w14:paraId="696CED2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三级指标</w:t>
            </w:r>
          </w:p>
        </w:tc>
        <w:tc>
          <w:tcPr>
            <w:tcW w:w="557" w:type="pct"/>
            <w:vMerge w:val="restart"/>
            <w:shd w:val="clear" w:color="auto" w:fill="auto"/>
            <w:vAlign w:val="center"/>
          </w:tcPr>
          <w:p w14:paraId="1EAD3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得分</w:t>
            </w:r>
          </w:p>
        </w:tc>
      </w:tr>
      <w:tr w14:paraId="7B4F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6426385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14:paraId="43F6BB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vMerge w:val="continue"/>
            <w:shd w:val="clear" w:color="auto" w:fill="auto"/>
            <w:vAlign w:val="center"/>
          </w:tcPr>
          <w:p w14:paraId="0D5734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c>
          <w:tcPr>
            <w:tcW w:w="1840" w:type="pct"/>
            <w:vMerge w:val="continue"/>
            <w:shd w:val="clear" w:color="auto" w:fill="auto"/>
            <w:vAlign w:val="center"/>
          </w:tcPr>
          <w:p w14:paraId="7415DD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c>
          <w:tcPr>
            <w:tcW w:w="557" w:type="pct"/>
            <w:vMerge w:val="continue"/>
            <w:shd w:val="clear" w:color="auto" w:fill="auto"/>
            <w:vAlign w:val="center"/>
          </w:tcPr>
          <w:p w14:paraId="1CC6C7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r>
      <w:tr w14:paraId="5104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197D445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restart"/>
            <w:shd w:val="clear" w:color="auto" w:fill="auto"/>
            <w:vAlign w:val="center"/>
          </w:tcPr>
          <w:p w14:paraId="379B1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产出指标</w:t>
            </w:r>
          </w:p>
        </w:tc>
        <w:tc>
          <w:tcPr>
            <w:tcW w:w="1399" w:type="pct"/>
            <w:shd w:val="clear" w:color="auto" w:fill="auto"/>
            <w:vAlign w:val="center"/>
          </w:tcPr>
          <w:p w14:paraId="302060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数量指标</w:t>
            </w:r>
          </w:p>
        </w:tc>
        <w:tc>
          <w:tcPr>
            <w:tcW w:w="1840" w:type="pct"/>
            <w:shd w:val="clear" w:color="auto" w:fill="auto"/>
            <w:vAlign w:val="center"/>
          </w:tcPr>
          <w:p w14:paraId="4267B8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行政村数量</w:t>
            </w:r>
          </w:p>
        </w:tc>
        <w:tc>
          <w:tcPr>
            <w:tcW w:w="950" w:type="dxa"/>
            <w:shd w:val="clear" w:color="auto" w:fill="auto"/>
            <w:vAlign w:val="center"/>
          </w:tcPr>
          <w:p w14:paraId="401941D9">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13</w:t>
            </w:r>
          </w:p>
        </w:tc>
      </w:tr>
      <w:tr w14:paraId="5DD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58E9AF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14:paraId="2A3BF73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14:paraId="07B76E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质量指标</w:t>
            </w:r>
          </w:p>
        </w:tc>
        <w:tc>
          <w:tcPr>
            <w:tcW w:w="1840" w:type="pct"/>
            <w:shd w:val="clear" w:color="auto" w:fill="auto"/>
            <w:vAlign w:val="center"/>
          </w:tcPr>
          <w:p w14:paraId="7D18BC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资金使用效率</w:t>
            </w:r>
          </w:p>
        </w:tc>
        <w:tc>
          <w:tcPr>
            <w:tcW w:w="950" w:type="dxa"/>
            <w:shd w:val="clear" w:color="auto" w:fill="auto"/>
            <w:vAlign w:val="center"/>
          </w:tcPr>
          <w:p w14:paraId="1622A27C">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13</w:t>
            </w:r>
          </w:p>
        </w:tc>
      </w:tr>
      <w:tr w14:paraId="18C3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0C2BD1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14:paraId="779F033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14:paraId="087CEA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时效指标</w:t>
            </w:r>
          </w:p>
        </w:tc>
        <w:tc>
          <w:tcPr>
            <w:tcW w:w="1840" w:type="pct"/>
            <w:shd w:val="clear" w:color="auto" w:fill="auto"/>
            <w:vAlign w:val="center"/>
          </w:tcPr>
          <w:p w14:paraId="61FAD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资金下达及时率</w:t>
            </w:r>
          </w:p>
        </w:tc>
        <w:tc>
          <w:tcPr>
            <w:tcW w:w="950" w:type="dxa"/>
            <w:shd w:val="clear" w:color="auto" w:fill="auto"/>
            <w:vAlign w:val="center"/>
          </w:tcPr>
          <w:p w14:paraId="42ADC61C">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13</w:t>
            </w:r>
          </w:p>
        </w:tc>
      </w:tr>
      <w:tr w14:paraId="363E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12FDAC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14:paraId="444F866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14:paraId="33AF04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成本指标</w:t>
            </w:r>
          </w:p>
        </w:tc>
        <w:tc>
          <w:tcPr>
            <w:tcW w:w="1840" w:type="pct"/>
            <w:shd w:val="clear" w:color="auto" w:fill="auto"/>
            <w:vAlign w:val="center"/>
          </w:tcPr>
          <w:p w14:paraId="05E5CC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财政拨款金额</w:t>
            </w:r>
          </w:p>
        </w:tc>
        <w:tc>
          <w:tcPr>
            <w:tcW w:w="950" w:type="dxa"/>
            <w:shd w:val="clear" w:color="auto" w:fill="auto"/>
            <w:vAlign w:val="center"/>
          </w:tcPr>
          <w:p w14:paraId="39D1B116">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13</w:t>
            </w:r>
          </w:p>
        </w:tc>
      </w:tr>
      <w:tr w14:paraId="5500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26CA45B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restart"/>
            <w:shd w:val="clear" w:color="auto" w:fill="auto"/>
            <w:vAlign w:val="center"/>
          </w:tcPr>
          <w:p w14:paraId="4C652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效益指标</w:t>
            </w:r>
          </w:p>
        </w:tc>
        <w:tc>
          <w:tcPr>
            <w:tcW w:w="1399" w:type="pct"/>
            <w:shd w:val="clear" w:color="auto" w:fill="auto"/>
            <w:vAlign w:val="center"/>
          </w:tcPr>
          <w:p w14:paraId="0657C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社会效益指标</w:t>
            </w:r>
          </w:p>
        </w:tc>
        <w:tc>
          <w:tcPr>
            <w:tcW w:w="1840" w:type="pct"/>
            <w:shd w:val="clear" w:color="auto" w:fill="auto"/>
            <w:vAlign w:val="center"/>
          </w:tcPr>
          <w:p w14:paraId="32647A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提高基层组织运转能力</w:t>
            </w:r>
          </w:p>
        </w:tc>
        <w:tc>
          <w:tcPr>
            <w:tcW w:w="950" w:type="dxa"/>
            <w:shd w:val="clear" w:color="auto" w:fill="auto"/>
            <w:vAlign w:val="center"/>
          </w:tcPr>
          <w:p w14:paraId="577C32AC">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12</w:t>
            </w:r>
          </w:p>
        </w:tc>
      </w:tr>
      <w:tr w14:paraId="2A78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14:paraId="6ADBF61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14:paraId="443E0DB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14:paraId="368FC5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可持续影响指标</w:t>
            </w:r>
          </w:p>
        </w:tc>
        <w:tc>
          <w:tcPr>
            <w:tcW w:w="1840" w:type="pct"/>
            <w:shd w:val="clear" w:color="auto" w:fill="auto"/>
            <w:vAlign w:val="center"/>
          </w:tcPr>
          <w:p w14:paraId="021D5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提高基层组织运转保障水平</w:t>
            </w:r>
          </w:p>
        </w:tc>
        <w:tc>
          <w:tcPr>
            <w:tcW w:w="950" w:type="dxa"/>
            <w:shd w:val="clear" w:color="auto" w:fill="auto"/>
            <w:vAlign w:val="center"/>
          </w:tcPr>
          <w:p w14:paraId="2D291864">
            <w:pPr>
              <w:keepNext w:val="0"/>
              <w:keepLines w:val="0"/>
              <w:widowControl/>
              <w:suppressLineNumbers w:val="0"/>
              <w:jc w:val="center"/>
              <w:textAlignment w:val="center"/>
              <w:rPr>
                <w:rFonts w:hint="default"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12</w:t>
            </w:r>
          </w:p>
        </w:tc>
      </w:tr>
      <w:tr w14:paraId="232F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shd w:val="clear" w:color="auto" w:fill="auto"/>
            <w:textDirection w:val="tbRlV"/>
            <w:vAlign w:val="center"/>
          </w:tcPr>
          <w:p w14:paraId="32C200A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shd w:val="clear" w:color="auto" w:fill="auto"/>
            <w:vAlign w:val="center"/>
          </w:tcPr>
          <w:p w14:paraId="32514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满意度指标</w:t>
            </w:r>
          </w:p>
        </w:tc>
        <w:tc>
          <w:tcPr>
            <w:tcW w:w="1399" w:type="pct"/>
            <w:shd w:val="clear" w:color="auto" w:fill="auto"/>
            <w:vAlign w:val="center"/>
          </w:tcPr>
          <w:p w14:paraId="741308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服务对象满意度指标</w:t>
            </w:r>
          </w:p>
        </w:tc>
        <w:tc>
          <w:tcPr>
            <w:tcW w:w="1840" w:type="pct"/>
            <w:shd w:val="clear" w:color="auto" w:fill="auto"/>
            <w:vAlign w:val="center"/>
          </w:tcPr>
          <w:p w14:paraId="2AA999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相关人员满意度</w:t>
            </w:r>
          </w:p>
        </w:tc>
        <w:tc>
          <w:tcPr>
            <w:tcW w:w="950" w:type="dxa"/>
            <w:shd w:val="clear" w:color="auto" w:fill="auto"/>
            <w:vAlign w:val="center"/>
          </w:tcPr>
          <w:p w14:paraId="1AAD4410">
            <w:pPr>
              <w:keepNext w:val="0"/>
              <w:keepLines w:val="0"/>
              <w:widowControl/>
              <w:suppressLineNumbers w:val="0"/>
              <w:jc w:val="center"/>
              <w:textAlignment w:val="center"/>
              <w:rPr>
                <w:rFonts w:hint="eastAsia" w:ascii="仿宋" w:hAnsi="仿宋" w:eastAsia="仿宋" w:cs="仿宋"/>
                <w:sz w:val="24"/>
                <w:szCs w:val="21"/>
                <w:lang w:val="en-US" w:eastAsia="zh-CN"/>
              </w:rPr>
            </w:pPr>
            <w:r>
              <w:rPr>
                <w:rFonts w:hint="eastAsia" w:ascii="仿宋" w:hAnsi="仿宋" w:eastAsia="仿宋" w:cs="仿宋"/>
                <w:i w:val="0"/>
                <w:iCs w:val="0"/>
                <w:color w:val="000000"/>
                <w:kern w:val="0"/>
                <w:sz w:val="22"/>
                <w:szCs w:val="22"/>
                <w:u w:val="none"/>
                <w:lang w:val="en-US" w:eastAsia="zh-CN" w:bidi="ar"/>
              </w:rPr>
              <w:t>13</w:t>
            </w:r>
          </w:p>
        </w:tc>
      </w:tr>
    </w:tbl>
    <w:p w14:paraId="1073D1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p>
    <w:p w14:paraId="2EFCBB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2E8535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1.前期准备</w:t>
      </w:r>
    </w:p>
    <w:p w14:paraId="511DA6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组织相关业务人员集中精力、时间，认真领会上级文件精神和评价意义，收集2024年基层组织运转经费资金使用相关材料。</w:t>
      </w:r>
    </w:p>
    <w:p w14:paraId="37A8C1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2.分析评价</w:t>
      </w:r>
    </w:p>
    <w:p w14:paraId="539CFB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按照上级文件要求，对一二三级评价体系认真研读，对自评内容查找依据并逐条分析、评价。</w:t>
      </w:r>
    </w:p>
    <w:p w14:paraId="31374F1B">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三、综合评价情况及评价结论（附相关评分表）</w:t>
      </w:r>
    </w:p>
    <w:p w14:paraId="5573817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综合各项指标，我镇财务管理健全规范，没有发生违法违规现象，2024年的项目支出绩效自我评价得到99分，自评结果是优秀。我们将在以后的工作中加强预算管理，严格控制各项经费的开支，提高经费的使用效率。</w:t>
      </w:r>
    </w:p>
    <w:p w14:paraId="1E06AA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具体如下：</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631"/>
        <w:gridCol w:w="1421"/>
        <w:gridCol w:w="2055"/>
        <w:gridCol w:w="1125"/>
        <w:gridCol w:w="1113"/>
        <w:gridCol w:w="629"/>
        <w:gridCol w:w="806"/>
      </w:tblGrid>
      <w:tr w14:paraId="714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A40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8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2D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17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6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7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7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4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30BB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ACB3EC">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1AE7">
            <w:pPr>
              <w:jc w:val="center"/>
              <w:rPr>
                <w:rFonts w:hint="eastAsia" w:ascii="仿宋" w:hAnsi="仿宋" w:eastAsia="仿宋" w:cs="仿宋"/>
                <w:i w:val="0"/>
                <w:iCs w:val="0"/>
                <w:color w:val="000000"/>
                <w:sz w:val="21"/>
                <w:szCs w:val="21"/>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83D9">
            <w:pPr>
              <w:jc w:val="center"/>
              <w:rPr>
                <w:rFonts w:hint="eastAsia" w:ascii="仿宋" w:hAnsi="仿宋" w:eastAsia="仿宋" w:cs="仿宋"/>
                <w:i w:val="0"/>
                <w:iCs w:val="0"/>
                <w:color w:val="000000"/>
                <w:sz w:val="21"/>
                <w:szCs w:val="21"/>
                <w:u w:val="none"/>
              </w:rPr>
            </w:pPr>
          </w:p>
        </w:tc>
        <w:tc>
          <w:tcPr>
            <w:tcW w:w="1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E31A">
            <w:pPr>
              <w:jc w:val="center"/>
              <w:rPr>
                <w:rFonts w:hint="eastAsia" w:ascii="仿宋" w:hAnsi="仿宋" w:eastAsia="仿宋" w:cs="仿宋"/>
                <w:i w:val="0"/>
                <w:iCs w:val="0"/>
                <w:color w:val="000000"/>
                <w:sz w:val="21"/>
                <w:szCs w:val="21"/>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E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指标值</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E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完成值</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F4AB">
            <w:pPr>
              <w:jc w:val="center"/>
              <w:rPr>
                <w:rFonts w:hint="eastAsia" w:ascii="仿宋" w:hAnsi="仿宋" w:eastAsia="仿宋" w:cs="仿宋"/>
                <w:i w:val="0"/>
                <w:iCs w:val="0"/>
                <w:color w:val="000000"/>
                <w:sz w:val="21"/>
                <w:szCs w:val="21"/>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7E48">
            <w:pPr>
              <w:jc w:val="center"/>
              <w:rPr>
                <w:rFonts w:hint="eastAsia" w:ascii="仿宋" w:hAnsi="仿宋" w:eastAsia="仿宋" w:cs="仿宋"/>
                <w:i w:val="0"/>
                <w:iCs w:val="0"/>
                <w:color w:val="000000"/>
                <w:sz w:val="21"/>
                <w:szCs w:val="21"/>
                <w:u w:val="none"/>
              </w:rPr>
            </w:pPr>
          </w:p>
        </w:tc>
      </w:tr>
      <w:tr w14:paraId="219E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1218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restart"/>
            <w:tcBorders>
              <w:top w:val="single" w:color="000000" w:sz="4" w:space="0"/>
              <w:left w:val="single" w:color="000000" w:sz="4" w:space="0"/>
              <w:bottom w:val="nil"/>
              <w:right w:val="single" w:color="000000" w:sz="4" w:space="0"/>
            </w:tcBorders>
            <w:shd w:val="clear" w:color="auto" w:fill="auto"/>
            <w:vAlign w:val="center"/>
          </w:tcPr>
          <w:p w14:paraId="60988F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产出指标</w:t>
            </w:r>
          </w:p>
        </w:tc>
        <w:tc>
          <w:tcPr>
            <w:tcW w:w="834" w:type="pct"/>
            <w:tcBorders>
              <w:top w:val="single" w:color="000000" w:sz="4" w:space="0"/>
              <w:left w:val="single" w:color="000000" w:sz="4" w:space="0"/>
              <w:bottom w:val="nil"/>
              <w:right w:val="single" w:color="000000" w:sz="4" w:space="0"/>
            </w:tcBorders>
            <w:shd w:val="clear" w:color="auto" w:fill="auto"/>
            <w:vAlign w:val="center"/>
          </w:tcPr>
          <w:p w14:paraId="12A527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B7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保障行政村数量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DF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≤9个</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95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≤9个</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B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DF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39B0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2ED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389043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A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资金使用效率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9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62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E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A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745E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8EF6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416CF8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9F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时效指标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3C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资金下达及时率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16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82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E5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EF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3F07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EF1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382F50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4" w:type="pct"/>
            <w:tcBorders>
              <w:top w:val="single" w:color="000000" w:sz="4" w:space="0"/>
              <w:left w:val="single" w:color="000000" w:sz="4" w:space="0"/>
              <w:bottom w:val="nil"/>
              <w:right w:val="single" w:color="000000" w:sz="4" w:space="0"/>
            </w:tcBorders>
            <w:shd w:val="clear" w:color="auto" w:fill="auto"/>
            <w:vAlign w:val="center"/>
          </w:tcPr>
          <w:p w14:paraId="15EBB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成本指标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F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财政拨款金额</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F0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≤45万元</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BE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≤45万元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99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31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6BC2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02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F0B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效益指标</w:t>
            </w:r>
          </w:p>
        </w:tc>
        <w:tc>
          <w:tcPr>
            <w:tcW w:w="834" w:type="pct"/>
            <w:tcBorders>
              <w:top w:val="single" w:color="000000" w:sz="4" w:space="0"/>
              <w:left w:val="single" w:color="000000" w:sz="4" w:space="0"/>
              <w:bottom w:val="nil"/>
              <w:right w:val="single" w:color="000000" w:sz="4" w:space="0"/>
            </w:tcBorders>
            <w:shd w:val="clear" w:color="auto" w:fill="auto"/>
            <w:vAlign w:val="center"/>
          </w:tcPr>
          <w:p w14:paraId="27065F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4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提高基层组织运转能力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25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有效提升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30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有效提升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C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r>
      <w:tr w14:paraId="16C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07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3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A6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6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提高基层组织运转保障水平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C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有效提升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2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有效提升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4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6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r>
      <w:tr w14:paraId="2659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020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71" w:type="pct"/>
            <w:tcBorders>
              <w:top w:val="single" w:color="000000" w:sz="4" w:space="0"/>
              <w:left w:val="single" w:color="000000" w:sz="4" w:space="0"/>
              <w:bottom w:val="nil"/>
              <w:right w:val="single" w:color="000000" w:sz="4" w:space="0"/>
            </w:tcBorders>
            <w:shd w:val="clear" w:color="auto" w:fill="auto"/>
            <w:vAlign w:val="center"/>
          </w:tcPr>
          <w:p w14:paraId="46DE0F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满意度指标</w:t>
            </w:r>
          </w:p>
        </w:tc>
        <w:tc>
          <w:tcPr>
            <w:tcW w:w="834" w:type="pct"/>
            <w:tcBorders>
              <w:top w:val="nil"/>
              <w:left w:val="single" w:color="000000" w:sz="4" w:space="0"/>
              <w:bottom w:val="nil"/>
              <w:right w:val="nil"/>
            </w:tcBorders>
            <w:shd w:val="clear" w:color="auto" w:fill="auto"/>
            <w:vAlign w:val="center"/>
          </w:tcPr>
          <w:p w14:paraId="284DC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7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相关人员满意度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4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56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1122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A69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71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16A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99</w:t>
            </w:r>
          </w:p>
        </w:tc>
      </w:tr>
    </w:tbl>
    <w:p w14:paraId="414EBF37">
      <w:pPr>
        <w:ind w:firstLine="640" w:firstLineChars="200"/>
        <w:rPr>
          <w:rFonts w:hint="default" w:ascii="宋体" w:hAnsi="宋体"/>
          <w:bCs/>
          <w:sz w:val="32"/>
          <w:szCs w:val="32"/>
          <w:lang w:val="en-US" w:eastAsia="zh-CN"/>
        </w:rPr>
      </w:pPr>
    </w:p>
    <w:p w14:paraId="242559E3">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四、绩效评价指标分析情况</w:t>
      </w:r>
    </w:p>
    <w:p w14:paraId="4B2E76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（一）资金情况分析</w:t>
      </w:r>
    </w:p>
    <w:p w14:paraId="558CB1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1.资金到位情况</w:t>
      </w:r>
    </w:p>
    <w:p w14:paraId="611080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2024年度上级拨付资金2024年基层组织运转经费</w:t>
      </w:r>
      <w:r>
        <w:rPr>
          <w:rFonts w:hint="eastAsia" w:ascii="仿宋_GB2312" w:hAnsi="仿宋_GB2312" w:eastAsia="仿宋_GB2312"/>
          <w:sz w:val="32"/>
          <w:lang w:eastAsia="zh-CN"/>
        </w:rPr>
        <w:t>已于</w:t>
      </w:r>
      <w:r>
        <w:rPr>
          <w:rFonts w:hint="eastAsia" w:ascii="仿宋_GB2312" w:hAnsi="仿宋_GB2312" w:eastAsia="仿宋_GB2312"/>
          <w:sz w:val="32"/>
          <w:lang w:val="en-US" w:eastAsia="zh-CN"/>
        </w:rPr>
        <w:t>9月拨付到位。</w:t>
      </w:r>
    </w:p>
    <w:p w14:paraId="13A5C5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2.资金使用情况</w:t>
      </w:r>
    </w:p>
    <w:p w14:paraId="767F0A1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2024年度上级下拨我镇基层组织运转</w:t>
      </w:r>
      <w:bookmarkStart w:id="0" w:name="_GoBack"/>
      <w:bookmarkEnd w:id="0"/>
      <w:r>
        <w:rPr>
          <w:rFonts w:hint="eastAsia" w:ascii="仿宋_GB2312" w:hAnsi="仿宋_GB2312" w:eastAsia="仿宋_GB2312"/>
          <w:sz w:val="32"/>
          <w:lang w:val="en-US" w:eastAsia="zh-CN"/>
        </w:rPr>
        <w:t>经费全部用于基层组织运转支出。</w:t>
      </w:r>
    </w:p>
    <w:p w14:paraId="6BCBCB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3.资金管理情况</w:t>
      </w:r>
    </w:p>
    <w:p w14:paraId="2F2572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按照相关规定，我镇一直以来严格资金管理，资金支出范围、建设内容均符合国家和省有关规定。做到专账管理，分账核算，确保专款专用。整治和查处基层侵害群众利益的不正之风和腐败问题，有效防止项目资金管理使用过程中违法违规违纪现象的发生。通过自查，未发现我镇存在利用资金、项目管理权，贪污、受贿、民争利的问题，资金拨付程序均符合有关规定。</w:t>
      </w:r>
    </w:p>
    <w:p w14:paraId="219720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通过以上我们分析，我镇2024年基层组织运转保障支出专项资金使用管理情况良好。</w:t>
      </w:r>
    </w:p>
    <w:p w14:paraId="76B713A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（二）实施情况分析</w:t>
      </w:r>
    </w:p>
    <w:p w14:paraId="104892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bCs/>
          <w:sz w:val="32"/>
          <w:szCs w:val="32"/>
          <w:lang w:eastAsia="zh-CN"/>
        </w:rPr>
      </w:pPr>
      <w:r>
        <w:rPr>
          <w:rFonts w:hint="eastAsia" w:ascii="仿宋_GB2312" w:hAnsi="仿宋_GB2312" w:eastAsia="仿宋_GB2312"/>
          <w:sz w:val="32"/>
          <w:lang w:val="en-US" w:eastAsia="zh-CN"/>
        </w:rPr>
        <w:t>为保障道专项补助项目的顺利开展，提高项目资金的使用效率，成立财政支出绩效评价工作领导小组，全面负责项目工作开展及其资金使用。</w:t>
      </w:r>
    </w:p>
    <w:p w14:paraId="449E1728">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五、主要经验及做法、存在的问题和建议</w:t>
      </w:r>
    </w:p>
    <w:p w14:paraId="7C3817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做法：</w:t>
      </w:r>
    </w:p>
    <w:p w14:paraId="7E510F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1、加强领导，建立健全组织保障体系。</w:t>
      </w:r>
    </w:p>
    <w:p w14:paraId="412553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2、建章立制，健全工作机制。</w:t>
      </w:r>
    </w:p>
    <w:p w14:paraId="3D5B10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存在的问题：</w:t>
      </w:r>
    </w:p>
    <w:p w14:paraId="1B1DA2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各村发展集体经济能力较薄弱，集体经济收入较少，无法完全实现自给自足。</w:t>
      </w:r>
    </w:p>
    <w:p w14:paraId="5C9B3F02">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六、有关建议：</w:t>
      </w:r>
    </w:p>
    <w:p w14:paraId="0175AF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要统一思想认识，增强发展村级集体经济的紧迫感和自觉性，为村集体经济提供宽松的发展环境，选优配强村领导班子，要加大村干部教育培训力度，提高村干部发展集体经济的能力，带动全村经济发展。</w:t>
      </w:r>
    </w:p>
    <w:p w14:paraId="1BB2E774">
      <w:pPr>
        <w:spacing w:line="620" w:lineRule="exact"/>
        <w:ind w:firstLine="640" w:firstLineChars="200"/>
        <w:rPr>
          <w:rFonts w:hint="default" w:ascii="黑体" w:hAnsi="黑体" w:eastAsia="黑体"/>
          <w:sz w:val="32"/>
          <w:lang w:val="en-US" w:eastAsia="zh-CN"/>
        </w:rPr>
      </w:pPr>
      <w:r>
        <w:rPr>
          <w:rFonts w:hint="eastAsia" w:ascii="黑体" w:hAnsi="黑体" w:eastAsia="黑体"/>
          <w:sz w:val="32"/>
          <w:lang w:val="en-US" w:eastAsia="zh-CN"/>
        </w:rPr>
        <w:t>七、其他需要说明的问题</w:t>
      </w:r>
    </w:p>
    <w:p w14:paraId="50266E4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无。</w:t>
      </w:r>
    </w:p>
    <w:p w14:paraId="2CA567B4">
      <w:pPr>
        <w:numPr>
          <w:ilvl w:val="0"/>
          <w:numId w:val="0"/>
        </w:numPr>
        <w:ind w:firstLine="640" w:firstLineChars="200"/>
        <w:rPr>
          <w:rFonts w:hint="default" w:ascii="宋体" w:hAnsi="宋体"/>
          <w:bCs/>
          <w:sz w:val="32"/>
          <w:szCs w:val="32"/>
          <w:lang w:val="en-US" w:eastAsia="zh-CN"/>
        </w:rPr>
      </w:pPr>
    </w:p>
    <w:p w14:paraId="7E00DCF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8115">
    <w:pPr>
      <w:pStyle w:val="2"/>
      <w:jc w:val="center"/>
    </w:pPr>
    <w:r>
      <w:fldChar w:fldCharType="begin"/>
    </w:r>
    <w:r>
      <w:instrText xml:space="preserve"> PAGE   \* MERGEFORMAT </w:instrText>
    </w:r>
    <w:r>
      <w:fldChar w:fldCharType="separate"/>
    </w:r>
    <w:r>
      <w:rPr>
        <w:lang w:val="zh-CN"/>
      </w:rPr>
      <w:t>5</w:t>
    </w:r>
    <w:r>
      <w:rPr>
        <w:lang w:val="zh-CN"/>
      </w:rPr>
      <w:fldChar w:fldCharType="end"/>
    </w:r>
  </w:p>
  <w:p w14:paraId="05EB00B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mE4MWNjMGI4YjU4MTY5MDIzNjE3NWQ2MjEwOWEifQ=="/>
  </w:docVars>
  <w:rsids>
    <w:rsidRoot w:val="00194014"/>
    <w:rsid w:val="00194014"/>
    <w:rsid w:val="001B3E56"/>
    <w:rsid w:val="001C2436"/>
    <w:rsid w:val="0023448A"/>
    <w:rsid w:val="00390E28"/>
    <w:rsid w:val="004257DD"/>
    <w:rsid w:val="0045438F"/>
    <w:rsid w:val="00484C4B"/>
    <w:rsid w:val="004A2635"/>
    <w:rsid w:val="005203B0"/>
    <w:rsid w:val="00570AD0"/>
    <w:rsid w:val="006147DE"/>
    <w:rsid w:val="00640DE4"/>
    <w:rsid w:val="00667B6B"/>
    <w:rsid w:val="007312F1"/>
    <w:rsid w:val="007E3FA5"/>
    <w:rsid w:val="00847E04"/>
    <w:rsid w:val="00885673"/>
    <w:rsid w:val="00950F19"/>
    <w:rsid w:val="009A73AE"/>
    <w:rsid w:val="00A00722"/>
    <w:rsid w:val="00A20402"/>
    <w:rsid w:val="00A556A0"/>
    <w:rsid w:val="00A9187D"/>
    <w:rsid w:val="00AB2364"/>
    <w:rsid w:val="00AF3B5B"/>
    <w:rsid w:val="00B17FD9"/>
    <w:rsid w:val="00E02795"/>
    <w:rsid w:val="00F44D96"/>
    <w:rsid w:val="02B35AA2"/>
    <w:rsid w:val="03DC50F5"/>
    <w:rsid w:val="0775005F"/>
    <w:rsid w:val="1406495E"/>
    <w:rsid w:val="143B7978"/>
    <w:rsid w:val="147B5CDC"/>
    <w:rsid w:val="15627055"/>
    <w:rsid w:val="18D33D6E"/>
    <w:rsid w:val="21170971"/>
    <w:rsid w:val="22C623C9"/>
    <w:rsid w:val="247C5065"/>
    <w:rsid w:val="26876409"/>
    <w:rsid w:val="2758699B"/>
    <w:rsid w:val="29786F69"/>
    <w:rsid w:val="2C7D476D"/>
    <w:rsid w:val="2CD05B4A"/>
    <w:rsid w:val="2DB847BE"/>
    <w:rsid w:val="316057E4"/>
    <w:rsid w:val="384D672F"/>
    <w:rsid w:val="38DC2DFF"/>
    <w:rsid w:val="38F32592"/>
    <w:rsid w:val="3EFB57AB"/>
    <w:rsid w:val="42950B22"/>
    <w:rsid w:val="44371340"/>
    <w:rsid w:val="58F25ABD"/>
    <w:rsid w:val="59A85C05"/>
    <w:rsid w:val="63CF1C85"/>
    <w:rsid w:val="7BB771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7">
    <w:name w:val="页脚 字符"/>
    <w:link w:val="2"/>
    <w:qFormat/>
    <w:uiPriority w:val="99"/>
    <w:rPr>
      <w:sz w:val="18"/>
      <w:szCs w:val="18"/>
    </w:rPr>
  </w:style>
  <w:style w:type="character" w:customStyle="1" w:styleId="8">
    <w:name w:val="页眉 字符"/>
    <w:link w:val="3"/>
    <w:semiHidden/>
    <w:qFormat/>
    <w:uiPriority w:val="99"/>
    <w:rPr>
      <w:sz w:val="18"/>
      <w:szCs w:val="18"/>
    </w:rPr>
  </w:style>
  <w:style w:type="character" w:customStyle="1" w:styleId="9">
    <w:name w:val="font31"/>
    <w:basedOn w:val="6"/>
    <w:uiPriority w:val="0"/>
    <w:rPr>
      <w:rFonts w:ascii="宋体" w:hAnsi="宋体" w:eastAsia="宋体" w:cs="宋体"/>
      <w:color w:val="000000"/>
      <w:sz w:val="18"/>
      <w:szCs w:val="18"/>
      <w:u w:val="none"/>
    </w:rPr>
  </w:style>
  <w:style w:type="character" w:customStyle="1" w:styleId="10">
    <w:name w:val="font11"/>
    <w:basedOn w:val="6"/>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1532</Words>
  <Characters>1606</Characters>
  <Lines>12</Lines>
  <Paragraphs>3</Paragraphs>
  <TotalTime>0</TotalTime>
  <ScaleCrop>false</ScaleCrop>
  <LinksUpToDate>false</LinksUpToDate>
  <CharactersWithSpaces>1608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2017-06-16T05:31:00Z</dcterms:created>
  <dc:creator>王鹏</dc:creator>
  <cp:lastModifiedBy>落花雨</cp:lastModifiedBy>
  <dcterms:modified xsi:type="dcterms:W3CDTF">2025-11-06T07:17:21Z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37FAEB344B8840C0BD7FC4DEF4D7C3EE_13</vt:lpwstr>
  </property>
  <property fmtid="{D5CDD505-2E9C-101B-9397-08002B2CF9AE}" pid="4" name="KSOTemplateDocerSaveRecord">
    <vt:lpwstr>eyJoZGlkIjoiM2Q4MjJiMTNmMGRjOTRkMWEzMzExZjU5OTU5M2Q1Y2MiLCJ1c2VySWQiOiI0NDQ4NDMxNDAifQ==</vt:lpwstr>
  </property>
</Properties>
</file>