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8" w:type="dxa"/>
          <w:bottom w:w="0" w:type="dxa"/>
          <w:right w:w="108" w:type="dxa"/>
        </w:tblCellMar>
      </w:tblPr>
      <w:tblGrid>
        <w:gridCol w:w="637"/>
        <w:gridCol w:w="253"/>
        <w:gridCol w:w="277"/>
        <w:gridCol w:w="168"/>
        <w:gridCol w:w="1913"/>
        <w:gridCol w:w="539"/>
        <w:gridCol w:w="679"/>
        <w:gridCol w:w="54"/>
        <w:gridCol w:w="229"/>
        <w:gridCol w:w="479"/>
        <w:gridCol w:w="206"/>
        <w:gridCol w:w="877"/>
        <w:gridCol w:w="691"/>
        <w:gridCol w:w="550"/>
        <w:gridCol w:w="1394"/>
      </w:tblGrid>
      <w:tr>
        <w:tblPrEx>
          <w:tblCellMar>
            <w:top w:w="0" w:type="dxa"/>
            <w:left w:w="108" w:type="dxa"/>
            <w:bottom w:w="0" w:type="dxa"/>
            <w:right w:w="108" w:type="dxa"/>
          </w:tblCellMar>
        </w:tblPrEx>
        <w:trPr>
          <w:trHeight w:val="408" w:hRule="atLeast"/>
        </w:trPr>
        <w:tc>
          <w:tcPr>
            <w:tcW w:w="8946" w:type="dxa"/>
            <w:gridSpan w:val="15"/>
            <w:vAlign w:val="center"/>
          </w:tcPr>
          <w:p>
            <w:pPr>
              <w:autoSpaceDN w:val="0"/>
              <w:spacing w:line="400" w:lineRule="exact"/>
              <w:jc w:val="left"/>
              <w:textAlignment w:val="center"/>
              <w:rPr>
                <w:rFonts w:ascii="黑体" w:hAnsi="黑体" w:eastAsia="黑体"/>
                <w:color w:val="000000"/>
              </w:rPr>
            </w:pPr>
            <w:r>
              <w:rPr>
                <w:rFonts w:ascii="黑体" w:hAnsi="黑体" w:eastAsia="黑体"/>
                <w:color w:val="000000"/>
                <w:sz w:val="32"/>
              </w:rPr>
              <w:t>附件4</w:t>
            </w:r>
          </w:p>
        </w:tc>
      </w:tr>
      <w:tr>
        <w:tblPrEx>
          <w:tblCellMar>
            <w:top w:w="0" w:type="dxa"/>
            <w:left w:w="108" w:type="dxa"/>
            <w:bottom w:w="0" w:type="dxa"/>
            <w:right w:w="108" w:type="dxa"/>
          </w:tblCellMar>
        </w:tblPrEx>
        <w:trPr>
          <w:trHeight w:val="504" w:hRule="atLeast"/>
        </w:trPr>
        <w:tc>
          <w:tcPr>
            <w:tcW w:w="8946" w:type="dxa"/>
            <w:gridSpan w:val="15"/>
            <w:vAlign w:val="center"/>
          </w:tcPr>
          <w:p>
            <w:pPr>
              <w:autoSpaceDN w:val="0"/>
              <w:spacing w:line="400" w:lineRule="exact"/>
              <w:jc w:val="center"/>
              <w:textAlignment w:val="center"/>
              <w:rPr>
                <w:rFonts w:ascii="仿宋" w:hAnsi="仿宋" w:eastAsia="仿宋"/>
                <w:b/>
                <w:color w:val="000000"/>
                <w:sz w:val="36"/>
              </w:rPr>
            </w:pPr>
            <w:r>
              <w:rPr>
                <w:rFonts w:hint="eastAsia" w:ascii="方正小标宋简体" w:hAnsi="方正小标宋简体" w:eastAsia="方正小标宋简体"/>
                <w:bCs/>
                <w:color w:val="000000"/>
                <w:sz w:val="44"/>
              </w:rPr>
              <w:t>部门整体支出绩效自评表</w:t>
            </w:r>
          </w:p>
        </w:tc>
      </w:tr>
      <w:tr>
        <w:tblPrEx>
          <w:tblCellMar>
            <w:top w:w="0" w:type="dxa"/>
            <w:left w:w="108" w:type="dxa"/>
            <w:bottom w:w="0" w:type="dxa"/>
            <w:right w:w="108" w:type="dxa"/>
          </w:tblCellMar>
        </w:tblPrEx>
        <w:trPr>
          <w:trHeight w:val="384" w:hRule="atLeast"/>
        </w:trPr>
        <w:tc>
          <w:tcPr>
            <w:tcW w:w="8946" w:type="dxa"/>
            <w:gridSpan w:val="15"/>
            <w:vAlign w:val="center"/>
          </w:tcPr>
          <w:p>
            <w:pPr>
              <w:autoSpaceDN w:val="0"/>
              <w:spacing w:line="400" w:lineRule="exact"/>
              <w:jc w:val="center"/>
              <w:textAlignment w:val="center"/>
              <w:rPr>
                <w:rFonts w:ascii="仿宋" w:hAnsi="仿宋" w:eastAsia="仿宋"/>
                <w:color w:val="000000"/>
                <w:sz w:val="18"/>
              </w:rPr>
            </w:pPr>
            <w:r>
              <w:rPr>
                <w:rFonts w:hint="eastAsia" w:ascii="楷体_GB2312" w:hAnsi="楷体_GB2312" w:eastAsia="楷体_GB2312"/>
                <w:color w:val="000000"/>
                <w:sz w:val="18"/>
              </w:rPr>
              <w:t>（ 2020年度）</w:t>
            </w:r>
          </w:p>
        </w:tc>
      </w:tr>
      <w:tr>
        <w:tblPrEx>
          <w:tblCellMar>
            <w:top w:w="0" w:type="dxa"/>
            <w:left w:w="108" w:type="dxa"/>
            <w:bottom w:w="0" w:type="dxa"/>
            <w:right w:w="108" w:type="dxa"/>
          </w:tblCellMar>
        </w:tblPrEx>
        <w:trPr>
          <w:trHeight w:val="228" w:hRule="atLeast"/>
        </w:trPr>
        <w:tc>
          <w:tcPr>
            <w:tcW w:w="1335"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评价部门名称</w:t>
            </w:r>
          </w:p>
        </w:tc>
        <w:tc>
          <w:tcPr>
            <w:tcW w:w="3414" w:type="dxa"/>
            <w:gridSpan w:val="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庐山市政务服务管理局</w:t>
            </w:r>
          </w:p>
        </w:tc>
        <w:tc>
          <w:tcPr>
            <w:tcW w:w="225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下属单位个数</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r>
      <w:tr>
        <w:tblPrEx>
          <w:tblCellMar>
            <w:top w:w="0" w:type="dxa"/>
            <w:left w:w="108" w:type="dxa"/>
            <w:bottom w:w="0" w:type="dxa"/>
            <w:right w:w="108" w:type="dxa"/>
          </w:tblCellMar>
        </w:tblPrEx>
        <w:trPr>
          <w:trHeight w:val="228" w:hRule="atLeast"/>
        </w:trPr>
        <w:tc>
          <w:tcPr>
            <w:tcW w:w="1335" w:type="dxa"/>
            <w:gridSpan w:val="4"/>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整体支出规模</w:t>
            </w: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全年预算数</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全年执行数</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执行率</w:t>
            </w:r>
          </w:p>
        </w:tc>
      </w:tr>
      <w:tr>
        <w:tblPrEx>
          <w:tblCellMar>
            <w:top w:w="0" w:type="dxa"/>
            <w:left w:w="108" w:type="dxa"/>
            <w:bottom w:w="0" w:type="dxa"/>
            <w:right w:w="108" w:type="dxa"/>
          </w:tblCellMar>
        </w:tblPrEx>
        <w:trPr>
          <w:trHeight w:val="31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资金来源：（1）财政拨款</w:t>
            </w: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1525717</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2496316.32</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163.62%</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（2）其他资金</w:t>
            </w: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1460000</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612839.44</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41.98%</w:t>
            </w:r>
          </w:p>
        </w:tc>
      </w:tr>
      <w:tr>
        <w:tblPrEx>
          <w:tblCellMar>
            <w:top w:w="0" w:type="dxa"/>
            <w:left w:w="108" w:type="dxa"/>
            <w:bottom w:w="0" w:type="dxa"/>
            <w:right w:w="108" w:type="dxa"/>
          </w:tblCellMar>
        </w:tblPrEx>
        <w:trPr>
          <w:trHeight w:val="25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资金结构：（1）基本支出</w:t>
            </w: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3174657</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2985416.38</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94.04%</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（2）项目支出</w:t>
            </w: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0</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123739.38</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p>
        </w:tc>
      </w:tr>
      <w:tr>
        <w:tblPrEx>
          <w:tblCellMar>
            <w:top w:w="0" w:type="dxa"/>
            <w:left w:w="108" w:type="dxa"/>
            <w:bottom w:w="0" w:type="dxa"/>
            <w:right w:w="108" w:type="dxa"/>
          </w:tblCellMar>
        </w:tblPrEx>
        <w:trPr>
          <w:trHeight w:val="228" w:hRule="atLeast"/>
        </w:trPr>
        <w:tc>
          <w:tcPr>
            <w:tcW w:w="89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年度总体目标</w:t>
            </w:r>
          </w:p>
        </w:tc>
        <w:tc>
          <w:tcPr>
            <w:tcW w:w="3859"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年初设定目标</w:t>
            </w:r>
          </w:p>
        </w:tc>
        <w:tc>
          <w:tcPr>
            <w:tcW w:w="4197"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全年完成情况</w:t>
            </w:r>
          </w:p>
        </w:tc>
      </w:tr>
      <w:tr>
        <w:tblPrEx>
          <w:tblCellMar>
            <w:top w:w="0" w:type="dxa"/>
            <w:left w:w="108" w:type="dxa"/>
            <w:bottom w:w="0" w:type="dxa"/>
            <w:right w:w="108" w:type="dxa"/>
          </w:tblCellMar>
        </w:tblPrEx>
        <w:trPr>
          <w:trHeight w:val="254" w:hRule="atLeast"/>
        </w:trPr>
        <w:tc>
          <w:tcPr>
            <w:tcW w:w="89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3859"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3174657</w:t>
            </w:r>
          </w:p>
        </w:tc>
        <w:tc>
          <w:tcPr>
            <w:tcW w:w="419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3109155.76</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228" w:hRule="atLeast"/>
        </w:trPr>
        <w:tc>
          <w:tcPr>
            <w:tcW w:w="8946" w:type="dxa"/>
            <w:gridSpan w:val="15"/>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分解目标自评</w:t>
            </w:r>
          </w:p>
        </w:tc>
      </w:tr>
      <w:tr>
        <w:tblPrEx>
          <w:tblCellMar>
            <w:top w:w="0" w:type="dxa"/>
            <w:left w:w="108" w:type="dxa"/>
            <w:bottom w:w="0" w:type="dxa"/>
            <w:right w:w="108" w:type="dxa"/>
          </w:tblCellMar>
        </w:tblPrEx>
        <w:trPr>
          <w:trHeight w:val="24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一级指标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权重</w:t>
            </w: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二级指标</w:t>
            </w: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三级指标</w:t>
            </w:r>
          </w:p>
        </w:tc>
        <w:tc>
          <w:tcPr>
            <w:tcW w:w="914"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年度指标值</w:t>
            </w:r>
          </w:p>
        </w:tc>
        <w:tc>
          <w:tcPr>
            <w:tcW w:w="87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全年完成值</w:t>
            </w:r>
          </w:p>
        </w:tc>
        <w:tc>
          <w:tcPr>
            <w:tcW w:w="69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分值</w:t>
            </w:r>
          </w:p>
        </w:tc>
        <w:tc>
          <w:tcPr>
            <w:tcW w:w="55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得分</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偏差及原因分析</w:t>
            </w:r>
          </w:p>
        </w:tc>
      </w:tr>
      <w:tr>
        <w:tblPrEx>
          <w:tblCellMar>
            <w:top w:w="0" w:type="dxa"/>
            <w:left w:w="108" w:type="dxa"/>
            <w:bottom w:w="0" w:type="dxa"/>
            <w:right w:w="108" w:type="dxa"/>
          </w:tblCellMar>
        </w:tblPrEx>
        <w:trPr>
          <w:trHeight w:val="24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914"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69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55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r>
      <w:tr>
        <w:tblPrEx>
          <w:tblCellMar>
            <w:top w:w="0" w:type="dxa"/>
            <w:left w:w="108" w:type="dxa"/>
            <w:bottom w:w="0" w:type="dxa"/>
            <w:right w:w="108" w:type="dxa"/>
          </w:tblCellMar>
        </w:tblPrEx>
        <w:trPr>
          <w:trHeight w:val="36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管理指标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30</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预算编审管理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N/>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编制准确</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N/>
              <w:spacing w:line="24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准确</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准确</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预算执行管理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公用经费控制率</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eastAsia="宋体" w:cs="宋体"/>
                <w:sz w:val="18"/>
                <w:lang w:val="en-US" w:eastAsia="zh-CN"/>
              </w:rPr>
              <w:t>≧</w:t>
            </w:r>
            <w:r>
              <w:rPr>
                <w:rFonts w:hint="eastAsia" w:ascii="宋体" w:hAnsi="宋体"/>
                <w:sz w:val="18"/>
                <w:lang w:val="en-US" w:eastAsia="zh-CN"/>
              </w:rPr>
              <w:t>95%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98%</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p>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部门结转结余资金管理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结转结余率</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sz w:val="18"/>
                <w:lang w:val="en-US" w:eastAsia="zh-CN"/>
              </w:rPr>
              <w:t>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预决算信息公开管理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按规公开</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按规公开</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按规公开</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部门预算管理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在职人员控制率</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eastAsia="宋体" w:cs="宋体"/>
                <w:sz w:val="18"/>
                <w:lang w:val="en-US" w:eastAsia="zh-CN"/>
              </w:rPr>
              <w:t>≦</w:t>
            </w:r>
            <w:r>
              <w:rPr>
                <w:rFonts w:hint="eastAsia" w:ascii="宋体" w:hAnsi="宋体"/>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76%</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政府采购管理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执行率</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eastAsia="宋体" w:cs="宋体"/>
                <w:sz w:val="18"/>
              </w:rPr>
              <w:t>≧</w:t>
            </w:r>
            <w:r>
              <w:rPr>
                <w:rFonts w:hint="eastAsia" w:ascii="宋体" w:hAnsi="宋体"/>
                <w:sz w:val="18"/>
                <w:lang w:val="en-US" w:eastAsia="zh-CN"/>
              </w:rPr>
              <w:t>95%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78%</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3</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eastAsia="zh-CN"/>
              </w:rPr>
            </w:pPr>
            <w:r>
              <w:rPr>
                <w:rFonts w:hint="eastAsia" w:ascii="宋体" w:hAnsi="宋体"/>
                <w:color w:val="000000"/>
                <w:sz w:val="18"/>
                <w:lang w:eastAsia="zh-CN"/>
              </w:rPr>
              <w:t>部分采购项目跨年，未能完结</w:t>
            </w: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资产管理</w:t>
            </w:r>
          </w:p>
        </w:tc>
        <w:tc>
          <w:tcPr>
            <w:tcW w:w="121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制度健全</w:t>
            </w:r>
          </w:p>
        </w:tc>
        <w:tc>
          <w:tcPr>
            <w:tcW w:w="9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制度健全</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制度健全</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产出指标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25</w:t>
            </w: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数量指标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lang w:eastAsia="zh-CN"/>
              </w:rPr>
              <w:t>政务服务完成率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eastAsia="zh-CN"/>
              </w:rPr>
            </w:pPr>
            <w:r>
              <w:rPr>
                <w:rFonts w:hint="eastAsia" w:ascii="宋体" w:hAnsi="宋体"/>
                <w:color w:val="000000"/>
                <w:sz w:val="18"/>
                <w:lang w:eastAsia="zh-CN"/>
              </w:rPr>
              <w:t>年度重点工作完成率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p>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质量指标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政务服务周到</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服务周到</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服务周到</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lang w:eastAsia="zh-CN"/>
              </w:rPr>
              <w:t>项目完成率</w:t>
            </w:r>
            <w:r>
              <w:rPr>
                <w:rFonts w:hint="eastAsia" w:ascii="宋体" w:hAnsi="宋体"/>
                <w:color w:val="000000"/>
                <w:sz w:val="18"/>
              </w:rPr>
              <w:t>任务2：</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时效指标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lang w:eastAsia="zh-CN"/>
              </w:rPr>
              <w:t>按进度完成工作</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83"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bookmarkStart w:id="0" w:name="_GoBack" w:colFirst="6" w:colLast="7"/>
            <w:r>
              <w:rPr>
                <w:rFonts w:hint="eastAsia" w:ascii="宋体" w:hAnsi="宋体"/>
                <w:color w:val="000000"/>
                <w:sz w:val="18"/>
              </w:rPr>
              <w:t>效果指标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35</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经济效益指标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color w:val="000000"/>
                <w:sz w:val="18"/>
                <w:lang w:val="en-US" w:eastAsia="zh-CN"/>
              </w:rPr>
            </w:pPr>
            <w:r>
              <w:rPr>
                <w:rFonts w:hint="eastAsia" w:ascii="宋体" w:hAnsi="宋体"/>
                <w:color w:val="000000"/>
                <w:sz w:val="18"/>
                <w:lang w:val="en-US" w:eastAsia="zh-CN"/>
              </w:rPr>
              <w:t>15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color w:val="000000"/>
                <w:sz w:val="18"/>
                <w:lang w:val="en-US" w:eastAsia="zh-CN"/>
              </w:rPr>
            </w:pPr>
            <w:r>
              <w:rPr>
                <w:rFonts w:hint="eastAsia" w:ascii="宋体" w:hAnsi="宋体"/>
                <w:color w:val="000000"/>
                <w:sz w:val="18"/>
                <w:lang w:val="en-US" w:eastAsia="zh-CN"/>
              </w:rPr>
              <w:t>15</w:t>
            </w:r>
          </w:p>
        </w:tc>
        <w:tc>
          <w:tcPr>
            <w:tcW w:w="1394" w:type="dxa"/>
            <w:tcBorders>
              <w:top w:val="single" w:color="000000" w:sz="4" w:space="0"/>
              <w:left w:val="single" w:color="000000" w:sz="4" w:space="0"/>
              <w:bottom w:val="single" w:color="000000" w:sz="4" w:space="0"/>
              <w:right w:val="single" w:color="000000" w:sz="4" w:space="0"/>
            </w:tcBorders>
            <w:vAlign w:val="center"/>
          </w:tcPr>
          <w:p/>
        </w:tc>
      </w:tr>
      <w:bookmarkEnd w:id="0"/>
      <w:tr>
        <w:tblPrEx>
          <w:tblCellMar>
            <w:top w:w="0" w:type="dxa"/>
            <w:left w:w="108" w:type="dxa"/>
            <w:bottom w:w="0" w:type="dxa"/>
            <w:right w:w="108" w:type="dxa"/>
          </w:tblCellMar>
        </w:tblPrEx>
        <w:trPr>
          <w:trHeight w:val="33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社会效益指标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lang w:eastAsia="zh-CN"/>
              </w:rPr>
              <w:t>无</w:t>
            </w:r>
          </w:p>
        </w:tc>
      </w:tr>
      <w:tr>
        <w:tblPrEx>
          <w:tblCellMar>
            <w:top w:w="0" w:type="dxa"/>
            <w:left w:w="108" w:type="dxa"/>
            <w:bottom w:w="0" w:type="dxa"/>
            <w:right w:w="108" w:type="dxa"/>
          </w:tblCellMar>
        </w:tblPrEx>
        <w:trPr>
          <w:trHeight w:val="31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生态效益指标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tabs>
                <w:tab w:val="left" w:pos="257"/>
                <w:tab w:val="center" w:pos="649"/>
              </w:tabs>
              <w:jc w:val="left"/>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lang w:eastAsia="zh-CN"/>
              </w:rPr>
              <w:tab/>
            </w:r>
            <w:r>
              <w:rPr>
                <w:rFonts w:hint="eastAsia" w:eastAsia="仿宋"/>
                <w:color w:val="000000"/>
                <w:szCs w:val="21"/>
                <w:lang w:eastAsia="zh-CN"/>
              </w:rPr>
              <w:tab/>
            </w:r>
            <w:r>
              <w:rPr>
                <w:rFonts w:hint="eastAsia" w:eastAsia="仿宋"/>
                <w:color w:val="000000"/>
                <w:szCs w:val="21"/>
                <w:lang w:eastAsia="zh-CN"/>
              </w:rPr>
              <w:t>无</w:t>
            </w:r>
          </w:p>
        </w:tc>
      </w:tr>
      <w:tr>
        <w:tblPrEx>
          <w:tblCellMar>
            <w:top w:w="0" w:type="dxa"/>
            <w:left w:w="108" w:type="dxa"/>
            <w:bottom w:w="0" w:type="dxa"/>
            <w:right w:w="108" w:type="dxa"/>
          </w:tblCellMar>
        </w:tblPrEx>
        <w:trPr>
          <w:trHeight w:val="650" w:hRule="atLeast"/>
        </w:trPr>
        <w:tc>
          <w:tcPr>
            <w:tcW w:w="63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5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 w:cs="Times New Roman"/>
                <w:color w:val="000000"/>
                <w:kern w:val="2"/>
                <w:sz w:val="21"/>
                <w:szCs w:val="21"/>
                <w:lang w:val="en-US" w:eastAsia="zh-CN" w:bidi="ar-SA"/>
              </w:rPr>
            </w:pPr>
            <w:r>
              <w:rPr>
                <w:rFonts w:hint="eastAsia" w:ascii="宋体" w:hAnsi="宋体" w:eastAsia="宋体" w:cs="宋体"/>
                <w:color w:val="000000"/>
                <w:sz w:val="18"/>
                <w:szCs w:val="18"/>
                <w:lang w:eastAsia="zh-CN"/>
              </w:rPr>
              <w:t>服务对象满意度</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lang w:eastAsia="zh-CN"/>
              </w:rPr>
              <w:t>无</w:t>
            </w:r>
          </w:p>
        </w:tc>
      </w:tr>
      <w:tr>
        <w:tblPrEx>
          <w:tblCellMar>
            <w:top w:w="0" w:type="dxa"/>
            <w:left w:w="108" w:type="dxa"/>
            <w:bottom w:w="0" w:type="dxa"/>
            <w:right w:w="108" w:type="dxa"/>
          </w:tblCellMar>
        </w:tblPrEx>
        <w:trPr>
          <w:trHeight w:val="300" w:hRule="atLeast"/>
        </w:trPr>
        <w:tc>
          <w:tcPr>
            <w:tcW w:w="6311" w:type="dxa"/>
            <w:gridSpan w:val="1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总分</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99</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852" w:hRule="atLeast"/>
        </w:trPr>
        <w:tc>
          <w:tcPr>
            <w:tcW w:w="8946" w:type="dxa"/>
            <w:gridSpan w:val="15"/>
            <w:tcBorders>
              <w:top w:val="single" w:color="000000" w:sz="4" w:space="0"/>
            </w:tcBorders>
          </w:tcPr>
          <w:p>
            <w:pPr>
              <w:autoSpaceDN w:val="0"/>
              <w:spacing w:line="240" w:lineRule="exact"/>
              <w:jc w:val="left"/>
              <w:textAlignment w:val="top"/>
              <w:rPr>
                <w:rFonts w:ascii="宋体" w:hAnsi="宋体"/>
                <w:color w:val="000000"/>
                <w:sz w:val="18"/>
              </w:rPr>
            </w:pPr>
            <w:r>
              <w:rPr>
                <w:rFonts w:hint="eastAsia" w:ascii="宋体" w:hAnsi="宋体"/>
                <w:color w:val="000000"/>
                <w:sz w:val="18"/>
              </w:rPr>
              <w:t>说明：1.预算部门按照附件3《部门整体支出绩效评价指标体系框架》（参考）设置三级指标和指标</w:t>
            </w:r>
            <w:r>
              <w:rPr>
                <w:rFonts w:hint="eastAsia" w:ascii="宋体" w:hAnsi="宋体"/>
                <w:color w:val="000000"/>
                <w:sz w:val="18"/>
              </w:rPr>
              <w:br w:type="textWrapping"/>
            </w:r>
            <w:r>
              <w:rPr>
                <w:rFonts w:hint="eastAsia" w:ascii="宋体" w:hAnsi="宋体"/>
                <w:color w:val="000000"/>
                <w:sz w:val="18"/>
              </w:rPr>
              <w:t xml:space="preserve">      2.上述产出指标和效益指标根据年初设定的绩效目标既可以按照重点任务完成情况分别填列，也可以依据所有重点任务归纳提炼综合指标。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E726A"/>
    <w:rsid w:val="5BBE7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2021-04-02T08:12:00Z</dcterms:created>
  <dc:creator>Administrator</dc:creator>
  <cp:lastModifiedBy>Administrator</cp:lastModifiedBy>
  <dcterms:modified xsi:type="dcterms:W3CDTF">2021-04-02T08:13:23Z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4C2B50ACFF884B24A99065FA69BDD158</vt:lpwstr>
  </property>
</Properties>
</file>