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46" w:type="dxa"/>
        <w:tblInd w:w="0" w:type="dxa"/>
        <w:tblLayout w:type="fixed"/>
        <w:tblCellMar>
          <w:top w:w="0" w:type="dxa"/>
          <w:left w:w="108" w:type="dxa"/>
          <w:bottom w:w="0" w:type="dxa"/>
          <w:right w:w="108" w:type="dxa"/>
        </w:tblCellMar>
      </w:tblPr>
      <w:tblGrid>
        <w:gridCol w:w="637"/>
        <w:gridCol w:w="253"/>
        <w:gridCol w:w="277"/>
        <w:gridCol w:w="168"/>
        <w:gridCol w:w="1913"/>
        <w:gridCol w:w="539"/>
        <w:gridCol w:w="733"/>
        <w:gridCol w:w="229"/>
        <w:gridCol w:w="479"/>
        <w:gridCol w:w="206"/>
        <w:gridCol w:w="877"/>
        <w:gridCol w:w="691"/>
        <w:gridCol w:w="550"/>
        <w:gridCol w:w="1394"/>
      </w:tblGrid>
      <w:tr>
        <w:tblPrEx>
          <w:tblCellMar>
            <w:top w:w="0" w:type="dxa"/>
            <w:left w:w="108" w:type="dxa"/>
            <w:bottom w:w="0" w:type="dxa"/>
            <w:right w:w="108" w:type="dxa"/>
          </w:tblCellMar>
        </w:tblPrEx>
        <w:trPr>
          <w:trHeight w:val="408" w:hRule="atLeast"/>
        </w:trPr>
        <w:tc>
          <w:tcPr>
            <w:tcW w:w="8946" w:type="dxa"/>
            <w:gridSpan w:val="14"/>
            <w:vAlign w:val="center"/>
          </w:tcPr>
          <w:p>
            <w:pPr>
              <w:autoSpaceDN w:val="0"/>
              <w:spacing w:line="400" w:lineRule="exact"/>
              <w:jc w:val="left"/>
              <w:textAlignment w:val="center"/>
              <w:rPr>
                <w:rFonts w:ascii="黑体" w:hAnsi="黑体" w:eastAsia="黑体"/>
                <w:color w:val="000000"/>
              </w:rPr>
            </w:pPr>
            <w:bookmarkStart w:id="0" w:name="_GoBack"/>
            <w:r>
              <w:rPr>
                <w:rFonts w:ascii="黑体" w:hAnsi="黑体" w:eastAsia="黑体"/>
                <w:color w:val="000000"/>
                <w:sz w:val="32"/>
              </w:rPr>
              <w:t>附件4</w:t>
            </w:r>
          </w:p>
        </w:tc>
      </w:tr>
      <w:tr>
        <w:tblPrEx>
          <w:tblCellMar>
            <w:top w:w="0" w:type="dxa"/>
            <w:left w:w="108" w:type="dxa"/>
            <w:bottom w:w="0" w:type="dxa"/>
            <w:right w:w="108" w:type="dxa"/>
          </w:tblCellMar>
        </w:tblPrEx>
        <w:trPr>
          <w:trHeight w:val="504" w:hRule="atLeast"/>
        </w:trPr>
        <w:tc>
          <w:tcPr>
            <w:tcW w:w="8946" w:type="dxa"/>
            <w:gridSpan w:val="14"/>
            <w:vAlign w:val="center"/>
          </w:tcPr>
          <w:p>
            <w:pPr>
              <w:autoSpaceDN w:val="0"/>
              <w:spacing w:line="400" w:lineRule="exact"/>
              <w:jc w:val="center"/>
              <w:textAlignment w:val="center"/>
              <w:rPr>
                <w:rFonts w:ascii="仿宋" w:hAnsi="仿宋" w:eastAsia="仿宋"/>
                <w:b/>
                <w:color w:val="000000"/>
                <w:sz w:val="36"/>
              </w:rPr>
            </w:pPr>
            <w:r>
              <w:rPr>
                <w:rFonts w:hint="eastAsia" w:ascii="方正小标宋简体" w:hAnsi="方正小标宋简体" w:eastAsia="方正小标宋简体"/>
                <w:bCs/>
                <w:color w:val="000000"/>
                <w:sz w:val="44"/>
              </w:rPr>
              <w:t>部门整体支出绩效</w:t>
            </w:r>
            <w:r>
              <w:rPr>
                <w:rFonts w:hint="eastAsia" w:ascii="方正小标宋简体" w:hAnsi="方正小标宋简体" w:eastAsia="方正小标宋简体"/>
                <w:bCs/>
                <w:color w:val="000000"/>
                <w:sz w:val="44"/>
                <w:lang w:eastAsia="zh-CN"/>
              </w:rPr>
              <w:t>目标</w:t>
            </w:r>
            <w:r>
              <w:rPr>
                <w:rFonts w:hint="eastAsia" w:ascii="方正小标宋简体" w:hAnsi="方正小标宋简体" w:eastAsia="方正小标宋简体"/>
                <w:bCs/>
                <w:color w:val="000000"/>
                <w:sz w:val="44"/>
              </w:rPr>
              <w:t>表</w:t>
            </w:r>
          </w:p>
        </w:tc>
      </w:tr>
      <w:tr>
        <w:tblPrEx>
          <w:tblCellMar>
            <w:top w:w="0" w:type="dxa"/>
            <w:left w:w="108" w:type="dxa"/>
            <w:bottom w:w="0" w:type="dxa"/>
            <w:right w:w="108" w:type="dxa"/>
          </w:tblCellMar>
        </w:tblPrEx>
        <w:trPr>
          <w:trHeight w:val="384" w:hRule="atLeast"/>
        </w:trPr>
        <w:tc>
          <w:tcPr>
            <w:tcW w:w="8946" w:type="dxa"/>
            <w:gridSpan w:val="14"/>
            <w:vAlign w:val="center"/>
          </w:tcPr>
          <w:p>
            <w:pPr>
              <w:autoSpaceDN w:val="0"/>
              <w:spacing w:line="400" w:lineRule="exact"/>
              <w:jc w:val="center"/>
              <w:textAlignment w:val="center"/>
              <w:rPr>
                <w:rFonts w:ascii="仿宋" w:hAnsi="仿宋" w:eastAsia="仿宋"/>
                <w:color w:val="000000"/>
                <w:sz w:val="18"/>
              </w:rPr>
            </w:pPr>
            <w:r>
              <w:rPr>
                <w:rFonts w:hint="eastAsia" w:ascii="楷体_GB2312" w:hAnsi="楷体_GB2312" w:eastAsia="楷体_GB2312"/>
                <w:color w:val="000000"/>
                <w:sz w:val="18"/>
              </w:rPr>
              <w:t>（ 202</w:t>
            </w:r>
            <w:r>
              <w:rPr>
                <w:rFonts w:hint="eastAsia" w:ascii="楷体_GB2312" w:hAnsi="楷体_GB2312" w:eastAsia="楷体_GB2312"/>
                <w:color w:val="000000"/>
                <w:sz w:val="18"/>
                <w:lang w:val="en-US" w:eastAsia="zh-CN"/>
              </w:rPr>
              <w:t>1</w:t>
            </w:r>
            <w:r>
              <w:rPr>
                <w:rFonts w:hint="eastAsia" w:ascii="楷体_GB2312" w:hAnsi="楷体_GB2312" w:eastAsia="楷体_GB2312"/>
                <w:color w:val="000000"/>
                <w:sz w:val="18"/>
              </w:rPr>
              <w:t>年度）</w:t>
            </w:r>
          </w:p>
        </w:tc>
      </w:tr>
      <w:tr>
        <w:tblPrEx>
          <w:tblCellMar>
            <w:top w:w="0" w:type="dxa"/>
            <w:left w:w="108" w:type="dxa"/>
            <w:bottom w:w="0" w:type="dxa"/>
            <w:right w:w="108" w:type="dxa"/>
          </w:tblCellMar>
        </w:tblPrEx>
        <w:trPr>
          <w:trHeight w:val="228" w:hRule="atLeast"/>
        </w:trPr>
        <w:tc>
          <w:tcPr>
            <w:tcW w:w="1335"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评价部门名称</w:t>
            </w:r>
          </w:p>
        </w:tc>
        <w:tc>
          <w:tcPr>
            <w:tcW w:w="3414"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庐山市政务服务管理局</w:t>
            </w:r>
          </w:p>
        </w:tc>
        <w:tc>
          <w:tcPr>
            <w:tcW w:w="2253"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下属单位个数</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1</w:t>
            </w:r>
          </w:p>
        </w:tc>
      </w:tr>
      <w:tr>
        <w:tblPrEx>
          <w:tblCellMar>
            <w:top w:w="0" w:type="dxa"/>
            <w:left w:w="108" w:type="dxa"/>
            <w:bottom w:w="0" w:type="dxa"/>
            <w:right w:w="108" w:type="dxa"/>
          </w:tblCellMar>
        </w:tblPrEx>
        <w:trPr>
          <w:trHeight w:val="228" w:hRule="atLeast"/>
        </w:trPr>
        <w:tc>
          <w:tcPr>
            <w:tcW w:w="1335" w:type="dxa"/>
            <w:gridSpan w:val="4"/>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整体支出规模</w:t>
            </w: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c>
          <w:tcPr>
            <w:tcW w:w="1441"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全年预算数</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全年执行数</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执行率</w:t>
            </w:r>
          </w:p>
        </w:tc>
      </w:tr>
      <w:tr>
        <w:tblPrEx>
          <w:tblCellMar>
            <w:top w:w="0" w:type="dxa"/>
            <w:left w:w="108" w:type="dxa"/>
            <w:bottom w:w="0" w:type="dxa"/>
            <w:right w:w="108" w:type="dxa"/>
          </w:tblCellMar>
        </w:tblPrEx>
        <w:trPr>
          <w:trHeight w:val="314"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资金来源：（1）财政拨款</w:t>
            </w:r>
          </w:p>
        </w:tc>
        <w:tc>
          <w:tcPr>
            <w:tcW w:w="144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val="en-US" w:eastAsia="zh-CN" w:bidi="ar-SA"/>
              </w:rPr>
              <w:t>940.95万元</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val="en-US" w:eastAsia="zh-CN" w:bidi="ar-SA"/>
              </w:rPr>
              <w:t>727.87</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77.35%</w:t>
            </w:r>
          </w:p>
        </w:tc>
      </w:tr>
      <w:tr>
        <w:tblPrEx>
          <w:tblCellMar>
            <w:top w:w="0" w:type="dxa"/>
            <w:left w:w="108" w:type="dxa"/>
            <w:bottom w:w="0" w:type="dxa"/>
            <w:right w:w="108" w:type="dxa"/>
          </w:tblCellMar>
        </w:tblPrEx>
        <w:trPr>
          <w:trHeight w:val="228"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 xml:space="preserve">         （2）其他资金</w:t>
            </w:r>
          </w:p>
        </w:tc>
        <w:tc>
          <w:tcPr>
            <w:tcW w:w="144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p>
        </w:tc>
      </w:tr>
      <w:tr>
        <w:tblPrEx>
          <w:tblCellMar>
            <w:top w:w="0" w:type="dxa"/>
            <w:left w:w="108" w:type="dxa"/>
            <w:bottom w:w="0" w:type="dxa"/>
            <w:right w:w="108" w:type="dxa"/>
          </w:tblCellMar>
        </w:tblPrEx>
        <w:trPr>
          <w:trHeight w:val="254"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资金结构：（1）基本支出</w:t>
            </w:r>
          </w:p>
        </w:tc>
        <w:tc>
          <w:tcPr>
            <w:tcW w:w="144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val="en-US" w:eastAsia="zh-CN" w:bidi="ar-SA"/>
              </w:rPr>
              <w:t>370.95万元</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409.98</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110.52%</w:t>
            </w:r>
          </w:p>
        </w:tc>
      </w:tr>
      <w:tr>
        <w:tblPrEx>
          <w:tblCellMar>
            <w:top w:w="0" w:type="dxa"/>
            <w:left w:w="108" w:type="dxa"/>
            <w:bottom w:w="0" w:type="dxa"/>
            <w:right w:w="108" w:type="dxa"/>
          </w:tblCellMar>
        </w:tblPrEx>
        <w:trPr>
          <w:trHeight w:val="228" w:hRule="atLeast"/>
        </w:trPr>
        <w:tc>
          <w:tcPr>
            <w:tcW w:w="1335"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45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 xml:space="preserve">         （2）项目支出</w:t>
            </w:r>
          </w:p>
        </w:tc>
        <w:tc>
          <w:tcPr>
            <w:tcW w:w="144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val="en-US" w:eastAsia="zh-CN" w:bidi="ar-SA"/>
              </w:rPr>
              <w:t>570万元</w:t>
            </w:r>
          </w:p>
        </w:tc>
        <w:tc>
          <w:tcPr>
            <w:tcW w:w="177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317.89</w:t>
            </w:r>
          </w:p>
        </w:tc>
        <w:tc>
          <w:tcPr>
            <w:tcW w:w="19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kern w:val="2"/>
                <w:sz w:val="18"/>
                <w:szCs w:val="18"/>
                <w:lang w:val="en-US" w:eastAsia="zh-CN" w:bidi="ar-SA"/>
              </w:rPr>
              <w:t>55.77%</w:t>
            </w:r>
          </w:p>
        </w:tc>
      </w:tr>
      <w:tr>
        <w:tblPrEx>
          <w:tblCellMar>
            <w:top w:w="0" w:type="dxa"/>
            <w:left w:w="108" w:type="dxa"/>
            <w:bottom w:w="0" w:type="dxa"/>
            <w:right w:w="108" w:type="dxa"/>
          </w:tblCellMar>
        </w:tblPrEx>
        <w:trPr>
          <w:trHeight w:val="228" w:hRule="atLeast"/>
        </w:trPr>
        <w:tc>
          <w:tcPr>
            <w:tcW w:w="89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年度总体目标</w:t>
            </w:r>
          </w:p>
        </w:tc>
        <w:tc>
          <w:tcPr>
            <w:tcW w:w="3859" w:type="dxa"/>
            <w:gridSpan w:val="6"/>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年初设定目标</w:t>
            </w:r>
          </w:p>
        </w:tc>
        <w:tc>
          <w:tcPr>
            <w:tcW w:w="4197" w:type="dxa"/>
            <w:gridSpan w:val="6"/>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全年完成情况</w:t>
            </w:r>
          </w:p>
        </w:tc>
      </w:tr>
      <w:tr>
        <w:tblPrEx>
          <w:tblCellMar>
            <w:top w:w="0" w:type="dxa"/>
            <w:left w:w="108" w:type="dxa"/>
            <w:bottom w:w="0" w:type="dxa"/>
            <w:right w:w="108" w:type="dxa"/>
          </w:tblCellMar>
        </w:tblPrEx>
        <w:trPr>
          <w:trHeight w:val="254" w:hRule="atLeast"/>
        </w:trPr>
        <w:tc>
          <w:tcPr>
            <w:tcW w:w="89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3859"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3174657</w:t>
            </w:r>
          </w:p>
        </w:tc>
        <w:tc>
          <w:tcPr>
            <w:tcW w:w="4197"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3109155.76</w:t>
            </w:r>
            <w:r>
              <w:rPr>
                <w:rFonts w:hint="eastAsia" w:ascii="宋体" w:hAnsi="宋体" w:eastAsia="宋体" w:cs="宋体"/>
                <w:color w:val="000000"/>
                <w:sz w:val="18"/>
                <w:szCs w:val="18"/>
              </w:rPr>
              <w:t>　</w:t>
            </w:r>
          </w:p>
        </w:tc>
      </w:tr>
      <w:tr>
        <w:tblPrEx>
          <w:tblCellMar>
            <w:top w:w="0" w:type="dxa"/>
            <w:left w:w="108" w:type="dxa"/>
            <w:bottom w:w="0" w:type="dxa"/>
            <w:right w:w="108" w:type="dxa"/>
          </w:tblCellMar>
        </w:tblPrEx>
        <w:trPr>
          <w:trHeight w:val="228" w:hRule="atLeast"/>
        </w:trPr>
        <w:tc>
          <w:tcPr>
            <w:tcW w:w="8946" w:type="dxa"/>
            <w:gridSpan w:val="1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分解目标自评</w:t>
            </w:r>
          </w:p>
        </w:tc>
      </w:tr>
      <w:tr>
        <w:tblPrEx>
          <w:tblCellMar>
            <w:top w:w="0" w:type="dxa"/>
            <w:left w:w="108" w:type="dxa"/>
            <w:bottom w:w="0" w:type="dxa"/>
            <w:right w:w="108" w:type="dxa"/>
          </w:tblCellMar>
        </w:tblPrEx>
        <w:trPr>
          <w:trHeight w:val="240"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一级指标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权重</w:t>
            </w:r>
          </w:p>
        </w:tc>
        <w:tc>
          <w:tcPr>
            <w:tcW w:w="208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二级指标</w:t>
            </w:r>
          </w:p>
        </w:tc>
        <w:tc>
          <w:tcPr>
            <w:tcW w:w="1272"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三级指标</w:t>
            </w:r>
          </w:p>
        </w:tc>
        <w:tc>
          <w:tcPr>
            <w:tcW w:w="914" w:type="dxa"/>
            <w:gridSpan w:val="3"/>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年度指标值</w:t>
            </w:r>
          </w:p>
        </w:tc>
        <w:tc>
          <w:tcPr>
            <w:tcW w:w="87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全年完成值</w:t>
            </w:r>
          </w:p>
        </w:tc>
        <w:tc>
          <w:tcPr>
            <w:tcW w:w="69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分值</w:t>
            </w:r>
          </w:p>
        </w:tc>
        <w:tc>
          <w:tcPr>
            <w:tcW w:w="550"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得分</w:t>
            </w:r>
          </w:p>
        </w:tc>
        <w:tc>
          <w:tcPr>
            <w:tcW w:w="1394"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偏差及原因分析</w:t>
            </w:r>
          </w:p>
        </w:tc>
      </w:tr>
      <w:tr>
        <w:tblPrEx>
          <w:tblCellMar>
            <w:top w:w="0" w:type="dxa"/>
            <w:left w:w="108" w:type="dxa"/>
            <w:bottom w:w="0" w:type="dxa"/>
            <w:right w:w="108" w:type="dxa"/>
          </w:tblCellMar>
        </w:tblPrEx>
        <w:trPr>
          <w:trHeight w:val="24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2081"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914" w:type="dxa"/>
            <w:gridSpan w:val="3"/>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691"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550"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c>
          <w:tcPr>
            <w:tcW w:w="1394" w:type="dxa"/>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18"/>
              </w:rPr>
            </w:pPr>
          </w:p>
        </w:tc>
      </w:tr>
      <w:tr>
        <w:tblPrEx>
          <w:tblCellMar>
            <w:top w:w="0" w:type="dxa"/>
            <w:left w:w="108" w:type="dxa"/>
            <w:bottom w:w="0" w:type="dxa"/>
            <w:right w:w="108" w:type="dxa"/>
          </w:tblCellMar>
        </w:tblPrEx>
        <w:trPr>
          <w:trHeight w:val="360"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管理指标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30</w:t>
            </w: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预算编审管理</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widowControl/>
              <w:autoSpaceDN/>
              <w:spacing w:line="24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编制准确</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widowControl/>
              <w:autoSpaceDN/>
              <w:spacing w:line="24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准确</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准确</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预算执行管理</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公用经费控制率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sz w:val="18"/>
                <w:lang w:val="en-US" w:eastAsia="zh-CN"/>
              </w:rPr>
            </w:pPr>
            <w:r>
              <w:rPr>
                <w:rFonts w:hint="eastAsia" w:ascii="宋体" w:hAnsi="宋体" w:eastAsia="宋体" w:cs="宋体"/>
                <w:sz w:val="18"/>
                <w:lang w:val="en-US" w:eastAsia="zh-CN"/>
              </w:rPr>
              <w:t>≧</w:t>
            </w:r>
            <w:r>
              <w:rPr>
                <w:rFonts w:hint="eastAsia" w:ascii="宋体" w:hAnsi="宋体"/>
                <w:sz w:val="18"/>
                <w:lang w:val="en-US" w:eastAsia="zh-CN"/>
              </w:rPr>
              <w:t>95%</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98%</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p>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部门结转结余资金管理</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结转结余率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sz w:val="18"/>
                <w:lang w:val="en-US" w:eastAsia="zh-CN"/>
              </w:rPr>
            </w:pPr>
            <w:r>
              <w:rPr>
                <w:rFonts w:hint="eastAsia" w:ascii="宋体" w:hAnsi="宋体"/>
                <w:sz w:val="18"/>
                <w:lang w:val="en-US" w:eastAsia="zh-CN"/>
              </w:rPr>
              <w:t>5%</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2%</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预决算信息公开管理</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val="en-US" w:eastAsia="zh-CN"/>
              </w:rPr>
            </w:pPr>
            <w:r>
              <w:rPr>
                <w:rFonts w:hint="eastAsia" w:ascii="宋体" w:hAnsi="宋体"/>
                <w:sz w:val="18"/>
                <w:lang w:val="en-US" w:eastAsia="zh-CN"/>
              </w:rPr>
              <w:t>按规公开</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按规公开</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按规公开</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部门预算管理</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val="en-US" w:eastAsia="zh-CN"/>
              </w:rPr>
            </w:pPr>
            <w:r>
              <w:rPr>
                <w:rFonts w:hint="eastAsia" w:ascii="宋体" w:hAnsi="宋体"/>
                <w:sz w:val="18"/>
                <w:lang w:val="en-US" w:eastAsia="zh-CN"/>
              </w:rPr>
              <w:t>预算执行规范率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sz w:val="18"/>
                <w:lang w:val="en-US" w:eastAsia="zh-CN"/>
              </w:rPr>
            </w:pPr>
            <w:r>
              <w:rPr>
                <w:rFonts w:hint="eastAsia" w:ascii="宋体" w:hAnsi="宋体" w:eastAsia="宋体" w:cs="宋体"/>
                <w:sz w:val="18"/>
                <w:lang w:val="en-US" w:eastAsia="zh-CN"/>
              </w:rPr>
              <w:t>≦</w:t>
            </w:r>
            <w:r>
              <w:rPr>
                <w:rFonts w:hint="eastAsia" w:ascii="宋体" w:hAnsi="宋体"/>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76%</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政府采购管理</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val="en-US" w:eastAsia="zh-CN"/>
              </w:rPr>
            </w:pPr>
            <w:r>
              <w:rPr>
                <w:rFonts w:hint="eastAsia" w:ascii="宋体" w:hAnsi="宋体"/>
                <w:sz w:val="18"/>
                <w:lang w:val="en-US" w:eastAsia="zh-CN"/>
              </w:rPr>
              <w:t>执行率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宋体" w:hAnsi="宋体" w:eastAsia="宋体"/>
                <w:sz w:val="18"/>
                <w:lang w:val="en-US" w:eastAsia="zh-CN"/>
              </w:rPr>
            </w:pPr>
            <w:r>
              <w:rPr>
                <w:rFonts w:hint="eastAsia" w:ascii="宋体" w:hAnsi="宋体" w:eastAsia="宋体" w:cs="宋体"/>
                <w:sz w:val="18"/>
              </w:rPr>
              <w:t>≧</w:t>
            </w:r>
            <w:r>
              <w:rPr>
                <w:rFonts w:hint="eastAsia" w:ascii="宋体" w:hAnsi="宋体"/>
                <w:sz w:val="18"/>
                <w:lang w:val="en-US" w:eastAsia="zh-CN"/>
              </w:rPr>
              <w:t>95%</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78%</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3</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3</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eastAsia="zh-CN"/>
              </w:rPr>
            </w:pPr>
          </w:p>
        </w:tc>
      </w:tr>
      <w:tr>
        <w:tblPrEx>
          <w:tblCellMar>
            <w:top w:w="0" w:type="dxa"/>
            <w:left w:w="108" w:type="dxa"/>
            <w:bottom w:w="0" w:type="dxa"/>
            <w:right w:w="108" w:type="dxa"/>
          </w:tblCellMar>
        </w:tblPrEx>
        <w:trPr>
          <w:trHeight w:val="360"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资产管理</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val="en-US" w:eastAsia="zh-CN"/>
              </w:rPr>
            </w:pPr>
            <w:r>
              <w:rPr>
                <w:rFonts w:hint="eastAsia" w:ascii="宋体" w:hAnsi="宋体"/>
                <w:sz w:val="18"/>
                <w:lang w:val="en-US" w:eastAsia="zh-CN"/>
              </w:rPr>
              <w:t>制度健全</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eastAsia" w:ascii="宋体" w:hAnsi="宋体" w:eastAsia="宋体"/>
                <w:sz w:val="18"/>
                <w:lang w:eastAsia="zh-CN"/>
              </w:rPr>
            </w:pPr>
            <w:r>
              <w:rPr>
                <w:rFonts w:hint="eastAsia" w:ascii="宋体" w:hAnsi="宋体"/>
                <w:sz w:val="18"/>
                <w:lang w:eastAsia="zh-CN"/>
              </w:rPr>
              <w:t>制度健全</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制度健全</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2</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2</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产出指标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25</w:t>
            </w:r>
          </w:p>
        </w:tc>
        <w:tc>
          <w:tcPr>
            <w:tcW w:w="208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数量指标</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lang w:eastAsia="zh-CN"/>
              </w:rPr>
              <w:t>政务服务完成率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eastAsia="zh-CN"/>
              </w:rPr>
            </w:pPr>
            <w:r>
              <w:rPr>
                <w:rFonts w:hint="eastAsia" w:ascii="宋体" w:hAnsi="宋体"/>
                <w:color w:val="000000"/>
                <w:sz w:val="18"/>
                <w:lang w:eastAsia="zh-CN"/>
              </w:rPr>
              <w:t>年度重点工作完成率</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olor w:val="000000"/>
                <w:sz w:val="18"/>
                <w:lang w:val="en-US" w:eastAsia="zh-CN"/>
              </w:rPr>
            </w:pPr>
          </w:p>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质量指标</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18"/>
                <w:lang w:val="en-US" w:eastAsia="zh-CN"/>
              </w:rPr>
            </w:pPr>
            <w:r>
              <w:rPr>
                <w:rFonts w:hint="eastAsia" w:ascii="宋体" w:hAnsi="宋体"/>
                <w:color w:val="000000"/>
                <w:sz w:val="18"/>
                <w:lang w:val="en-US" w:eastAsia="zh-CN"/>
              </w:rPr>
              <w:t>政务服务周到</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服务周到</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eastAsia" w:ascii="宋体" w:hAnsi="宋体" w:eastAsia="宋体"/>
                <w:color w:val="000000"/>
                <w:sz w:val="18"/>
                <w:lang w:eastAsia="zh-CN"/>
              </w:rPr>
            </w:pPr>
            <w:r>
              <w:rPr>
                <w:rFonts w:hint="eastAsia" w:ascii="宋体" w:hAnsi="宋体"/>
                <w:color w:val="000000"/>
                <w:sz w:val="18"/>
                <w:lang w:eastAsia="zh-CN"/>
              </w:rPr>
              <w:t>服务周到</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lang w:eastAsia="zh-CN"/>
              </w:rPr>
              <w:t>项目完成率</w:t>
            </w:r>
            <w:r>
              <w:rPr>
                <w:rFonts w:hint="eastAsia" w:ascii="宋体" w:hAnsi="宋体"/>
                <w:color w:val="000000"/>
                <w:sz w:val="18"/>
              </w:rPr>
              <w:t>任务2：</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2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时效指标</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lang w:eastAsia="zh-CN"/>
              </w:rPr>
              <w:t>按进度完成工作</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lef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50%</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3</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283" w:hRule="atLeast"/>
        </w:trPr>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效果指标</w:t>
            </w:r>
          </w:p>
        </w:tc>
        <w:tc>
          <w:tcPr>
            <w:tcW w:w="530"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35</w:t>
            </w: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经济效益指标</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color w:val="000000"/>
                <w:sz w:val="18"/>
                <w:lang w:val="en-US" w:eastAsia="zh-CN"/>
              </w:rPr>
            </w:pPr>
            <w:r>
              <w:rPr>
                <w:rFonts w:hint="eastAsia" w:ascii="宋体" w:hAnsi="宋体"/>
                <w:color w:val="000000"/>
                <w:sz w:val="18"/>
                <w:lang w:val="en-US" w:eastAsia="zh-CN"/>
              </w:rPr>
              <w:t>15</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textAlignment w:val="center"/>
              <w:rPr>
                <w:rFonts w:hint="default" w:ascii="宋体" w:hAnsi="宋体"/>
                <w:color w:val="000000"/>
                <w:sz w:val="18"/>
                <w:lang w:val="en-US" w:eastAsia="zh-CN"/>
              </w:rPr>
            </w:pPr>
            <w:r>
              <w:rPr>
                <w:rFonts w:hint="eastAsia" w:ascii="宋体" w:hAnsi="宋体"/>
                <w:color w:val="000000"/>
                <w:sz w:val="18"/>
                <w:lang w:val="en-US" w:eastAsia="zh-CN"/>
              </w:rPr>
              <w:t>15</w:t>
            </w:r>
          </w:p>
        </w:tc>
        <w:tc>
          <w:tcPr>
            <w:tcW w:w="1394" w:type="dxa"/>
            <w:tcBorders>
              <w:top w:val="single" w:color="000000" w:sz="4" w:space="0"/>
              <w:left w:val="single" w:color="000000" w:sz="4" w:space="0"/>
              <w:bottom w:val="single" w:color="000000" w:sz="4" w:space="0"/>
              <w:right w:val="single" w:color="000000" w:sz="4" w:space="0"/>
            </w:tcBorders>
            <w:vAlign w:val="center"/>
          </w:tcPr>
          <w:p/>
        </w:tc>
      </w:tr>
      <w:tr>
        <w:tblPrEx>
          <w:tblCellMar>
            <w:top w:w="0" w:type="dxa"/>
            <w:left w:w="108" w:type="dxa"/>
            <w:bottom w:w="0" w:type="dxa"/>
            <w:right w:w="108" w:type="dxa"/>
          </w:tblCellMar>
        </w:tblPrEx>
        <w:trPr>
          <w:trHeight w:val="33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社会效益指标</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5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 w:cs="Times New Roman"/>
                <w:color w:val="000000"/>
                <w:kern w:val="2"/>
                <w:sz w:val="21"/>
                <w:szCs w:val="21"/>
                <w:lang w:val="en-US" w:eastAsia="zh-CN" w:bidi="ar-SA"/>
              </w:rPr>
            </w:pPr>
            <w:r>
              <w:rPr>
                <w:rFonts w:hint="eastAsia" w:eastAsia="仿宋"/>
                <w:color w:val="000000"/>
                <w:szCs w:val="21"/>
                <w:lang w:eastAsia="zh-CN"/>
              </w:rPr>
              <w:t>无</w:t>
            </w:r>
          </w:p>
        </w:tc>
      </w:tr>
      <w:tr>
        <w:tblPrEx>
          <w:tblCellMar>
            <w:top w:w="0" w:type="dxa"/>
            <w:left w:w="108" w:type="dxa"/>
            <w:bottom w:w="0" w:type="dxa"/>
            <w:right w:w="108" w:type="dxa"/>
          </w:tblCellMar>
        </w:tblPrEx>
        <w:trPr>
          <w:trHeight w:val="318" w:hRule="atLeast"/>
        </w:trPr>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5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18"/>
              </w:rPr>
            </w:pP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生态效益指标</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eastAsia="zh-CN"/>
              </w:rPr>
              <w:t>明显</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5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1394" w:type="dxa"/>
            <w:tcBorders>
              <w:top w:val="single" w:color="000000" w:sz="4" w:space="0"/>
              <w:left w:val="single" w:color="000000" w:sz="4" w:space="0"/>
              <w:bottom w:val="single" w:color="000000" w:sz="4" w:space="0"/>
              <w:right w:val="single" w:color="000000" w:sz="4" w:space="0"/>
            </w:tcBorders>
            <w:vAlign w:val="center"/>
          </w:tcPr>
          <w:p>
            <w:pPr>
              <w:tabs>
                <w:tab w:val="left" w:pos="257"/>
                <w:tab w:val="center" w:pos="649"/>
              </w:tabs>
              <w:jc w:val="left"/>
              <w:rPr>
                <w:rFonts w:hint="eastAsia" w:ascii="Times New Roman" w:hAnsi="Times New Roman" w:eastAsia="仿宋" w:cs="Times New Roman"/>
                <w:color w:val="000000"/>
                <w:kern w:val="2"/>
                <w:sz w:val="21"/>
                <w:szCs w:val="21"/>
                <w:lang w:val="en-US" w:eastAsia="zh-CN" w:bidi="ar-SA"/>
              </w:rPr>
            </w:pPr>
            <w:r>
              <w:rPr>
                <w:rFonts w:hint="eastAsia" w:eastAsia="仿宋"/>
                <w:color w:val="000000"/>
                <w:szCs w:val="21"/>
                <w:lang w:eastAsia="zh-CN"/>
              </w:rPr>
              <w:tab/>
            </w:r>
            <w:r>
              <w:rPr>
                <w:rFonts w:hint="eastAsia" w:eastAsia="仿宋"/>
                <w:color w:val="000000"/>
                <w:szCs w:val="21"/>
                <w:lang w:eastAsia="zh-CN"/>
              </w:rPr>
              <w:tab/>
            </w:r>
            <w:r>
              <w:rPr>
                <w:rFonts w:hint="eastAsia" w:eastAsia="仿宋"/>
                <w:color w:val="000000"/>
                <w:szCs w:val="21"/>
                <w:lang w:eastAsia="zh-CN"/>
              </w:rPr>
              <w:t>无</w:t>
            </w:r>
          </w:p>
        </w:tc>
      </w:tr>
      <w:tr>
        <w:tblPrEx>
          <w:tblCellMar>
            <w:top w:w="0" w:type="dxa"/>
            <w:left w:w="108" w:type="dxa"/>
            <w:bottom w:w="0" w:type="dxa"/>
            <w:right w:w="108" w:type="dxa"/>
          </w:tblCellMar>
        </w:tblPrEx>
        <w:trPr>
          <w:trHeight w:val="674" w:hRule="atLeast"/>
        </w:trPr>
        <w:tc>
          <w:tcPr>
            <w:tcW w:w="63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满意度指标</w:t>
            </w:r>
          </w:p>
        </w:tc>
        <w:tc>
          <w:tcPr>
            <w:tcW w:w="530"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w:t>
            </w:r>
          </w:p>
        </w:tc>
        <w:tc>
          <w:tcPr>
            <w:tcW w:w="2081"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满意度指标</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 w:cs="Times New Roman"/>
                <w:color w:val="000000"/>
                <w:kern w:val="2"/>
                <w:sz w:val="21"/>
                <w:szCs w:val="21"/>
                <w:lang w:val="en-US" w:eastAsia="zh-CN" w:bidi="ar-SA"/>
              </w:rPr>
            </w:pPr>
            <w:r>
              <w:rPr>
                <w:rFonts w:hint="eastAsia" w:ascii="宋体" w:hAnsi="宋体" w:eastAsia="宋体" w:cs="宋体"/>
                <w:color w:val="000000"/>
                <w:sz w:val="18"/>
                <w:szCs w:val="18"/>
                <w:lang w:eastAsia="zh-CN"/>
              </w:rPr>
              <w:t>服务对象满意度</w:t>
            </w:r>
          </w:p>
        </w:tc>
        <w:tc>
          <w:tcPr>
            <w:tcW w:w="91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100%</w:t>
            </w:r>
          </w:p>
        </w:tc>
        <w:tc>
          <w:tcPr>
            <w:tcW w:w="6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lang w:val="en-US" w:eastAsia="zh-CN"/>
              </w:rPr>
              <w:t>10</w:t>
            </w:r>
          </w:p>
        </w:tc>
        <w:tc>
          <w:tcPr>
            <w:tcW w:w="55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宋体"/>
                <w:kern w:val="0"/>
                <w:sz w:val="21"/>
                <w:szCs w:val="21"/>
                <w:lang w:val="en-US" w:eastAsia="zh-CN" w:bidi="ar-SA"/>
              </w:rPr>
            </w:pPr>
            <w:r>
              <w:rPr>
                <w:rFonts w:hint="eastAsia" w:ascii="仿宋" w:hAnsi="仿宋" w:eastAsia="仿宋" w:cs="宋体"/>
                <w:kern w:val="0"/>
                <w:sz w:val="21"/>
                <w:szCs w:val="21"/>
                <w:lang w:val="en-US" w:eastAsia="zh-CN" w:bidi="ar-SA"/>
              </w:rPr>
              <w:t>10</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仿宋" w:cs="Times New Roman"/>
                <w:color w:val="000000"/>
                <w:kern w:val="2"/>
                <w:sz w:val="21"/>
                <w:szCs w:val="21"/>
                <w:lang w:val="en-US" w:eastAsia="zh-CN" w:bidi="ar-SA"/>
              </w:rPr>
            </w:pPr>
            <w:r>
              <w:rPr>
                <w:rFonts w:hint="eastAsia" w:eastAsia="仿宋"/>
                <w:color w:val="000000"/>
                <w:szCs w:val="21"/>
                <w:lang w:eastAsia="zh-CN"/>
              </w:rPr>
              <w:t>无</w:t>
            </w:r>
          </w:p>
        </w:tc>
      </w:tr>
      <w:tr>
        <w:tblPrEx>
          <w:tblCellMar>
            <w:top w:w="0" w:type="dxa"/>
            <w:left w:w="108" w:type="dxa"/>
            <w:bottom w:w="0" w:type="dxa"/>
            <w:right w:w="108" w:type="dxa"/>
          </w:tblCellMar>
        </w:tblPrEx>
        <w:trPr>
          <w:trHeight w:val="300" w:hRule="atLeast"/>
        </w:trPr>
        <w:tc>
          <w:tcPr>
            <w:tcW w:w="6311" w:type="dxa"/>
            <w:gridSpan w:val="11"/>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总分</w:t>
            </w:r>
          </w:p>
        </w:tc>
        <w:tc>
          <w:tcPr>
            <w:tcW w:w="69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r>
              <w:rPr>
                <w:rFonts w:hint="eastAsia" w:ascii="宋体" w:hAnsi="宋体"/>
                <w:color w:val="000000"/>
                <w:sz w:val="18"/>
              </w:rPr>
              <w:t>100</w:t>
            </w:r>
          </w:p>
        </w:tc>
        <w:tc>
          <w:tcPr>
            <w:tcW w:w="55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hint="default" w:ascii="宋体" w:hAnsi="宋体" w:eastAsia="宋体"/>
                <w:color w:val="000000"/>
                <w:sz w:val="18"/>
                <w:lang w:val="en-US" w:eastAsia="zh-CN"/>
              </w:rPr>
            </w:pPr>
            <w:r>
              <w:rPr>
                <w:rFonts w:hint="eastAsia" w:ascii="宋体" w:hAnsi="宋体"/>
                <w:color w:val="000000"/>
                <w:sz w:val="18"/>
                <w:lang w:val="en-US" w:eastAsia="zh-CN"/>
              </w:rPr>
              <w:t>98</w:t>
            </w:r>
          </w:p>
        </w:tc>
        <w:tc>
          <w:tcPr>
            <w:tcW w:w="1394"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color w:val="000000"/>
                <w:sz w:val="18"/>
              </w:rPr>
            </w:pPr>
          </w:p>
        </w:tc>
      </w:tr>
      <w:tr>
        <w:tblPrEx>
          <w:tblCellMar>
            <w:top w:w="0" w:type="dxa"/>
            <w:left w:w="108" w:type="dxa"/>
            <w:bottom w:w="0" w:type="dxa"/>
            <w:right w:w="108" w:type="dxa"/>
          </w:tblCellMar>
        </w:tblPrEx>
        <w:trPr>
          <w:trHeight w:val="852" w:hRule="atLeast"/>
        </w:trPr>
        <w:tc>
          <w:tcPr>
            <w:tcW w:w="8946" w:type="dxa"/>
            <w:gridSpan w:val="14"/>
            <w:tcBorders>
              <w:top w:val="single" w:color="000000" w:sz="4" w:space="0"/>
            </w:tcBorders>
          </w:tcPr>
          <w:p>
            <w:pPr>
              <w:autoSpaceDN w:val="0"/>
              <w:spacing w:line="240" w:lineRule="exact"/>
              <w:jc w:val="left"/>
              <w:textAlignment w:val="top"/>
              <w:rPr>
                <w:rFonts w:ascii="宋体" w:hAnsi="宋体"/>
                <w:color w:val="000000"/>
                <w:sz w:val="18"/>
              </w:rPr>
            </w:pPr>
            <w:r>
              <w:rPr>
                <w:rFonts w:hint="eastAsia" w:ascii="宋体" w:hAnsi="宋体"/>
                <w:color w:val="000000"/>
                <w:sz w:val="18"/>
              </w:rPr>
              <w:t>说明：1.预算部门按照附件3《部门整体支出绩效评价指标体系框架》（参考）设置三级指标和指标</w:t>
            </w:r>
            <w:r>
              <w:rPr>
                <w:rFonts w:hint="eastAsia" w:ascii="宋体" w:hAnsi="宋体"/>
                <w:color w:val="000000"/>
                <w:sz w:val="18"/>
              </w:rPr>
              <w:br w:type="textWrapping"/>
            </w:r>
            <w:r>
              <w:rPr>
                <w:rFonts w:hint="eastAsia" w:ascii="宋体" w:hAnsi="宋体"/>
                <w:color w:val="000000"/>
                <w:sz w:val="18"/>
              </w:rPr>
              <w:t xml:space="preserve">      2.上述产出指标和效益指标根据年初设定的绩效目标既可以按照重点任务完成情况分别填列，也可以依据所有重点任务归纳提炼综合指标。</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N2U1ZWUxYjNkMGQ5NDcyNDI5YTM0ZmMzM2NkNmEifQ=="/>
  </w:docVars>
  <w:rsids>
    <w:rsidRoot w:val="5BBE726A"/>
    <w:rsid w:val="02FB50E2"/>
    <w:rsid w:val="1D734539"/>
    <w:rsid w:val="3DA64963"/>
    <w:rsid w:val="443C68D4"/>
    <w:rsid w:val="45372FC8"/>
    <w:rsid w:val="51796A1C"/>
    <w:rsid w:val="5BBE7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562</Words>
  <Characters>704</Characters>
  <Lines>0</Lines>
  <Paragraphs>0</Paragraphs>
  <TotalTime>23</TotalTime>
  <ScaleCrop>false</ScaleCrop>
  <LinksUpToDate>false</LinksUpToDate>
  <CharactersWithSpaces>732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2021-04-02T08:12:00Z</dcterms:created>
  <dc:creator>Administrator</dc:creator>
  <cp:lastModifiedBy>Administrator</cp:lastModifiedBy>
  <dcterms:modified xsi:type="dcterms:W3CDTF">2022-08-10T08:46:25Z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4C2B50ACFF884B24A99065FA69BDD158</vt:lpwstr>
  </property>
</Properties>
</file>