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5BD4B">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w:t>
      </w:r>
    </w:p>
    <w:p w14:paraId="59D417DF">
      <w:pPr>
        <w:rPr>
          <w:rFonts w:hint="eastAsia" w:ascii="黑体" w:hAnsi="黑体" w:eastAsia="黑体" w:cs="黑体"/>
          <w:sz w:val="32"/>
          <w:szCs w:val="32"/>
        </w:rPr>
      </w:pPr>
    </w:p>
    <w:p w14:paraId="5904A1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庐山</w:t>
      </w:r>
      <w:r>
        <w:rPr>
          <w:rFonts w:hint="eastAsia" w:ascii="方正小标宋简体" w:eastAsia="方正小标宋简体"/>
          <w:sz w:val="44"/>
          <w:szCs w:val="44"/>
        </w:rPr>
        <w:t>烟草专卖局烟草制品零售点</w:t>
      </w:r>
    </w:p>
    <w:p w14:paraId="383393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勘验标准</w:t>
      </w:r>
    </w:p>
    <w:p w14:paraId="18D1AE84">
      <w:pPr>
        <w:jc w:val="center"/>
        <w:rPr>
          <w:rFonts w:ascii="方正小标宋简体" w:eastAsia="方正小标宋简体"/>
          <w:sz w:val="36"/>
        </w:rPr>
      </w:pPr>
    </w:p>
    <w:p w14:paraId="61FDFA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为统一测量标准，规范勘验实施，确保烟草制品零售点勘验公开、公平、公正，依据《</w:t>
      </w:r>
      <w:r>
        <w:rPr>
          <w:rFonts w:hint="eastAsia" w:ascii="仿宋_GB2312" w:hAnsi="Times New Roman" w:eastAsia="仿宋_GB2312" w:cs="Times New Roman"/>
          <w:sz w:val="32"/>
          <w:szCs w:val="32"/>
          <w:lang w:val="en-US" w:eastAsia="zh-CN"/>
        </w:rPr>
        <w:t>庐山风景名胜区</w:t>
      </w:r>
      <w:r>
        <w:rPr>
          <w:rFonts w:hint="eastAsia" w:ascii="仿宋_GB2312" w:hAnsi="Times New Roman" w:eastAsia="仿宋_GB2312" w:cs="Times New Roman"/>
          <w:sz w:val="32"/>
          <w:szCs w:val="32"/>
        </w:rPr>
        <w:t>烟草制品零售点合理布局规定》制定本标准。</w:t>
      </w:r>
    </w:p>
    <w:p w14:paraId="16D00A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本标准适用于</w:t>
      </w:r>
      <w:r>
        <w:rPr>
          <w:rFonts w:hint="eastAsia" w:ascii="仿宋_GB2312" w:hAnsi="Times New Roman" w:eastAsia="仿宋_GB2312" w:cs="Times New Roman"/>
          <w:sz w:val="32"/>
          <w:szCs w:val="32"/>
          <w:lang w:val="en-US" w:eastAsia="zh-CN"/>
        </w:rPr>
        <w:t>庐山</w:t>
      </w:r>
      <w:r>
        <w:rPr>
          <w:rFonts w:hint="eastAsia" w:ascii="仿宋_GB2312" w:hAnsi="Times New Roman" w:eastAsia="仿宋_GB2312" w:cs="Times New Roman"/>
          <w:sz w:val="32"/>
          <w:szCs w:val="32"/>
        </w:rPr>
        <w:t>烟草专卖局对烟草制品零售点布局的勘验工作。</w:t>
      </w:r>
    </w:p>
    <w:p w14:paraId="44BC19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烟草制品零售点勘验包括校园周围、间距、经营面积的测量认定。</w:t>
      </w:r>
    </w:p>
    <w:p w14:paraId="17BAF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14:paraId="4B789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间距按照以下标准测量：</w:t>
      </w:r>
    </w:p>
    <w:p w14:paraId="2A276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14:paraId="2BD92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14:paraId="3EA3AD56">
      <w:pPr>
        <w:ind w:firstLine="640" w:firstLineChars="200"/>
        <w:rPr>
          <w:rFonts w:ascii="仿宋_GB2312" w:hAnsi="Times New Roman" w:eastAsia="仿宋_GB2312" w:cs="Times New Roman"/>
          <w:sz w:val="32"/>
          <w:szCs w:val="32"/>
        </w:rPr>
      </w:pPr>
    </w:p>
    <w:p w14:paraId="09E1103D">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0D28FFA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4F1DF71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784BF76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0D28FFA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DF71E">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84BF76F">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7DF0230D">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（图示一）</w:t>
      </w:r>
    </w:p>
    <w:p w14:paraId="4CE101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14:paraId="7C729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14:paraId="0036F25C">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51F99A0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53EB947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3A7B5788">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B3012B4">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7D272D68">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5600FDD7">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292B17D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43187E40">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32695F26">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5D433DD2">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1F99A0A">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EB9470">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A7B5788">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3012B4">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272D68">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00FDD7">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92B17D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187E40">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695F26">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D433DD2">
                          <w:pPr>
                            <w:snapToGrid w:val="0"/>
                            <w:spacing w:line="240" w:lineRule="exact"/>
                            <w:jc w:val="center"/>
                          </w:pPr>
                          <w:r>
                            <w:rPr>
                              <w:rFonts w:hint="eastAsia"/>
                            </w:rPr>
                            <w:t>②</w:t>
                          </w:r>
                        </w:p>
                      </w:txbxContent>
                    </v:textbox>
                  </v:shape>
                </v:group>
                <w10:wrap type="none"/>
                <w10:anchorlock/>
              </v:group>
            </w:pict>
          </mc:Fallback>
        </mc:AlternateContent>
      </w:r>
    </w:p>
    <w:p w14:paraId="741E948A">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（图示二）</w:t>
      </w:r>
    </w:p>
    <w:p w14:paraId="71AC501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14:paraId="6ADE3C9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184950E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7EB4C3EC">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4364FEC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84950E5">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B4C3EC">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64FEC3">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4DDAB5A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（图示三）</w:t>
      </w:r>
    </w:p>
    <w:p w14:paraId="45A16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14:paraId="2250F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w:t>
      </w:r>
      <w:r>
        <w:rPr>
          <w:rFonts w:hint="eastAsia" w:ascii="仿宋_GB2312" w:hAnsi="Times New Roman" w:eastAsia="仿宋_GB2312" w:cs="Times New Roman"/>
          <w:sz w:val="32"/>
          <w:szCs w:val="32"/>
          <w:lang w:eastAsia="zh-CN"/>
        </w:rPr>
        <w:t>、无禁止穿越交通标识的</w:t>
      </w:r>
      <w:r>
        <w:rPr>
          <w:rFonts w:hint="eastAsia" w:ascii="仿宋_GB2312" w:hAnsi="Times New Roman" w:eastAsia="仿宋_GB2312" w:cs="Times New Roman"/>
          <w:sz w:val="32"/>
          <w:szCs w:val="32"/>
        </w:rPr>
        <w:t>，从申请点起至参照点正常情况下可通行的最短路径进行测量，如图示四：</w:t>
      </w:r>
    </w:p>
    <w:p w14:paraId="1B68F3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40CC614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24D77B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3975A050">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0CC6145">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D77B02">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975A05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14772A4C">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（图示四）</w:t>
      </w:r>
    </w:p>
    <w:p w14:paraId="46C62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14:paraId="18DE5468">
      <w:pPr>
        <w:ind w:firstLine="640" w:firstLineChars="200"/>
        <w:rPr>
          <w:rFonts w:ascii="仿宋_GB2312" w:hAnsi="Times New Roman" w:eastAsia="仿宋_GB2312" w:cs="Times New Roman"/>
          <w:sz w:val="32"/>
          <w:szCs w:val="32"/>
        </w:rPr>
      </w:pPr>
    </w:p>
    <w:p w14:paraId="438AC66B">
      <w:pPr>
        <w:ind w:firstLine="640" w:firstLineChars="200"/>
        <w:rPr>
          <w:rFonts w:ascii="仿宋_GB2312" w:hAnsi="Times New Roman" w:eastAsia="仿宋_GB2312" w:cs="Times New Roman"/>
          <w:sz w:val="32"/>
          <w:szCs w:val="32"/>
        </w:rPr>
      </w:pPr>
    </w:p>
    <w:p w14:paraId="04117D69">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7A50E4B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64B96F8F">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74145B31">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B4E4BD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A50E4B3">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4B96F8F">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4145B31">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B4E4BD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09CE957D">
      <w:pPr>
        <w:rPr>
          <w:rFonts w:ascii="仿宋_GB2312" w:hAnsi="Times New Roman" w:eastAsia="仿宋_GB2312" w:cs="Times New Roman"/>
          <w:sz w:val="32"/>
          <w:szCs w:val="32"/>
        </w:rPr>
      </w:pPr>
    </w:p>
    <w:p w14:paraId="71B4FC0B">
      <w:pPr>
        <w:ind w:firstLine="640" w:firstLineChars="200"/>
        <w:rPr>
          <w:rFonts w:ascii="仿宋_GB2312" w:hAnsi="Times New Roman" w:eastAsia="仿宋_GB2312" w:cs="Times New Roman"/>
          <w:sz w:val="32"/>
          <w:szCs w:val="32"/>
        </w:rPr>
      </w:pPr>
    </w:p>
    <w:p w14:paraId="0E802705">
      <w:pPr>
        <w:ind w:firstLine="640" w:firstLineChars="200"/>
        <w:rPr>
          <w:rFonts w:ascii="仿宋_GB2312" w:hAnsi="Times New Roman" w:eastAsia="仿宋_GB2312" w:cs="Times New Roman"/>
          <w:sz w:val="32"/>
          <w:szCs w:val="32"/>
        </w:rPr>
      </w:pPr>
    </w:p>
    <w:p w14:paraId="29EFA5C8">
      <w:pPr>
        <w:ind w:firstLine="640" w:firstLineChars="200"/>
        <w:rPr>
          <w:rFonts w:ascii="仿宋_GB2312" w:hAnsi="Times New Roman" w:eastAsia="仿宋_GB2312" w:cs="Times New Roman"/>
          <w:sz w:val="32"/>
          <w:szCs w:val="32"/>
        </w:rPr>
      </w:pPr>
    </w:p>
    <w:p w14:paraId="6FB472E4">
      <w:pPr>
        <w:ind w:firstLine="640" w:firstLineChars="200"/>
        <w:rPr>
          <w:rFonts w:ascii="仿宋_GB2312" w:hAnsi="Times New Roman" w:eastAsia="仿宋_GB2312" w:cs="Times New Roman"/>
          <w:sz w:val="32"/>
          <w:szCs w:val="32"/>
        </w:rPr>
      </w:pPr>
    </w:p>
    <w:p w14:paraId="45125979">
      <w:pPr>
        <w:ind w:firstLine="640" w:firstLineChars="200"/>
        <w:rPr>
          <w:rFonts w:ascii="仿宋_GB2312" w:hAnsi="Times New Roman" w:eastAsia="仿宋_GB2312" w:cs="Times New Roman"/>
          <w:sz w:val="32"/>
          <w:szCs w:val="32"/>
        </w:rPr>
      </w:pPr>
    </w:p>
    <w:p w14:paraId="5CDB2741">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（图示五）</w:t>
      </w:r>
    </w:p>
    <w:p w14:paraId="2EAAB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14:paraId="3207F1C8">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26E0F048">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26E0F048">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1CB76593">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3E5C51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CB76593">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5C5102">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15D89FF6">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（图示六）</w:t>
      </w:r>
    </w:p>
    <w:p w14:paraId="7D39B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w:t>
      </w:r>
      <w:r>
        <w:rPr>
          <w:rFonts w:hint="eastAsia" w:ascii="仿宋_GB2312" w:hAnsi="Times New Roman" w:eastAsia="仿宋_GB2312" w:cs="Times New Roman"/>
          <w:sz w:val="32"/>
          <w:szCs w:val="32"/>
          <w:lang w:eastAsia="zh-CN"/>
        </w:rPr>
        <w:t>中设</w:t>
      </w:r>
      <w:r>
        <w:rPr>
          <w:rFonts w:hint="eastAsia" w:ascii="仿宋_GB2312" w:hAnsi="Times New Roman" w:eastAsia="仿宋_GB2312" w:cs="Times New Roman"/>
          <w:sz w:val="32"/>
          <w:szCs w:val="32"/>
        </w:rPr>
        <w:t>有禁止穿越的交通标志（如单实线、双实线等）</w:t>
      </w:r>
      <w:r>
        <w:rPr>
          <w:rFonts w:hint="eastAsia" w:ascii="仿宋_GB2312" w:hAnsi="Times New Roman" w:eastAsia="仿宋_GB2312" w:cs="Times New Roman"/>
          <w:sz w:val="32"/>
          <w:szCs w:val="32"/>
          <w:lang w:eastAsia="zh-CN"/>
        </w:rPr>
        <w:t>或马路隔离栏</w:t>
      </w:r>
      <w:r>
        <w:rPr>
          <w:rFonts w:hint="eastAsia" w:ascii="仿宋_GB2312" w:hAnsi="Times New Roman" w:eastAsia="仿宋_GB2312" w:cs="Times New Roman"/>
          <w:sz w:val="32"/>
          <w:szCs w:val="32"/>
        </w:rPr>
        <w:t>的，按照允许通行的交通标志或设施（如单虚线、人行道、人行天桥、斑马线等）的最短通行距离测量，如图示七：</w:t>
      </w:r>
    </w:p>
    <w:p w14:paraId="51C4910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53AAC3B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7E0F9C3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00F8D883">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AAC3B4">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0F9C3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0F8D88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704AB773">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（图示七）</w:t>
      </w:r>
    </w:p>
    <w:p w14:paraId="52710D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14:paraId="0E3AB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14:paraId="065FA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14:paraId="6E75F6AB">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099B37AC">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5C6D209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2899F498">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2406E82A">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19DA9D0F">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9B37AC">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6D209A">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899F498">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6E82A">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9DA9D0F">
                          <w:pPr>
                            <w:snapToGrid w:val="0"/>
                            <w:spacing w:line="240" w:lineRule="exact"/>
                            <w:jc w:val="center"/>
                          </w:pPr>
                          <w:r>
                            <w:rPr>
                              <w:rFonts w:hint="eastAsia"/>
                            </w:rPr>
                            <w:t>z</w:t>
                          </w:r>
                        </w:p>
                      </w:txbxContent>
                    </v:textbox>
                  </v:shape>
                </v:group>
                <w10:wrap type="none"/>
                <w10:anchorlock/>
              </v:group>
            </w:pict>
          </mc:Fallback>
        </mc:AlternateContent>
      </w:r>
    </w:p>
    <w:p w14:paraId="00F2B36B">
      <w:pPr>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（图示八）</w:t>
      </w:r>
    </w:p>
    <w:p w14:paraId="17628F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14:paraId="11AAD1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14:paraId="7401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面积”指实际用于经营商品陈列，面向消费者开放，可供消费者自由出入的场所的面积。</w:t>
      </w:r>
    </w:p>
    <w:p w14:paraId="593A4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经营场所</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面积按照以下标准测量：</w:t>
      </w:r>
      <w:r>
        <w:rPr>
          <w:rFonts w:hint="eastAsia" w:ascii="仿宋_GB2312" w:hAnsi="Times New Roman" w:eastAsia="仿宋_GB2312" w:cs="Times New Roman"/>
          <w:sz w:val="32"/>
          <w:szCs w:val="32"/>
          <w:lang w:eastAsia="zh-CN"/>
        </w:rPr>
        <w:t>经营</w:t>
      </w:r>
      <w:r>
        <w:rPr>
          <w:rFonts w:hint="eastAsia" w:ascii="仿宋_GB2312" w:hAnsi="Times New Roman" w:eastAsia="仿宋_GB2312" w:cs="Times New Roman"/>
          <w:sz w:val="32"/>
          <w:szCs w:val="32"/>
        </w:rPr>
        <w:t>面积可以房屋产权证记载或租赁合同记载为依据进行认定。房屋产权证或租赁合同无法提供或无法认定的，实际营业面积由两名以上（含两名）执法人员实地测量数据为准。</w:t>
      </w:r>
    </w:p>
    <w:p w14:paraId="071F2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开展实地勘验时，申请人或代理人应在场。</w:t>
      </w:r>
    </w:p>
    <w:p w14:paraId="7A1FB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Times New Roman" w:eastAsia="仿宋_GB2312" w:cs="Times New Roman"/>
          <w:sz w:val="32"/>
          <w:szCs w:val="32"/>
        </w:rPr>
        <w:t xml:space="preserve"> 勘验应当绘图、拍照或全程视频记录。</w:t>
      </w:r>
    </w:p>
    <w:p w14:paraId="042D3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本标准由</w:t>
      </w:r>
      <w:r>
        <w:rPr>
          <w:rFonts w:hint="eastAsia" w:ascii="仿宋_GB2312" w:hAnsi="Times New Roman" w:eastAsia="仿宋_GB2312" w:cs="Times New Roman"/>
          <w:sz w:val="32"/>
          <w:szCs w:val="32"/>
          <w:lang w:val="en-US" w:eastAsia="zh-CN"/>
        </w:rPr>
        <w:t>庐山</w:t>
      </w:r>
      <w:r>
        <w:rPr>
          <w:rFonts w:hint="eastAsia" w:ascii="仿宋_GB2312" w:hAnsi="Times New Roman" w:eastAsia="仿宋_GB2312" w:cs="Times New Roman"/>
          <w:sz w:val="32"/>
          <w:szCs w:val="32"/>
        </w:rPr>
        <w:t>烟草专卖局负责解释。</w:t>
      </w:r>
    </w:p>
    <w:p w14:paraId="02FF3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bookmarkStart w:id="0" w:name="_GoBack"/>
      <w:bookmarkEnd w:id="0"/>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AB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B12E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4704749E"/>
    <w:rsid w:val="498521CD"/>
    <w:rsid w:val="4CF431C6"/>
    <w:rsid w:val="519644B2"/>
    <w:rsid w:val="5A01310B"/>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562C-E471-4A3E-A522-7ADE25DA6E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1147</Words>
  <Characters>1166</Characters>
  <Lines>8</Lines>
  <Paragraphs>2</Paragraphs>
  <TotalTime>6</TotalTime>
  <ScaleCrop>false</ScaleCrop>
  <LinksUpToDate>false</LinksUpToDate>
  <CharactersWithSpaces>1192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2021-03-03T01:11:00Z</dcterms:created>
  <dc:creator>R</dc:creator>
  <cp:lastModifiedBy>闹闹(^_^)橙子</cp:lastModifiedBy>
  <cp:lastPrinted>2025-09-10T08:01:00Z</cp:lastPrinted>
  <dcterms:modified xsi:type="dcterms:W3CDTF">2025-10-15T13:45:50Z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5CC13A3120404A63B982A0AFDE8B4384_13</vt:lpwstr>
  </property>
  <property fmtid="{D5CDD505-2E9C-101B-9397-08002B2CF9AE}" pid="4" name="KSOTemplateDocerSaveRecord">
    <vt:lpwstr>eyJoZGlkIjoiZGNiODFlMjJjZTEwZjlmMzhhOWI1ZTgxZmRlYzVlNTgiLCJ1c2VySWQiOiI4MTExOTA4ODQifQ==</vt:lpwstr>
  </property>
</Properties>
</file>