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fill="FFFFFF"/>
          <w:lang w:val="en-US" w:eastAsia="zh-CN"/>
        </w:rPr>
      </w:pPr>
      <w:r>
        <w:rPr>
          <w:rFonts w:hint="eastAsia" w:ascii="方正小标宋简体" w:hAnsi="方正小标宋简体" w:eastAsia="方正小标宋简体" w:cs="方正小标宋简体"/>
          <w:i w:val="0"/>
          <w:caps w:val="0"/>
          <w:color w:val="auto"/>
          <w:spacing w:val="0"/>
          <w:sz w:val="44"/>
          <w:szCs w:val="44"/>
          <w:highlight w:val="none"/>
          <w:shd w:val="clear" w:fill="FFFFFF"/>
          <w:lang w:val="en-US" w:eastAsia="zh-CN"/>
        </w:rPr>
        <w:t>庐山市委信访局</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aps w:val="0"/>
          <w:color w:val="auto"/>
          <w:spacing w:val="0"/>
          <w:sz w:val="44"/>
          <w:szCs w:val="44"/>
          <w:highlight w:val="none"/>
          <w:shd w:val="clear" w:fill="FFFFFF"/>
          <w:lang w:val="en-US" w:eastAsia="zh-CN"/>
        </w:rPr>
      </w:pPr>
      <w:r>
        <w:rPr>
          <w:rFonts w:hint="eastAsia" w:ascii="方正小标宋简体" w:hAnsi="方正小标宋简体" w:eastAsia="方正小标宋简体" w:cs="方正小标宋简体"/>
          <w:i w:val="0"/>
          <w:caps w:val="0"/>
          <w:color w:val="auto"/>
          <w:spacing w:val="0"/>
          <w:sz w:val="44"/>
          <w:szCs w:val="44"/>
          <w:highlight w:val="none"/>
          <w:shd w:val="clear" w:fill="FFFFFF"/>
          <w:lang w:val="en-US" w:eastAsia="zh-CN"/>
        </w:rPr>
        <w:t>2023年政府信息公开工作年度报告</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i w:val="0"/>
          <w:caps w:val="0"/>
          <w:color w:val="auto"/>
          <w:spacing w:val="0"/>
          <w:sz w:val="32"/>
          <w:szCs w:val="32"/>
          <w:highlight w:val="none"/>
          <w:shd w:val="clear" w:fill="FFFFFF"/>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i w:val="0"/>
          <w:caps w:val="0"/>
          <w:color w:val="auto"/>
          <w:spacing w:val="0"/>
          <w:sz w:val="32"/>
          <w:szCs w:val="32"/>
          <w:highlight w:val="none"/>
          <w:shd w:val="clear" w:fill="FFFFFF"/>
          <w:lang w:val="en-US" w:eastAsia="zh-CN"/>
        </w:rPr>
      </w:pPr>
      <w:r>
        <w:rPr>
          <w:rFonts w:hint="eastAsia" w:ascii="仿宋" w:hAnsi="仿宋" w:eastAsia="仿宋" w:cs="仿宋"/>
          <w:i w:val="0"/>
          <w:caps w:val="0"/>
          <w:color w:val="auto"/>
          <w:spacing w:val="0"/>
          <w:sz w:val="32"/>
          <w:szCs w:val="32"/>
          <w:highlight w:val="none"/>
          <w:shd w:val="clear" w:fill="FFFFFF"/>
          <w:lang w:val="en-US" w:eastAsia="zh-CN"/>
        </w:rPr>
        <w:t>本报告依据《中华人民共和国政府信息公开条例》（以下简称新《条例》）及《2021年江西省政务公开工作方案》（赣府厅〔2021〕30号）要求，由庐山市委信访局结合有关统计数据编制。本年度报告中所列数据的统计期限自2023年1月1日起至2023年12月31日止。全文包括总体情况、主动公开政府信息情况、收到和处理政府信息公开申请情况、政府信息公开行政复议行政诉讼情况、存在的主要问题及改进情况、其他需要报告的事项。本年度报告的电子版可以从庐山市人民政府网站（http://www.lushan.gov.cn）下载。如对本报告有任何疑问，请与庐山市委信访局办公室联系（地址：庐山市南康镇紫阳南路105号市委大门东侧信访局，电话：0792—2661268，邮编：332800）。</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caps w:val="0"/>
          <w:color w:val="auto"/>
          <w:spacing w:val="0"/>
          <w:sz w:val="32"/>
          <w:szCs w:val="32"/>
          <w:highlight w:val="none"/>
          <w:shd w:val="clear" w:fill="FFFFFF"/>
          <w:lang w:val="en-US" w:eastAsia="zh-CN"/>
        </w:rPr>
      </w:pPr>
      <w:r>
        <w:rPr>
          <w:rFonts w:hint="eastAsia" w:ascii="黑体" w:hAnsi="黑体" w:eastAsia="黑体" w:cs="黑体"/>
          <w:b w:val="0"/>
          <w:bCs w:val="0"/>
          <w:i w:val="0"/>
          <w:caps w:val="0"/>
          <w:color w:val="auto"/>
          <w:spacing w:val="0"/>
          <w:sz w:val="32"/>
          <w:szCs w:val="32"/>
          <w:highlight w:val="none"/>
          <w:shd w:val="clear" w:fill="FFFFFF"/>
          <w:lang w:val="en-US" w:eastAsia="zh-CN"/>
        </w:rPr>
        <w:t>一、总体情况</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i w:val="0"/>
          <w:caps w:val="0"/>
          <w:color w:val="auto"/>
          <w:spacing w:val="0"/>
          <w:sz w:val="32"/>
          <w:szCs w:val="32"/>
          <w:highlight w:val="none"/>
          <w:shd w:val="clear" w:fill="FFFFFF"/>
          <w:lang w:val="en-US" w:eastAsia="zh-CN"/>
        </w:rPr>
      </w:pPr>
      <w:r>
        <w:rPr>
          <w:rFonts w:hint="eastAsia" w:ascii="仿宋" w:hAnsi="仿宋" w:eastAsia="仿宋" w:cs="仿宋"/>
          <w:i w:val="0"/>
          <w:caps w:val="0"/>
          <w:color w:val="auto"/>
          <w:spacing w:val="0"/>
          <w:sz w:val="32"/>
          <w:szCs w:val="32"/>
          <w:highlight w:val="none"/>
          <w:shd w:val="clear" w:fill="FFFFFF"/>
          <w:lang w:val="en-US" w:eastAsia="zh-CN"/>
        </w:rPr>
        <w:t>2023年，庐山市委信访局坚持以习近平新时代中国特色社会主义思想为指导，认真贯彻落实习近平总书记关于加强和改进人民信访工作的重要思想，深入学习宣传贯彻党的二十大精神。紧紧围绕我市信访工作实际，坚持人民至上，以及时、准确为原则，充分发挥政府信息公开平台媒介的宣传作用，不断规范和完善信访领域信息公开工作，推动政府信息公开工作取得新成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i w:val="0"/>
          <w:caps w:val="0"/>
          <w:color w:val="auto"/>
          <w:spacing w:val="0"/>
          <w:sz w:val="32"/>
          <w:szCs w:val="32"/>
          <w:highlight w:val="none"/>
          <w:shd w:val="clear" w:fill="FFFFFF"/>
          <w:lang w:val="en-US" w:eastAsia="zh-CN"/>
        </w:rPr>
      </w:pPr>
      <w:r>
        <w:rPr>
          <w:rFonts w:hint="eastAsia" w:ascii="楷体" w:hAnsi="楷体" w:eastAsia="楷体" w:cs="楷体"/>
          <w:i w:val="0"/>
          <w:caps w:val="0"/>
          <w:color w:val="auto"/>
          <w:spacing w:val="0"/>
          <w:sz w:val="32"/>
          <w:szCs w:val="32"/>
          <w:highlight w:val="none"/>
          <w:shd w:val="clear" w:fill="FFFFFF"/>
          <w:lang w:val="en-US" w:eastAsia="zh-CN"/>
        </w:rPr>
        <w:t>（</w:t>
      </w:r>
      <w:r>
        <w:rPr>
          <w:rFonts w:hint="default" w:ascii="楷体" w:hAnsi="楷体" w:eastAsia="楷体" w:cs="楷体"/>
          <w:i w:val="0"/>
          <w:caps w:val="0"/>
          <w:color w:val="auto"/>
          <w:spacing w:val="0"/>
          <w:sz w:val="32"/>
          <w:szCs w:val="32"/>
          <w:highlight w:val="none"/>
          <w:shd w:val="clear" w:fill="FFFFFF"/>
          <w:lang w:eastAsia="zh-CN"/>
        </w:rPr>
        <w:t>一</w:t>
      </w:r>
      <w:r>
        <w:rPr>
          <w:rFonts w:hint="eastAsia" w:ascii="楷体" w:hAnsi="楷体" w:eastAsia="楷体" w:cs="楷体"/>
          <w:i w:val="0"/>
          <w:caps w:val="0"/>
          <w:color w:val="auto"/>
          <w:spacing w:val="0"/>
          <w:sz w:val="32"/>
          <w:szCs w:val="32"/>
          <w:highlight w:val="none"/>
          <w:shd w:val="clear" w:fill="FFFFFF"/>
          <w:lang w:val="en-US" w:eastAsia="zh-CN"/>
        </w:rPr>
        <w:t>）主动公开情况</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i w:val="0"/>
          <w:caps w:val="0"/>
          <w:color w:val="auto"/>
          <w:spacing w:val="0"/>
          <w:sz w:val="32"/>
          <w:szCs w:val="32"/>
          <w:highlight w:val="none"/>
          <w:shd w:val="clear" w:fill="FFFFFF"/>
          <w:lang w:val="en-US" w:eastAsia="zh-CN"/>
        </w:rPr>
      </w:pPr>
      <w:r>
        <w:rPr>
          <w:rFonts w:hint="eastAsia" w:ascii="仿宋" w:hAnsi="仿宋" w:eastAsia="仿宋" w:cs="仿宋"/>
          <w:i w:val="0"/>
          <w:caps w:val="0"/>
          <w:color w:val="auto"/>
          <w:spacing w:val="0"/>
          <w:sz w:val="32"/>
          <w:szCs w:val="32"/>
          <w:highlight w:val="none"/>
          <w:shd w:val="clear" w:fill="FFFFFF"/>
          <w:lang w:val="en-US" w:eastAsia="zh-CN"/>
        </w:rPr>
        <w:t>一年来，详细公开了庐山市信访局部门主要职责、机构职能、领导介绍、财政预决算、三公经费、法律法规等信息，极大地方便了广大群众查询有关信息。2023年度主动发布各类信息共15</w:t>
      </w:r>
      <w:r>
        <w:rPr>
          <w:rFonts w:hint="eastAsia" w:ascii="仿宋" w:hAnsi="仿宋" w:eastAsia="仿宋" w:cs="仿宋"/>
          <w:i w:val="0"/>
          <w:caps w:val="0"/>
          <w:color w:val="auto"/>
          <w:spacing w:val="0"/>
          <w:sz w:val="32"/>
          <w:szCs w:val="32"/>
          <w:highlight w:val="none"/>
          <w:shd w:val="clear" w:fill="FFFFFF"/>
          <w:lang w:val="en-US" w:eastAsia="zh-CN"/>
        </w:rPr>
        <w:t>条，其中：信息公开指南1条</w:t>
      </w:r>
      <w:r>
        <w:rPr>
          <w:rFonts w:hint="eastAsia" w:ascii="仿宋" w:hAnsi="仿宋" w:eastAsia="仿宋" w:cs="仿宋"/>
          <w:i w:val="0"/>
          <w:caps w:val="0"/>
          <w:color w:val="auto"/>
          <w:spacing w:val="0"/>
          <w:sz w:val="32"/>
          <w:szCs w:val="32"/>
          <w:highlight w:val="none"/>
          <w:shd w:val="clear" w:fill="FFFFFF"/>
          <w:lang w:val="en-US" w:eastAsia="zh-CN"/>
        </w:rPr>
        <w:t>，政策文件及解读2条</w:t>
      </w:r>
      <w:r>
        <w:rPr>
          <w:rFonts w:hint="eastAsia" w:ascii="仿宋" w:hAnsi="仿宋" w:eastAsia="仿宋" w:cs="仿宋"/>
          <w:i w:val="0"/>
          <w:caps w:val="0"/>
          <w:color w:val="auto"/>
          <w:spacing w:val="0"/>
          <w:sz w:val="32"/>
          <w:szCs w:val="32"/>
          <w:highlight w:val="none"/>
          <w:shd w:val="clear" w:fill="FFFFFF"/>
          <w:lang w:val="en-US" w:eastAsia="zh-CN"/>
        </w:rPr>
        <w:t>，组织机构及领导信息6条</w:t>
      </w:r>
      <w:r>
        <w:rPr>
          <w:rFonts w:hint="eastAsia" w:ascii="仿宋" w:hAnsi="仿宋" w:eastAsia="仿宋" w:cs="仿宋"/>
          <w:i w:val="0"/>
          <w:caps w:val="0"/>
          <w:color w:val="auto"/>
          <w:spacing w:val="0"/>
          <w:sz w:val="32"/>
          <w:szCs w:val="32"/>
          <w:highlight w:val="none"/>
          <w:shd w:val="clear" w:fill="FFFFFF"/>
          <w:lang w:val="en-US" w:eastAsia="zh-CN"/>
        </w:rPr>
        <w:t>，财政预决算6条。</w:t>
      </w:r>
    </w:p>
    <w:p>
      <w:pPr>
        <w:numPr>
          <w:ilvl w:val="0"/>
          <w:numId w:val="0"/>
        </w:numPr>
        <w:spacing w:line="540" w:lineRule="exact"/>
        <w:ind w:firstLine="640" w:firstLineChars="200"/>
        <w:rPr>
          <w:rFonts w:hint="eastAsia" w:ascii="楷体" w:hAnsi="楷体" w:eastAsia="楷体" w:cs="楷体"/>
          <w:b w:val="0"/>
          <w:bCs/>
          <w:color w:val="auto"/>
          <w:sz w:val="32"/>
          <w:szCs w:val="32"/>
          <w:highlight w:val="none"/>
          <w:lang w:val="en-US" w:eastAsia="zh-CN"/>
        </w:rPr>
      </w:pPr>
      <w:r>
        <w:rPr>
          <w:rFonts w:hint="eastAsia" w:ascii="楷体" w:hAnsi="楷体" w:eastAsia="楷体" w:cs="楷体"/>
          <w:b w:val="0"/>
          <w:bCs/>
          <w:color w:val="auto"/>
          <w:sz w:val="32"/>
          <w:szCs w:val="32"/>
          <w:highlight w:val="none"/>
          <w:lang w:val="en-US" w:eastAsia="zh-CN"/>
        </w:rPr>
        <w:t>（</w:t>
      </w:r>
      <w:r>
        <w:rPr>
          <w:rFonts w:hint="default" w:ascii="楷体" w:hAnsi="楷体" w:eastAsia="楷体" w:cs="楷体"/>
          <w:b w:val="0"/>
          <w:bCs/>
          <w:color w:val="auto"/>
          <w:sz w:val="32"/>
          <w:szCs w:val="32"/>
          <w:highlight w:val="none"/>
          <w:lang w:eastAsia="zh-CN"/>
        </w:rPr>
        <w:t>二</w:t>
      </w:r>
      <w:r>
        <w:rPr>
          <w:rFonts w:hint="eastAsia" w:ascii="楷体" w:hAnsi="楷体" w:eastAsia="楷体" w:cs="楷体"/>
          <w:b w:val="0"/>
          <w:bCs/>
          <w:color w:val="auto"/>
          <w:sz w:val="32"/>
          <w:szCs w:val="32"/>
          <w:highlight w:val="none"/>
          <w:lang w:val="en-US" w:eastAsia="zh-CN"/>
        </w:rPr>
        <w:t>）依申请公开情况</w:t>
      </w:r>
    </w:p>
    <w:p>
      <w:pPr>
        <w:numPr>
          <w:ilvl w:val="0"/>
          <w:numId w:val="0"/>
        </w:numPr>
        <w:spacing w:line="540" w:lineRule="exact"/>
        <w:ind w:firstLine="640" w:firstLineChars="200"/>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2023年，我局受理依申请公开0件，全年未发生因政府信息公开申请的行政复议和提起的行政诉讼案。</w:t>
      </w:r>
    </w:p>
    <w:p>
      <w:pPr>
        <w:numPr>
          <w:ilvl w:val="0"/>
          <w:numId w:val="0"/>
        </w:numPr>
        <w:spacing w:line="540" w:lineRule="exact"/>
        <w:ind w:firstLine="640" w:firstLineChars="200"/>
        <w:rPr>
          <w:rFonts w:hint="eastAsia" w:ascii="楷体" w:hAnsi="楷体" w:eastAsia="楷体" w:cs="楷体"/>
          <w:b w:val="0"/>
          <w:bCs/>
          <w:color w:val="auto"/>
          <w:sz w:val="32"/>
          <w:szCs w:val="32"/>
          <w:highlight w:val="none"/>
          <w:lang w:val="en-US" w:eastAsia="zh-CN"/>
        </w:rPr>
      </w:pPr>
      <w:r>
        <w:rPr>
          <w:rFonts w:hint="eastAsia" w:ascii="楷体" w:hAnsi="楷体" w:eastAsia="楷体" w:cs="楷体"/>
          <w:b w:val="0"/>
          <w:bCs/>
          <w:color w:val="auto"/>
          <w:sz w:val="32"/>
          <w:szCs w:val="32"/>
          <w:highlight w:val="none"/>
          <w:lang w:val="en-US" w:eastAsia="zh-CN"/>
        </w:rPr>
        <w:t>（三）政府信息管理情况</w:t>
      </w:r>
    </w:p>
    <w:p>
      <w:pPr>
        <w:keepNext w:val="0"/>
        <w:keepLines w:val="0"/>
        <w:widowControl/>
        <w:suppressLineNumbers w:val="0"/>
        <w:jc w:val="left"/>
      </w:pPr>
      <w:r>
        <w:rPr>
          <w:rFonts w:hint="eastAsia" w:ascii="仿宋" w:hAnsi="仿宋" w:eastAsia="仿宋" w:cs="仿宋"/>
          <w:i w:val="0"/>
          <w:caps w:val="0"/>
          <w:color w:val="auto"/>
          <w:spacing w:val="0"/>
          <w:sz w:val="32"/>
          <w:szCs w:val="32"/>
          <w:highlight w:val="none"/>
          <w:shd w:val="clear" w:fill="FFFFFF"/>
          <w:lang w:val="en-US" w:eastAsia="zh-CN"/>
        </w:rPr>
        <w:t>完善信息发布审核机制，</w:t>
      </w:r>
      <w:r>
        <w:rPr>
          <w:rFonts w:hint="default" w:ascii="仿宋" w:hAnsi="仿宋" w:eastAsia="仿宋" w:cs="仿宋"/>
          <w:i w:val="0"/>
          <w:caps w:val="0"/>
          <w:color w:val="auto"/>
          <w:spacing w:val="0"/>
          <w:sz w:val="32"/>
          <w:szCs w:val="32"/>
          <w:highlight w:val="none"/>
          <w:shd w:val="clear" w:fill="FFFFFF"/>
          <w:lang w:val="en-US" w:eastAsia="zh-CN"/>
        </w:rPr>
        <w:t>严格落实信息发布“三审</w:t>
      </w:r>
      <w:r>
        <w:rPr>
          <w:rFonts w:hint="eastAsia" w:ascii="仿宋" w:hAnsi="仿宋" w:eastAsia="仿宋" w:cs="仿宋"/>
          <w:i w:val="0"/>
          <w:caps w:val="0"/>
          <w:color w:val="auto"/>
          <w:spacing w:val="0"/>
          <w:sz w:val="32"/>
          <w:szCs w:val="32"/>
          <w:highlight w:val="none"/>
          <w:shd w:val="clear" w:fill="FFFFFF"/>
          <w:lang w:val="en-US" w:eastAsia="zh-CN"/>
        </w:rPr>
        <w:t>三校</w:t>
      </w:r>
      <w:r>
        <w:rPr>
          <w:rFonts w:hint="default" w:ascii="仿宋" w:hAnsi="仿宋" w:eastAsia="仿宋" w:cs="仿宋"/>
          <w:i w:val="0"/>
          <w:caps w:val="0"/>
          <w:color w:val="auto"/>
          <w:spacing w:val="0"/>
          <w:sz w:val="32"/>
          <w:szCs w:val="32"/>
          <w:highlight w:val="none"/>
          <w:shd w:val="clear" w:fill="FFFFFF"/>
          <w:lang w:val="en-US" w:eastAsia="zh-CN"/>
        </w:rPr>
        <w:t>”制度，对拟公开发布的信息，报经有关领导审批同意后方对外发布，保证了公开的信息准确无误。</w:t>
      </w:r>
    </w:p>
    <w:p>
      <w:pPr>
        <w:numPr>
          <w:ilvl w:val="0"/>
          <w:numId w:val="0"/>
        </w:numPr>
        <w:spacing w:line="540" w:lineRule="exact"/>
        <w:ind w:firstLine="640" w:firstLineChars="200"/>
        <w:rPr>
          <w:rFonts w:hint="eastAsia" w:ascii="楷体" w:hAnsi="楷体" w:eastAsia="楷体" w:cs="楷体"/>
          <w:b w:val="0"/>
          <w:bCs/>
          <w:color w:val="auto"/>
          <w:sz w:val="32"/>
          <w:szCs w:val="32"/>
          <w:highlight w:val="none"/>
          <w:lang w:val="en-US" w:eastAsia="zh-CN"/>
        </w:rPr>
      </w:pPr>
      <w:r>
        <w:rPr>
          <w:rFonts w:hint="eastAsia" w:ascii="楷体" w:hAnsi="楷体" w:eastAsia="楷体" w:cs="楷体"/>
          <w:b w:val="0"/>
          <w:bCs/>
          <w:color w:val="auto"/>
          <w:sz w:val="32"/>
          <w:szCs w:val="32"/>
          <w:highlight w:val="none"/>
          <w:lang w:val="en-US" w:eastAsia="zh-CN"/>
        </w:rPr>
        <w:t>（四）平台建设情况</w:t>
      </w:r>
    </w:p>
    <w:p>
      <w:pPr>
        <w:keepNext w:val="0"/>
        <w:keepLines w:val="0"/>
        <w:widowControl/>
        <w:suppressLineNumbers w:val="0"/>
        <w:ind w:firstLine="640" w:firstLineChars="200"/>
        <w:jc w:val="left"/>
        <w:rPr>
          <w:rFonts w:hint="eastAsia" w:ascii="仿宋" w:hAnsi="仿宋" w:eastAsia="仿宋" w:cs="仿宋"/>
          <w:i w:val="0"/>
          <w:caps w:val="0"/>
          <w:color w:val="auto"/>
          <w:spacing w:val="0"/>
          <w:sz w:val="32"/>
          <w:szCs w:val="32"/>
          <w:highlight w:val="none"/>
          <w:shd w:val="clear" w:fill="FFFFFF"/>
          <w:lang w:val="en-US" w:eastAsia="zh-CN"/>
        </w:rPr>
      </w:pPr>
      <w:r>
        <w:rPr>
          <w:rFonts w:hint="default" w:ascii="仿宋" w:hAnsi="仿宋" w:eastAsia="仿宋" w:cs="仿宋"/>
          <w:i w:val="0"/>
          <w:caps w:val="0"/>
          <w:color w:val="auto"/>
          <w:spacing w:val="0"/>
          <w:sz w:val="32"/>
          <w:szCs w:val="32"/>
          <w:highlight w:val="none"/>
          <w:shd w:val="clear" w:fill="FFFFFF"/>
          <w:lang w:val="en-US" w:eastAsia="zh-CN"/>
        </w:rPr>
        <w:t>充分发挥互联网听民声知民情、解民忧纾民困、惠民生暖民心的作用，加强</w:t>
      </w:r>
      <w:r>
        <w:rPr>
          <w:rFonts w:hint="eastAsia" w:ascii="仿宋" w:hAnsi="仿宋" w:eastAsia="仿宋" w:cs="仿宋"/>
          <w:i w:val="0"/>
          <w:caps w:val="0"/>
          <w:color w:val="auto"/>
          <w:spacing w:val="0"/>
          <w:sz w:val="32"/>
          <w:szCs w:val="32"/>
          <w:highlight w:val="none"/>
          <w:shd w:val="clear" w:fill="FFFFFF"/>
          <w:lang w:val="en-US" w:eastAsia="zh-CN"/>
        </w:rPr>
        <w:t>政府</w:t>
      </w:r>
      <w:r>
        <w:rPr>
          <w:rFonts w:hint="default" w:ascii="仿宋" w:hAnsi="仿宋" w:eastAsia="仿宋" w:cs="仿宋"/>
          <w:i w:val="0"/>
          <w:caps w:val="0"/>
          <w:color w:val="auto"/>
          <w:spacing w:val="0"/>
          <w:sz w:val="32"/>
          <w:szCs w:val="32"/>
          <w:highlight w:val="none"/>
          <w:shd w:val="clear" w:fill="FFFFFF"/>
          <w:lang w:val="en-US" w:eastAsia="zh-CN"/>
        </w:rPr>
        <w:t>网站和网上信访系统建设</w:t>
      </w:r>
      <w:r>
        <w:rPr>
          <w:rFonts w:hint="eastAsia" w:ascii="仿宋" w:hAnsi="仿宋" w:eastAsia="仿宋" w:cs="仿宋"/>
          <w:i w:val="0"/>
          <w:caps w:val="0"/>
          <w:color w:val="auto"/>
          <w:spacing w:val="0"/>
          <w:sz w:val="32"/>
          <w:szCs w:val="32"/>
          <w:highlight w:val="none"/>
          <w:shd w:val="clear" w:fill="FFFFFF"/>
          <w:lang w:val="en-US" w:eastAsia="zh-CN"/>
        </w:rPr>
        <w:t>管理</w:t>
      </w:r>
      <w:r>
        <w:rPr>
          <w:rFonts w:hint="default" w:ascii="仿宋" w:hAnsi="仿宋" w:eastAsia="仿宋" w:cs="仿宋"/>
          <w:i w:val="0"/>
          <w:caps w:val="0"/>
          <w:color w:val="auto"/>
          <w:spacing w:val="0"/>
          <w:sz w:val="32"/>
          <w:szCs w:val="32"/>
          <w:highlight w:val="none"/>
          <w:shd w:val="clear" w:fill="FFFFFF"/>
          <w:lang w:val="en-US" w:eastAsia="zh-CN"/>
        </w:rPr>
        <w:t>，保证群众方便快捷反映问题，进一步打造网上信访主渠道。</w:t>
      </w:r>
      <w:r>
        <w:rPr>
          <w:rFonts w:hint="eastAsia" w:ascii="仿宋" w:hAnsi="仿宋" w:eastAsia="仿宋" w:cs="仿宋"/>
          <w:i w:val="0"/>
          <w:caps w:val="0"/>
          <w:color w:val="auto"/>
          <w:spacing w:val="0"/>
          <w:sz w:val="32"/>
          <w:szCs w:val="32"/>
          <w:highlight w:val="none"/>
          <w:shd w:val="clear" w:fill="FFFFFF"/>
          <w:lang w:val="en-US" w:eastAsia="zh-CN"/>
        </w:rPr>
        <w:t>同时，做好门户网站日常监测，发现问题及时处理，有效地保障网站安全平稳高效运行。 </w:t>
      </w:r>
    </w:p>
    <w:p>
      <w:pPr>
        <w:numPr>
          <w:ilvl w:val="0"/>
          <w:numId w:val="0"/>
        </w:numPr>
        <w:spacing w:line="540" w:lineRule="exact"/>
        <w:ind w:firstLine="640" w:firstLineChars="200"/>
        <w:rPr>
          <w:rFonts w:hint="eastAsia" w:ascii="楷体" w:hAnsi="楷体" w:eastAsia="楷体" w:cs="楷体"/>
          <w:b w:val="0"/>
          <w:bCs/>
          <w:color w:val="auto"/>
          <w:sz w:val="32"/>
          <w:szCs w:val="32"/>
          <w:highlight w:val="none"/>
          <w:lang w:val="en-US" w:eastAsia="zh-CN"/>
        </w:rPr>
      </w:pPr>
      <w:r>
        <w:rPr>
          <w:rFonts w:hint="eastAsia" w:ascii="楷体" w:hAnsi="楷体" w:eastAsia="楷体" w:cs="楷体"/>
          <w:b w:val="0"/>
          <w:bCs/>
          <w:color w:val="auto"/>
          <w:sz w:val="32"/>
          <w:szCs w:val="32"/>
          <w:highlight w:val="none"/>
          <w:lang w:val="en-US" w:eastAsia="zh-CN"/>
        </w:rPr>
        <w:t>（五）监督保障情况</w:t>
      </w:r>
    </w:p>
    <w:p>
      <w:pPr>
        <w:keepNext w:val="0"/>
        <w:keepLines w:val="0"/>
        <w:widowControl/>
        <w:suppressLineNumbers w:val="0"/>
        <w:ind w:firstLine="640" w:firstLineChars="200"/>
        <w:jc w:val="left"/>
      </w:pPr>
      <w:r>
        <w:rPr>
          <w:rFonts w:hint="eastAsia" w:ascii="仿宋" w:hAnsi="仿宋" w:eastAsia="仿宋" w:cs="仿宋"/>
          <w:i w:val="0"/>
          <w:caps w:val="0"/>
          <w:color w:val="auto"/>
          <w:spacing w:val="0"/>
          <w:sz w:val="32"/>
          <w:szCs w:val="32"/>
          <w:highlight w:val="none"/>
          <w:shd w:val="clear" w:fill="FFFFFF"/>
          <w:lang w:val="en-US" w:eastAsia="zh-CN"/>
        </w:rPr>
        <w:t>我局在保障政务信息报送工作中，严格落实信息公开审查制度，按照“先审查、后公开”的原则，做好信息发布前保密审查工作，确保公开信息的安全性、真实性和准确性。</w:t>
      </w:r>
      <w:r>
        <w:rPr>
          <w:rFonts w:hint="eastAsia" w:ascii="仿宋" w:hAnsi="仿宋" w:eastAsia="仿宋" w:cs="仿宋"/>
          <w:color w:val="auto"/>
          <w:sz w:val="32"/>
          <w:szCs w:val="32"/>
          <w:highlight w:val="none"/>
          <w:lang w:val="en-US" w:eastAsia="zh-CN"/>
        </w:rPr>
        <w:t>明确分管领导，指定专人负责日常工作，</w:t>
      </w:r>
      <w:r>
        <w:rPr>
          <w:rFonts w:hint="eastAsia" w:ascii="仿宋" w:hAnsi="仿宋" w:eastAsia="仿宋" w:cs="仿宋"/>
          <w:i w:val="0"/>
          <w:caps w:val="0"/>
          <w:color w:val="auto"/>
          <w:spacing w:val="0"/>
          <w:sz w:val="32"/>
          <w:szCs w:val="32"/>
          <w:highlight w:val="none"/>
          <w:shd w:val="clear" w:fill="FFFFFF"/>
          <w:lang w:val="en-US" w:eastAsia="zh-CN"/>
        </w:rPr>
        <w:t>确保信息公开全面、及时、准确、无差错。定期开展督促检查，保障政务信息公开落实落细。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i w:val="0"/>
          <w:caps w:val="0"/>
          <w:color w:val="auto"/>
          <w:spacing w:val="0"/>
          <w:sz w:val="32"/>
          <w:szCs w:val="32"/>
          <w:highlight w:val="none"/>
          <w:shd w:val="clear" w:fill="FFFFFF"/>
          <w:lang w:val="en-US" w:eastAsia="zh-CN"/>
        </w:rPr>
      </w:pPr>
      <w:r>
        <w:rPr>
          <w:rFonts w:hint="eastAsia" w:ascii="黑体" w:hAnsi="黑体" w:eastAsia="黑体" w:cs="黑体"/>
          <w:b w:val="0"/>
          <w:bCs w:val="0"/>
          <w:i w:val="0"/>
          <w:caps w:val="0"/>
          <w:color w:val="auto"/>
          <w:spacing w:val="0"/>
          <w:sz w:val="32"/>
          <w:szCs w:val="32"/>
          <w:highlight w:val="none"/>
          <w:shd w:val="clear" w:fill="FFFFFF"/>
          <w:lang w:val="en-US" w:eastAsia="zh-CN"/>
        </w:rPr>
        <w:t>二、主动公开政府信息情况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018"/>
        <w:gridCol w:w="2024"/>
        <w:gridCol w:w="2024"/>
        <w:gridCol w:w="236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1" w:hRule="atLeast"/>
          <w:jc w:val="center"/>
        </w:trPr>
        <w:tc>
          <w:tcPr>
            <w:tcW w:w="9615" w:type="dxa"/>
            <w:gridSpan w:val="4"/>
            <w:tcBorders>
              <w:top w:val="single" w:color="000000" w:sz="6" w:space="0"/>
              <w:left w:val="single" w:color="000000" w:sz="6" w:space="0"/>
              <w:bottom w:val="single" w:color="000000" w:sz="6" w:space="0"/>
              <w:right w:val="single" w:color="000000" w:sz="6" w:space="0"/>
            </w:tcBorders>
            <w:shd w:val="clear" w:color="auto" w:fill="C6D9F1"/>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229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信息内容</w:t>
            </w:r>
          </w:p>
        </w:tc>
        <w:tc>
          <w:tcPr>
            <w:tcW w:w="2310"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本年制发件数</w:t>
            </w:r>
          </w:p>
        </w:tc>
        <w:tc>
          <w:tcPr>
            <w:tcW w:w="2310"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本年废止件数</w:t>
            </w:r>
          </w:p>
        </w:tc>
        <w:tc>
          <w:tcPr>
            <w:tcW w:w="2325"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229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规章</w:t>
            </w:r>
          </w:p>
        </w:tc>
        <w:tc>
          <w:tcPr>
            <w:tcW w:w="2310"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2310"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2325"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229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行政规范性文件</w:t>
            </w:r>
          </w:p>
        </w:tc>
        <w:tc>
          <w:tcPr>
            <w:tcW w:w="2310"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default" w:ascii="宋体" w:hAnsi="宋体" w:eastAsia="宋体" w:cs="宋体"/>
                <w:color w:val="434343"/>
                <w:sz w:val="24"/>
                <w:szCs w:val="24"/>
              </w:rPr>
            </w:pPr>
            <w:r>
              <w:rPr>
                <w:rFonts w:hint="default" w:ascii="宋体" w:hAnsi="宋体" w:eastAsia="宋体" w:cs="宋体"/>
                <w:color w:val="434343"/>
                <w:sz w:val="24"/>
                <w:szCs w:val="24"/>
              </w:rPr>
              <w:t>0</w:t>
            </w:r>
          </w:p>
        </w:tc>
        <w:tc>
          <w:tcPr>
            <w:tcW w:w="2310"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default" w:ascii="宋体" w:hAnsi="宋体" w:eastAsia="宋体" w:cs="宋体"/>
                <w:color w:val="434343"/>
                <w:sz w:val="24"/>
                <w:szCs w:val="24"/>
              </w:rPr>
            </w:pPr>
            <w:r>
              <w:rPr>
                <w:rFonts w:hint="default" w:ascii="宋体" w:hAnsi="宋体" w:eastAsia="宋体" w:cs="宋体"/>
                <w:color w:val="434343"/>
                <w:sz w:val="24"/>
                <w:szCs w:val="24"/>
              </w:rPr>
              <w:t>0</w:t>
            </w:r>
          </w:p>
        </w:tc>
        <w:tc>
          <w:tcPr>
            <w:tcW w:w="2325"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default" w:ascii="宋体" w:hAnsi="宋体" w:eastAsia="宋体" w:cs="宋体"/>
                <w:color w:val="434343"/>
                <w:sz w:val="24"/>
                <w:szCs w:val="24"/>
              </w:rPr>
            </w:pPr>
            <w:r>
              <w:rPr>
                <w:rFonts w:hint="default"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9615" w:type="dxa"/>
            <w:gridSpan w:val="4"/>
            <w:tcBorders>
              <w:top w:val="nil"/>
              <w:left w:val="single" w:color="000000" w:sz="6" w:space="0"/>
              <w:bottom w:val="single" w:color="000000" w:sz="6" w:space="0"/>
              <w:right w:val="single" w:color="000000" w:sz="6" w:space="0"/>
            </w:tcBorders>
            <w:shd w:val="clear" w:color="auto" w:fill="C6D9F1"/>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229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信息内容</w:t>
            </w:r>
          </w:p>
        </w:tc>
        <w:tc>
          <w:tcPr>
            <w:tcW w:w="7185" w:type="dxa"/>
            <w:gridSpan w:val="3"/>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229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行政许可</w:t>
            </w:r>
          </w:p>
        </w:tc>
        <w:tc>
          <w:tcPr>
            <w:tcW w:w="7185" w:type="dxa"/>
            <w:gridSpan w:val="3"/>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9615" w:type="dxa"/>
            <w:gridSpan w:val="4"/>
            <w:tcBorders>
              <w:top w:val="nil"/>
              <w:left w:val="single" w:color="000000" w:sz="6" w:space="0"/>
              <w:bottom w:val="single" w:color="000000" w:sz="6" w:space="0"/>
              <w:right w:val="single" w:color="000000" w:sz="6" w:space="0"/>
            </w:tcBorders>
            <w:shd w:val="clear" w:color="auto" w:fill="C6D9F1"/>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229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信息内容</w:t>
            </w:r>
          </w:p>
        </w:tc>
        <w:tc>
          <w:tcPr>
            <w:tcW w:w="7185" w:type="dxa"/>
            <w:gridSpan w:val="3"/>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229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行政处罚</w:t>
            </w:r>
          </w:p>
        </w:tc>
        <w:tc>
          <w:tcPr>
            <w:tcW w:w="7185" w:type="dxa"/>
            <w:gridSpan w:val="3"/>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229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行政强制</w:t>
            </w:r>
          </w:p>
        </w:tc>
        <w:tc>
          <w:tcPr>
            <w:tcW w:w="7185" w:type="dxa"/>
            <w:gridSpan w:val="3"/>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9615" w:type="dxa"/>
            <w:gridSpan w:val="4"/>
            <w:tcBorders>
              <w:top w:val="nil"/>
              <w:left w:val="single" w:color="000000" w:sz="6" w:space="0"/>
              <w:bottom w:val="single" w:color="000000" w:sz="6" w:space="0"/>
              <w:right w:val="single" w:color="000000" w:sz="6" w:space="0"/>
            </w:tcBorders>
            <w:shd w:val="clear" w:color="auto" w:fill="C6D9F1"/>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 w:hRule="atLeast"/>
          <w:jc w:val="center"/>
        </w:trPr>
        <w:tc>
          <w:tcPr>
            <w:tcW w:w="229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信息内容</w:t>
            </w:r>
          </w:p>
        </w:tc>
        <w:tc>
          <w:tcPr>
            <w:tcW w:w="7185" w:type="dxa"/>
            <w:gridSpan w:val="3"/>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1" w:hRule="atLeast"/>
          <w:jc w:val="center"/>
        </w:trPr>
        <w:tc>
          <w:tcPr>
            <w:tcW w:w="229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行政事业性收费</w:t>
            </w:r>
          </w:p>
        </w:tc>
        <w:tc>
          <w:tcPr>
            <w:tcW w:w="7185" w:type="dxa"/>
            <w:gridSpan w:val="3"/>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default" w:ascii="宋体" w:hAnsi="宋体" w:eastAsia="宋体" w:cs="宋体"/>
                <w:color w:val="434343"/>
                <w:sz w:val="24"/>
                <w:szCs w:val="24"/>
              </w:rPr>
            </w:pPr>
            <w:r>
              <w:rPr>
                <w:rFonts w:hint="default" w:ascii="宋体" w:hAnsi="宋体" w:eastAsia="宋体" w:cs="宋体"/>
                <w:color w:val="434343"/>
                <w:sz w:val="24"/>
                <w:szCs w:val="24"/>
              </w:rPr>
              <w:t>0</w:t>
            </w:r>
          </w:p>
        </w:tc>
      </w:tr>
    </w:tbl>
    <w:p>
      <w:pPr>
        <w:numPr>
          <w:ilvl w:val="0"/>
          <w:numId w:val="0"/>
        </w:numPr>
        <w:spacing w:line="540" w:lineRule="exact"/>
        <w:rPr>
          <w:rFonts w:hint="eastAsia" w:ascii="黑体" w:hAnsi="黑体" w:eastAsia="黑体" w:cs="黑体"/>
          <w:b w:val="0"/>
          <w:bCs/>
          <w:color w:val="auto"/>
          <w:sz w:val="32"/>
          <w:szCs w:val="32"/>
          <w:highlight w:val="none"/>
          <w:lang w:val="en-US" w:eastAsia="zh-CN"/>
        </w:rPr>
      </w:pPr>
    </w:p>
    <w:p>
      <w:pPr>
        <w:numPr>
          <w:ilvl w:val="0"/>
          <w:numId w:val="1"/>
        </w:numPr>
        <w:spacing w:line="540" w:lineRule="exact"/>
        <w:ind w:firstLine="640" w:firstLineChars="20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收到和处理政府信息公开申请情况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9"/>
        <w:gridCol w:w="805"/>
        <w:gridCol w:w="2677"/>
        <w:gridCol w:w="495"/>
        <w:gridCol w:w="495"/>
        <w:gridCol w:w="482"/>
        <w:gridCol w:w="482"/>
        <w:gridCol w:w="482"/>
        <w:gridCol w:w="880"/>
        <w:gridCol w:w="107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4785" w:type="dxa"/>
            <w:gridSpan w:val="3"/>
            <w:vMerge w:val="restart"/>
            <w:tcBorders>
              <w:top w:val="single" w:color="000000" w:sz="6" w:space="0"/>
              <w:left w:val="single" w:color="000000" w:sz="6" w:space="0"/>
              <w:bottom w:val="double" w:color="C0C0C0" w:sz="6" w:space="0"/>
              <w:right w:val="nil"/>
            </w:tcBorders>
            <w:shd w:val="clear" w:color="auto" w:fill="auto"/>
            <w:tcMar>
              <w:lef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（本列数据的勾稽关系为：第一项加第二项之和，等于第三项加第四项之和）</w:t>
            </w:r>
          </w:p>
        </w:tc>
        <w:tc>
          <w:tcPr>
            <w:tcW w:w="4665" w:type="dxa"/>
            <w:gridSpan w:val="7"/>
            <w:tcBorders>
              <w:top w:val="single" w:color="000000" w:sz="6" w:space="0"/>
              <w:left w:val="single" w:color="000000" w:sz="6" w:space="0"/>
              <w:bottom w:val="single" w:color="000000" w:sz="6" w:space="0"/>
              <w:right w:val="single" w:color="000000"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785" w:type="dxa"/>
            <w:gridSpan w:val="3"/>
            <w:vMerge w:val="continue"/>
            <w:tcBorders>
              <w:top w:val="single" w:color="000000" w:sz="6" w:space="0"/>
              <w:left w:val="single" w:color="000000" w:sz="6" w:space="0"/>
              <w:bottom w:val="double" w:color="C0C0C0" w:sz="6" w:space="0"/>
              <w:right w:val="nil"/>
            </w:tcBorders>
            <w:shd w:val="clear" w:color="auto" w:fill="auto"/>
            <w:tcMar>
              <w:left w:w="105" w:type="dxa"/>
            </w:tcMar>
            <w:vAlign w:val="center"/>
          </w:tcPr>
          <w:p>
            <w:pPr>
              <w:rPr>
                <w:rFonts w:hint="eastAsia" w:ascii="宋体" w:hAnsi="宋体" w:eastAsia="宋体" w:cs="宋体"/>
                <w:sz w:val="24"/>
                <w:szCs w:val="24"/>
              </w:rPr>
            </w:pPr>
          </w:p>
        </w:tc>
        <w:tc>
          <w:tcPr>
            <w:tcW w:w="555" w:type="dxa"/>
            <w:vMerge w:val="restart"/>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自然人</w:t>
            </w:r>
          </w:p>
        </w:tc>
        <w:tc>
          <w:tcPr>
            <w:tcW w:w="3300" w:type="dxa"/>
            <w:gridSpan w:val="5"/>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法人或其他组织</w:t>
            </w:r>
          </w:p>
        </w:tc>
        <w:tc>
          <w:tcPr>
            <w:tcW w:w="540" w:type="dxa"/>
            <w:vMerge w:val="restart"/>
            <w:tcBorders>
              <w:top w:val="nil"/>
              <w:left w:val="single" w:color="000000" w:sz="6" w:space="0"/>
              <w:bottom w:val="double" w:color="C0C0C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785" w:type="dxa"/>
            <w:gridSpan w:val="3"/>
            <w:vMerge w:val="continue"/>
            <w:tcBorders>
              <w:top w:val="single" w:color="000000" w:sz="6" w:space="0"/>
              <w:left w:val="single" w:color="000000" w:sz="6" w:space="0"/>
              <w:bottom w:val="double" w:color="C0C0C0" w:sz="6" w:space="0"/>
              <w:right w:val="nil"/>
            </w:tcBorders>
            <w:shd w:val="clear" w:color="auto" w:fill="auto"/>
            <w:tcMar>
              <w:left w:w="105" w:type="dxa"/>
            </w:tcMar>
            <w:vAlign w:val="center"/>
          </w:tcPr>
          <w:p>
            <w:pPr>
              <w:rPr>
                <w:rFonts w:hint="eastAsia" w:ascii="宋体" w:hAnsi="宋体" w:eastAsia="宋体" w:cs="宋体"/>
                <w:sz w:val="24"/>
                <w:szCs w:val="24"/>
              </w:rPr>
            </w:pPr>
          </w:p>
        </w:tc>
        <w:tc>
          <w:tcPr>
            <w:tcW w:w="555" w:type="dxa"/>
            <w:vMerge w:val="continue"/>
            <w:tcBorders>
              <w:top w:val="nil"/>
              <w:left w:val="single" w:color="000000" w:sz="6" w:space="0"/>
              <w:bottom w:val="single" w:color="00000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555"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企业</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机构</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社会公益组织</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法律服务机构</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其他</w:t>
            </w:r>
          </w:p>
        </w:tc>
        <w:tc>
          <w:tcPr>
            <w:tcW w:w="540" w:type="dxa"/>
            <w:vMerge w:val="continue"/>
            <w:tcBorders>
              <w:top w:val="nil"/>
              <w:left w:val="single" w:color="000000" w:sz="6" w:space="0"/>
              <w:bottom w:val="double" w:color="C0C0C0" w:sz="6" w:space="0"/>
              <w:right w:val="single" w:color="000000" w:sz="6" w:space="0"/>
            </w:tcBorders>
            <w:shd w:val="clear" w:color="auto" w:fill="auto"/>
            <w:vAlign w:val="center"/>
          </w:tcPr>
          <w:p>
            <w:pPr>
              <w:rPr>
                <w:rFonts w:hint="eastAsia" w:ascii="宋体" w:hAnsi="宋体" w:eastAsia="宋体" w:cs="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785" w:type="dxa"/>
            <w:gridSpan w:val="3"/>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一、本年新收政府信息公开申请数量</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785" w:type="dxa"/>
            <w:gridSpan w:val="3"/>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二、上年结转政府信息公开申请数量</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restart"/>
            <w:tcBorders>
              <w:top w:val="nil"/>
              <w:left w:val="single" w:color="000000" w:sz="6" w:space="0"/>
              <w:bottom w:val="double" w:color="C0C0C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三、本年度办理结果</w:t>
            </w:r>
          </w:p>
        </w:tc>
        <w:tc>
          <w:tcPr>
            <w:tcW w:w="4035" w:type="dxa"/>
            <w:gridSpan w:val="2"/>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（一）予以公开</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4035" w:type="dxa"/>
            <w:gridSpan w:val="2"/>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（二）部分公开（区分处理的，只计这一情形，不计其他情形）</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restart"/>
            <w:tcBorders>
              <w:top w:val="nil"/>
              <w:left w:val="single" w:color="000000" w:sz="6" w:space="0"/>
              <w:bottom w:val="double" w:color="C0C0C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（三）不予公开</w:t>
            </w:r>
          </w:p>
        </w:tc>
        <w:tc>
          <w:tcPr>
            <w:tcW w:w="3090" w:type="dxa"/>
            <w:tcBorders>
              <w:top w:val="nil"/>
              <w:left w:val="single" w:color="000000" w:sz="6" w:space="0"/>
              <w:bottom w:val="single" w:color="000000" w:sz="6" w:space="0"/>
              <w:right w:val="nil"/>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1.属于国家秘密</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2.其他法律行政法规禁止公开</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3.危及“三安全一稳定”</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4.保护第三方合法权益</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5.属于三类内部事务信息</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6.属于四类过程性信息</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7.属于行政执法案卷</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8.属于行政查询事项</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restart"/>
            <w:tcBorders>
              <w:top w:val="nil"/>
              <w:left w:val="single" w:color="000000" w:sz="6" w:space="0"/>
              <w:bottom w:val="double" w:color="C0C0C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（四）无法提供</w:t>
            </w:r>
          </w:p>
        </w:tc>
        <w:tc>
          <w:tcPr>
            <w:tcW w:w="3090" w:type="dxa"/>
            <w:tcBorders>
              <w:top w:val="nil"/>
              <w:left w:val="single" w:color="000000" w:sz="6" w:space="0"/>
              <w:bottom w:val="single" w:color="000000" w:sz="6" w:space="0"/>
              <w:right w:val="nil"/>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1.本机关不掌握相关政府信息</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2.没有现成信息需要另行制作</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3.补正后申请内容仍不明确</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restart"/>
            <w:tcBorders>
              <w:top w:val="nil"/>
              <w:left w:val="single" w:color="000000" w:sz="6" w:space="0"/>
              <w:bottom w:val="double" w:color="C0C0C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（五）不予处理</w:t>
            </w:r>
          </w:p>
        </w:tc>
        <w:tc>
          <w:tcPr>
            <w:tcW w:w="3090" w:type="dxa"/>
            <w:tcBorders>
              <w:top w:val="nil"/>
              <w:left w:val="single" w:color="000000" w:sz="6" w:space="0"/>
              <w:bottom w:val="single" w:color="000000" w:sz="6" w:space="0"/>
              <w:right w:val="nil"/>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1.信访举报投诉类申请</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2.重复申请</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3.要求提供公开出版物</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4.无正当理由大量反复申请</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double" w:color="C0C0C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color w:val="434343"/>
                <w:sz w:val="24"/>
                <w:szCs w:val="24"/>
              </w:rPr>
            </w:pPr>
            <w:r>
              <w:rPr>
                <w:rFonts w:hint="eastAsia" w:ascii="宋体" w:hAnsi="宋体" w:eastAsia="宋体" w:cs="宋体"/>
                <w:color w:val="434343"/>
                <w:sz w:val="24"/>
                <w:szCs w:val="24"/>
              </w:rPr>
              <w:t>5.要求行政机关确认或重新出具已获取信息</w:t>
            </w:r>
          </w:p>
        </w:tc>
        <w:tc>
          <w:tcPr>
            <w:tcW w:w="555" w:type="dxa"/>
            <w:tcBorders>
              <w:top w:val="nil"/>
              <w:left w:val="single" w:color="000000" w:sz="6" w:space="0"/>
              <w:bottom w:val="double" w:color="C0C0C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double" w:color="C0C0C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double" w:color="C0C0C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double" w:color="C0C0C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double" w:color="C0C0C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double" w:color="C0C0C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double" w:color="C0C0C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restart"/>
            <w:tcBorders>
              <w:top w:val="nil"/>
              <w:left w:val="single" w:color="000000" w:sz="6" w:space="0"/>
              <w:bottom w:val="double" w:color="C0C0C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（六）其他处理</w:t>
            </w:r>
          </w:p>
        </w:tc>
        <w:tc>
          <w:tcPr>
            <w:tcW w:w="3090"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color w:val="434343"/>
                <w:sz w:val="24"/>
                <w:szCs w:val="24"/>
              </w:rPr>
            </w:pPr>
            <w:r>
              <w:rPr>
                <w:rFonts w:hint="eastAsia" w:ascii="宋体" w:hAnsi="宋体" w:eastAsia="宋体" w:cs="宋体"/>
                <w:color w:val="434343"/>
                <w:sz w:val="24"/>
                <w:szCs w:val="24"/>
              </w:rPr>
              <w:t>1.申请人无正当理由逾期不补正、行政机关不再处理其政府信息公开申请</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color w:val="434343"/>
                <w:sz w:val="24"/>
                <w:szCs w:val="24"/>
              </w:rPr>
            </w:pPr>
            <w:r>
              <w:rPr>
                <w:rFonts w:hint="eastAsia" w:ascii="宋体" w:hAnsi="宋体" w:eastAsia="宋体" w:cs="宋体"/>
                <w:color w:val="434343"/>
                <w:sz w:val="24"/>
                <w:szCs w:val="24"/>
              </w:rPr>
              <w:t>2.申请人逾期未按收费通知要求交纳费用、行政机关不再处理其政府信息公开申请</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810"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3090" w:type="dxa"/>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3.其他</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615" w:type="dxa"/>
            <w:vMerge w:val="continue"/>
            <w:tcBorders>
              <w:top w:val="nil"/>
              <w:left w:val="single" w:color="000000" w:sz="6" w:space="0"/>
              <w:bottom w:val="double" w:color="C0C0C0" w:sz="6" w:space="0"/>
              <w:right w:val="nil"/>
            </w:tcBorders>
            <w:shd w:val="clear" w:color="auto" w:fill="auto"/>
            <w:tcMar>
              <w:left w:w="60" w:type="dxa"/>
            </w:tcMar>
            <w:vAlign w:val="center"/>
          </w:tcPr>
          <w:p>
            <w:pPr>
              <w:rPr>
                <w:rFonts w:hint="eastAsia" w:ascii="宋体" w:hAnsi="宋体" w:eastAsia="宋体" w:cs="宋体"/>
                <w:sz w:val="24"/>
                <w:szCs w:val="24"/>
              </w:rPr>
            </w:pPr>
          </w:p>
        </w:tc>
        <w:tc>
          <w:tcPr>
            <w:tcW w:w="4035" w:type="dxa"/>
            <w:gridSpan w:val="2"/>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（七）总计</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jc w:val="center"/>
        </w:trPr>
        <w:tc>
          <w:tcPr>
            <w:tcW w:w="4785" w:type="dxa"/>
            <w:gridSpan w:val="3"/>
            <w:tcBorders>
              <w:top w:val="nil"/>
              <w:left w:val="single" w:color="000000" w:sz="6" w:space="0"/>
              <w:bottom w:val="single" w:color="000000" w:sz="6" w:space="0"/>
              <w:right w:val="nil"/>
            </w:tcBorders>
            <w:shd w:val="clear" w:color="auto" w:fill="auto"/>
            <w:tcMar>
              <w:lef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color w:val="434343"/>
                <w:sz w:val="24"/>
                <w:szCs w:val="24"/>
              </w:rPr>
            </w:pPr>
            <w:r>
              <w:rPr>
                <w:rFonts w:hint="eastAsia" w:ascii="宋体" w:hAnsi="宋体" w:eastAsia="宋体" w:cs="宋体"/>
                <w:color w:val="434343"/>
                <w:sz w:val="24"/>
                <w:szCs w:val="24"/>
              </w:rPr>
              <w:t>四、结转下年度继续办理</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5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54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r>
    </w:tbl>
    <w:p>
      <w:pPr>
        <w:numPr>
          <w:ilvl w:val="0"/>
          <w:numId w:val="0"/>
        </w:numPr>
        <w:spacing w:line="540" w:lineRule="exact"/>
        <w:rPr>
          <w:rFonts w:hint="eastAsia" w:ascii="黑体" w:hAnsi="黑体" w:eastAsia="黑体" w:cs="黑体"/>
          <w:b w:val="0"/>
          <w:bCs/>
          <w:color w:val="auto"/>
          <w:sz w:val="32"/>
          <w:szCs w:val="32"/>
          <w:highlight w:val="none"/>
        </w:rPr>
      </w:pPr>
    </w:p>
    <w:p>
      <w:pPr>
        <w:numPr>
          <w:ilvl w:val="0"/>
          <w:numId w:val="1"/>
        </w:numPr>
        <w:spacing w:line="540" w:lineRule="exact"/>
        <w:ind w:left="0" w:leftChars="0" w:firstLine="640" w:firstLineChars="20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政府信息公开行政复议、行政诉讼情况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14"/>
        <w:gridCol w:w="411"/>
        <w:gridCol w:w="411"/>
        <w:gridCol w:w="411"/>
        <w:gridCol w:w="1092"/>
        <w:gridCol w:w="436"/>
        <w:gridCol w:w="411"/>
        <w:gridCol w:w="411"/>
        <w:gridCol w:w="411"/>
        <w:gridCol w:w="1092"/>
        <w:gridCol w:w="411"/>
        <w:gridCol w:w="412"/>
        <w:gridCol w:w="412"/>
        <w:gridCol w:w="412"/>
        <w:gridCol w:w="1249"/>
        <w:gridCol w:w="2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jc w:val="center"/>
        </w:trPr>
        <w:tc>
          <w:tcPr>
            <w:tcW w:w="3195" w:type="dxa"/>
            <w:gridSpan w:val="5"/>
            <w:tcBorders>
              <w:top w:val="single" w:color="000000" w:sz="6" w:space="0"/>
              <w:left w:val="single" w:color="000000" w:sz="6" w:space="0"/>
              <w:bottom w:val="single" w:color="000000" w:sz="6" w:space="0"/>
              <w:right w:val="nil"/>
            </w:tcBorders>
            <w:shd w:val="clear" w:color="auto" w:fill="auto"/>
            <w:tcMar>
              <w:lef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行政复议</w:t>
            </w:r>
          </w:p>
        </w:tc>
        <w:tc>
          <w:tcPr>
            <w:tcW w:w="6645" w:type="dxa"/>
            <w:gridSpan w:val="11"/>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435" w:type="dxa"/>
            <w:vMerge w:val="restart"/>
            <w:tcBorders>
              <w:top w:val="nil"/>
              <w:left w:val="single" w:color="000000" w:sz="6" w:space="0"/>
              <w:bottom w:val="single" w:color="000000" w:sz="6" w:space="0"/>
              <w:right w:val="nil"/>
            </w:tcBorders>
            <w:shd w:val="clear" w:color="auto" w:fill="auto"/>
            <w:tcMar>
              <w:lef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结果维持</w:t>
            </w:r>
          </w:p>
        </w:tc>
        <w:tc>
          <w:tcPr>
            <w:tcW w:w="465" w:type="dxa"/>
            <w:vMerge w:val="restart"/>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结果</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纠正</w:t>
            </w:r>
          </w:p>
        </w:tc>
        <w:tc>
          <w:tcPr>
            <w:tcW w:w="465" w:type="dxa"/>
            <w:vMerge w:val="restart"/>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其他</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结果</w:t>
            </w:r>
          </w:p>
        </w:tc>
        <w:tc>
          <w:tcPr>
            <w:tcW w:w="465" w:type="dxa"/>
            <w:vMerge w:val="restart"/>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尚未</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审结</w:t>
            </w:r>
          </w:p>
        </w:tc>
        <w:tc>
          <w:tcPr>
            <w:tcW w:w="1380" w:type="dxa"/>
            <w:vMerge w:val="restart"/>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总计</w:t>
            </w:r>
          </w:p>
        </w:tc>
        <w:tc>
          <w:tcPr>
            <w:tcW w:w="3210" w:type="dxa"/>
            <w:gridSpan w:val="5"/>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未经复议直接起诉</w:t>
            </w:r>
          </w:p>
        </w:tc>
        <w:tc>
          <w:tcPr>
            <w:tcW w:w="3435" w:type="dxa"/>
            <w:gridSpan w:val="6"/>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1" w:hRule="atLeast"/>
          <w:jc w:val="center"/>
        </w:trPr>
        <w:tc>
          <w:tcPr>
            <w:tcW w:w="435" w:type="dxa"/>
            <w:vMerge w:val="continue"/>
            <w:tcBorders>
              <w:top w:val="nil"/>
              <w:left w:val="single" w:color="000000" w:sz="6" w:space="0"/>
              <w:bottom w:val="single" w:color="000000" w:sz="6" w:space="0"/>
              <w:right w:val="nil"/>
            </w:tcBorders>
            <w:shd w:val="clear" w:color="auto" w:fill="auto"/>
            <w:tcMar>
              <w:left w:w="105" w:type="dxa"/>
            </w:tcMar>
            <w:vAlign w:val="center"/>
          </w:tcPr>
          <w:p>
            <w:pPr>
              <w:rPr>
                <w:rFonts w:hint="eastAsia" w:ascii="宋体" w:hAnsi="宋体" w:eastAsia="宋体" w:cs="宋体"/>
                <w:sz w:val="24"/>
                <w:szCs w:val="24"/>
              </w:rPr>
            </w:pPr>
          </w:p>
        </w:tc>
        <w:tc>
          <w:tcPr>
            <w:tcW w:w="465" w:type="dxa"/>
            <w:vMerge w:val="continue"/>
            <w:tcBorders>
              <w:top w:val="nil"/>
              <w:left w:val="single" w:color="000000" w:sz="6" w:space="0"/>
              <w:bottom w:val="single" w:color="000000" w:sz="6" w:space="0"/>
              <w:right w:val="nil"/>
            </w:tcBorders>
            <w:shd w:val="clear" w:color="auto" w:fill="auto"/>
            <w:vAlign w:val="center"/>
          </w:tcPr>
          <w:p>
            <w:pPr>
              <w:rPr>
                <w:rFonts w:hint="eastAsia" w:ascii="宋体" w:hAnsi="宋体" w:eastAsia="宋体" w:cs="宋体"/>
                <w:sz w:val="24"/>
                <w:szCs w:val="24"/>
              </w:rPr>
            </w:pPr>
          </w:p>
        </w:tc>
        <w:tc>
          <w:tcPr>
            <w:tcW w:w="465" w:type="dxa"/>
            <w:vMerge w:val="continue"/>
            <w:tcBorders>
              <w:top w:val="nil"/>
              <w:left w:val="single" w:color="000000" w:sz="6" w:space="0"/>
              <w:bottom w:val="single" w:color="000000" w:sz="6" w:space="0"/>
              <w:right w:val="nil"/>
            </w:tcBorders>
            <w:shd w:val="clear" w:color="auto" w:fill="auto"/>
            <w:vAlign w:val="center"/>
          </w:tcPr>
          <w:p>
            <w:pPr>
              <w:rPr>
                <w:rFonts w:hint="eastAsia" w:ascii="宋体" w:hAnsi="宋体" w:eastAsia="宋体" w:cs="宋体"/>
                <w:sz w:val="24"/>
                <w:szCs w:val="24"/>
              </w:rPr>
            </w:pPr>
          </w:p>
        </w:tc>
        <w:tc>
          <w:tcPr>
            <w:tcW w:w="465" w:type="dxa"/>
            <w:vMerge w:val="continue"/>
            <w:tcBorders>
              <w:top w:val="nil"/>
              <w:left w:val="single" w:color="000000" w:sz="6" w:space="0"/>
              <w:bottom w:val="single" w:color="000000" w:sz="6" w:space="0"/>
              <w:right w:val="nil"/>
            </w:tcBorders>
            <w:shd w:val="clear" w:color="auto" w:fill="auto"/>
            <w:vAlign w:val="center"/>
          </w:tcPr>
          <w:p>
            <w:pPr>
              <w:rPr>
                <w:rFonts w:hint="eastAsia" w:ascii="宋体" w:hAnsi="宋体" w:eastAsia="宋体" w:cs="宋体"/>
                <w:sz w:val="24"/>
                <w:szCs w:val="24"/>
              </w:rPr>
            </w:pPr>
          </w:p>
        </w:tc>
        <w:tc>
          <w:tcPr>
            <w:tcW w:w="1380" w:type="dxa"/>
            <w:vMerge w:val="continue"/>
            <w:tcBorders>
              <w:top w:val="nil"/>
              <w:left w:val="single" w:color="000000" w:sz="6" w:space="0"/>
              <w:bottom w:val="single" w:color="000000" w:sz="6" w:space="0"/>
              <w:right w:val="nil"/>
            </w:tcBorders>
            <w:shd w:val="clear" w:color="auto" w:fill="auto"/>
            <w:vAlign w:val="center"/>
          </w:tcPr>
          <w:p>
            <w:pPr>
              <w:rPr>
                <w:rFonts w:hint="eastAsia" w:ascii="宋体" w:hAnsi="宋体" w:eastAsia="宋体" w:cs="宋体"/>
                <w:sz w:val="24"/>
                <w:szCs w:val="24"/>
              </w:rPr>
            </w:pPr>
          </w:p>
        </w:tc>
        <w:tc>
          <w:tcPr>
            <w:tcW w:w="465" w:type="dxa"/>
            <w:tcBorders>
              <w:top w:val="nil"/>
              <w:left w:val="single" w:color="000000" w:sz="6" w:space="0"/>
              <w:bottom w:val="single" w:color="000000" w:sz="6" w:space="0"/>
              <w:right w:val="nil"/>
            </w:tcBorders>
            <w:shd w:val="clear" w:color="auto" w:fill="auto"/>
            <w:tcMar>
              <w:lef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结果</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维持</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结果</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纠正</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其他</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结果</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尚未</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审结</w:t>
            </w:r>
          </w:p>
        </w:tc>
        <w:tc>
          <w:tcPr>
            <w:tcW w:w="1380"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总计</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结果</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维持</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结果</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纠正</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其他</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结果</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尚未</w:t>
            </w:r>
            <w:r>
              <w:rPr>
                <w:rFonts w:hint="eastAsia" w:ascii="宋体" w:hAnsi="宋体" w:eastAsia="宋体" w:cs="宋体"/>
                <w:color w:val="434343"/>
                <w:sz w:val="24"/>
                <w:szCs w:val="24"/>
              </w:rPr>
              <w:br w:type="textWrapping"/>
            </w:r>
            <w:r>
              <w:rPr>
                <w:rFonts w:hint="eastAsia" w:ascii="宋体" w:hAnsi="宋体" w:eastAsia="宋体" w:cs="宋体"/>
                <w:color w:val="434343"/>
                <w:sz w:val="24"/>
                <w:szCs w:val="24"/>
              </w:rPr>
              <w:t>审结</w:t>
            </w:r>
          </w:p>
        </w:tc>
        <w:tc>
          <w:tcPr>
            <w:tcW w:w="159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总计</w:t>
            </w:r>
          </w:p>
        </w:tc>
        <w:tc>
          <w:tcPr>
            <w:tcW w:w="15"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line="480" w:lineRule="atLeast"/>
              <w:ind w:left="0" w:right="0"/>
              <w:jc w:val="left"/>
              <w:rPr>
                <w:rFonts w:hint="eastAsia" w:ascii="宋体" w:hAnsi="宋体" w:eastAsia="宋体" w:cs="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jc w:val="center"/>
        </w:trPr>
        <w:tc>
          <w:tcPr>
            <w:tcW w:w="435" w:type="dxa"/>
            <w:tcBorders>
              <w:top w:val="nil"/>
              <w:left w:val="single" w:color="000000" w:sz="6" w:space="0"/>
              <w:bottom w:val="single" w:color="000000" w:sz="6" w:space="0"/>
              <w:right w:val="nil"/>
            </w:tcBorders>
            <w:shd w:val="clear" w:color="auto" w:fill="auto"/>
            <w:tcMar>
              <w:lef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1380"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1380"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465" w:type="dxa"/>
            <w:tcBorders>
              <w:top w:val="nil"/>
              <w:left w:val="single" w:color="000000" w:sz="6" w:space="0"/>
              <w:bottom w:val="single" w:color="000000" w:sz="6" w:space="0"/>
              <w:right w:val="nil"/>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1590" w:type="dxa"/>
            <w:tcBorders>
              <w:top w:val="nil"/>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434343"/>
                <w:sz w:val="24"/>
                <w:szCs w:val="24"/>
              </w:rPr>
            </w:pPr>
            <w:r>
              <w:rPr>
                <w:rFonts w:hint="eastAsia" w:ascii="宋体" w:hAnsi="宋体" w:eastAsia="宋体" w:cs="宋体"/>
                <w:color w:val="434343"/>
                <w:sz w:val="24"/>
                <w:szCs w:val="24"/>
              </w:rPr>
              <w:t>0</w:t>
            </w:r>
          </w:p>
        </w:tc>
        <w:tc>
          <w:tcPr>
            <w:tcW w:w="0" w:type="auto"/>
            <w:tcBorders>
              <w:top w:val="outset" w:color="auto" w:sz="6" w:space="0"/>
              <w:left w:val="nil"/>
              <w:bottom w:val="outset" w:color="auto" w:sz="6" w:space="0"/>
              <w:right w:val="outset" w:color="auto" w:sz="6" w:space="0"/>
            </w:tcBorders>
            <w:shd w:val="clear" w:color="auto" w:fill="auto"/>
            <w:vAlign w:val="center"/>
          </w:tcPr>
          <w:p>
            <w:pPr>
              <w:rPr>
                <w:rFonts w:hint="eastAsia" w:ascii="宋体" w:hAnsi="宋体" w:eastAsia="宋体" w:cs="宋体"/>
                <w:sz w:val="24"/>
                <w:szCs w:val="24"/>
              </w:rPr>
            </w:pPr>
          </w:p>
        </w:tc>
      </w:tr>
    </w:tbl>
    <w:p>
      <w:pPr>
        <w:numPr>
          <w:ilvl w:val="0"/>
          <w:numId w:val="0"/>
        </w:numPr>
        <w:spacing w:line="540" w:lineRule="exact"/>
        <w:rPr>
          <w:rFonts w:hint="eastAsia" w:ascii="黑体" w:hAnsi="黑体" w:eastAsia="黑体" w:cs="黑体"/>
          <w:b w:val="0"/>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黑体" w:hAnsi="黑体" w:eastAsia="黑体" w:cs="黑体"/>
          <w:b w:val="0"/>
          <w:bCs/>
          <w:i w:val="0"/>
          <w:caps w:val="0"/>
          <w:color w:val="auto"/>
          <w:spacing w:val="0"/>
          <w:sz w:val="32"/>
          <w:szCs w:val="32"/>
          <w:highlight w:val="none"/>
          <w:shd w:val="clear" w:fill="FFFFFF"/>
          <w:lang w:val="en-US" w:eastAsia="zh-CN"/>
        </w:rPr>
        <w:t>五、</w:t>
      </w:r>
      <w:r>
        <w:rPr>
          <w:rFonts w:hint="eastAsia" w:ascii="黑体" w:hAnsi="黑体" w:eastAsia="黑体" w:cs="黑体"/>
          <w:b w:val="0"/>
          <w:bCs/>
          <w:i w:val="0"/>
          <w:caps w:val="0"/>
          <w:color w:val="auto"/>
          <w:spacing w:val="0"/>
          <w:sz w:val="32"/>
          <w:szCs w:val="32"/>
          <w:highlight w:val="none"/>
          <w:shd w:val="clear" w:fill="FFFFFF"/>
        </w:rPr>
        <w:t>存在的主要问题及改进情况</w:t>
      </w:r>
    </w:p>
    <w:p>
      <w:pPr>
        <w:keepNext w:val="0"/>
        <w:keepLines w:val="0"/>
        <w:widowControl/>
        <w:suppressLineNumbers w:val="0"/>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2023年，庐山市委信访局在政府信息公开工作中虽然取得了一定成效，但离上级要求与群众期盼还存在一定差距。主要表现在</w:t>
      </w:r>
      <w:r>
        <w:rPr>
          <w:rFonts w:hint="default" w:ascii="仿宋" w:hAnsi="仿宋" w:eastAsia="仿宋" w:cs="仿宋"/>
          <w:color w:val="auto"/>
          <w:sz w:val="32"/>
          <w:szCs w:val="32"/>
          <w:highlight w:val="none"/>
          <w:lang w:val="en-US" w:eastAsia="zh-CN"/>
        </w:rPr>
        <w:t>主动公开内容仍需要进一步深化；政策文件解读工作有待进一步加强，解读形式还不够丰富的问题。</w:t>
      </w:r>
    </w:p>
    <w:p>
      <w:pPr>
        <w:keepNext w:val="0"/>
        <w:keepLines w:val="0"/>
        <w:widowControl/>
        <w:suppressLineNumbers w:val="0"/>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针对上述存在的问题，我局将从以下几方面加强改进：</w:t>
      </w:r>
      <w:r>
        <w:rPr>
          <w:rFonts w:hint="default" w:ascii="仿宋" w:hAnsi="仿宋" w:eastAsia="仿宋" w:cs="仿宋"/>
          <w:color w:val="auto"/>
          <w:sz w:val="32"/>
          <w:szCs w:val="32"/>
          <w:highlight w:val="none"/>
          <w:lang w:val="en-US" w:eastAsia="zh-CN"/>
        </w:rPr>
        <w:t>一是进一步强化理论学习。加大对政务公开有关政策文件的学习研究，不断深化思想认识，持续推进公开规范化。</w:t>
      </w:r>
      <w:r>
        <w:rPr>
          <w:rFonts w:hint="eastAsia" w:ascii="仿宋" w:hAnsi="仿宋" w:eastAsia="仿宋" w:cs="仿宋"/>
          <w:color w:val="auto"/>
          <w:sz w:val="32"/>
          <w:szCs w:val="32"/>
          <w:highlight w:val="none"/>
          <w:lang w:val="en-US" w:eastAsia="zh-CN"/>
        </w:rPr>
        <w:t>二</w:t>
      </w:r>
      <w:r>
        <w:rPr>
          <w:rFonts w:hint="default" w:ascii="仿宋" w:hAnsi="仿宋" w:eastAsia="仿宋" w:cs="仿宋"/>
          <w:color w:val="auto"/>
          <w:sz w:val="32"/>
          <w:szCs w:val="32"/>
          <w:highlight w:val="none"/>
          <w:lang w:val="en-US" w:eastAsia="zh-CN"/>
        </w:rPr>
        <w:t>是进一步加强政策解读。从多角度、多形式开拓解读新手段，从群众关切的热点和重点内容出发，深入解读政策文件的内涵，不断提高群众对政策的认识和把握，推动政策落地见效。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（一）需要报告的其他事项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2023年度，我局没有需要报告的其他事项。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（二）收取信息处理费的情况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2023年无收取信息处理费的情况。</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2023年1月29日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FF0000"/>
          <w:sz w:val="32"/>
          <w:szCs w:val="32"/>
          <w:highlight w:val="non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none">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sans-serif">
    <w:altName w:val="URW Book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C1918"/>
    <w:multiLevelType w:val="singleLevel"/>
    <w:tmpl w:val="7EFC191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dit="forms"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NzE5ODUyYzYwNGJlYjBkMjI2NjNjOGJkNzU5OTcifQ=="/>
  </w:docVars>
  <w:rsids>
    <w:rsidRoot w:val="00000000"/>
    <w:rsid w:val="030D6F74"/>
    <w:rsid w:val="072F4BA5"/>
    <w:rsid w:val="0A187F18"/>
    <w:rsid w:val="0BE16ABB"/>
    <w:rsid w:val="0F42566A"/>
    <w:rsid w:val="0FE32618"/>
    <w:rsid w:val="126041C5"/>
    <w:rsid w:val="17534F7D"/>
    <w:rsid w:val="18E60BD9"/>
    <w:rsid w:val="19967281"/>
    <w:rsid w:val="1B1632C6"/>
    <w:rsid w:val="1B931963"/>
    <w:rsid w:val="20F667B9"/>
    <w:rsid w:val="230737A0"/>
    <w:rsid w:val="23B06487"/>
    <w:rsid w:val="2480713E"/>
    <w:rsid w:val="255D2F99"/>
    <w:rsid w:val="27BE530B"/>
    <w:rsid w:val="2C723060"/>
    <w:rsid w:val="364C447E"/>
    <w:rsid w:val="387A39BB"/>
    <w:rsid w:val="3E630A5B"/>
    <w:rsid w:val="41C63728"/>
    <w:rsid w:val="439232B4"/>
    <w:rsid w:val="44935725"/>
    <w:rsid w:val="490264BD"/>
    <w:rsid w:val="49463737"/>
    <w:rsid w:val="4AEB76A1"/>
    <w:rsid w:val="4F7B4A01"/>
    <w:rsid w:val="519D4381"/>
    <w:rsid w:val="53686DDA"/>
    <w:rsid w:val="565D1DDC"/>
    <w:rsid w:val="566E50F8"/>
    <w:rsid w:val="56857A37"/>
    <w:rsid w:val="588A6110"/>
    <w:rsid w:val="5B5EBAB3"/>
    <w:rsid w:val="5D5C2DED"/>
    <w:rsid w:val="5EC53439"/>
    <w:rsid w:val="5FCE6A83"/>
    <w:rsid w:val="61691F7C"/>
    <w:rsid w:val="62796B92"/>
    <w:rsid w:val="651B43D0"/>
    <w:rsid w:val="68601AF3"/>
    <w:rsid w:val="68DD74D8"/>
    <w:rsid w:val="6B187978"/>
    <w:rsid w:val="6EB526D3"/>
    <w:rsid w:val="6EC41F3F"/>
    <w:rsid w:val="6FA06E0D"/>
    <w:rsid w:val="70180DF5"/>
    <w:rsid w:val="71CA4371"/>
    <w:rsid w:val="72B74481"/>
    <w:rsid w:val="74E76FE8"/>
    <w:rsid w:val="75655E76"/>
    <w:rsid w:val="75CE18CE"/>
    <w:rsid w:val="77402867"/>
    <w:rsid w:val="7A545120"/>
    <w:rsid w:val="7ABE2599"/>
    <w:rsid w:val="7B440FF1"/>
    <w:rsid w:val="7C6B90D7"/>
    <w:rsid w:val="7D7C7DE7"/>
    <w:rsid w:val="7E646DFE"/>
    <w:rsid w:val="C77B2D32"/>
    <w:rsid w:val="C7DDEEE6"/>
    <w:rsid w:val="E4FADCE9"/>
    <w:rsid w:val="FEEF9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2225</Words>
  <Characters>2395</Characters>
  <Lines>0</Lines>
  <Paragraphs>0</Paragraphs>
  <TotalTime>28</TotalTime>
  <ScaleCrop>false</ScaleCrop>
  <LinksUpToDate>false</LinksUpToDate>
  <CharactersWithSpaces>2423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2021-01-07T17:14:00Z</dcterms:created>
  <dc:creator>Administrator</dc:creator>
  <cp:lastModifiedBy>admin4</cp:lastModifiedBy>
  <cp:lastPrinted>2023-02-20T22:34:00Z</cp:lastPrinted>
  <dcterms:modified xsi:type="dcterms:W3CDTF">2024-01-29T11:55:59Z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9B9F0BB375434D1FAF657FE04C8ABA7D</vt:lpwstr>
  </property>
</Properties>
</file>