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t>庐山市委信访局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t>2022年政府信息公开工作年度报告</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i w:val="0"/>
          <w:caps w:val="0"/>
          <w:color w:val="auto"/>
          <w:spacing w:val="0"/>
          <w:sz w:val="32"/>
          <w:szCs w:val="32"/>
          <w:highlight w:val="none"/>
          <w:shd w:val="clear" w:fill="FFFFFF"/>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本报告依据《中华人民共和国政府信息公开条例》（以下简称新《条例》）及《2021年江西省政务公开工作方案》（赣府厅〔2021〕30号）要求，由庐山市委信访局结合有关统计数据编制。本年度报告中所列数据的统计期限自2022年1月1日起至2022年12月31日止。全文包括总体情况、主动公开政府信息情况、收到和处理政府信息公开申请情况、政府信息公开行政复议行政诉讼情况、存在的主要问题及改进情况、其他需要报告的事项。本年度报告的电子版可以从庐山市人民政府网站（http://www.lushan.gov.cn/bmxzxxgk/bumeng/xfj/xxgk_196002/zfxxgknb_196027/202301/t20230130_5920471.html）下载。如对本报告有任何疑问，请与庐山市委信访局办公室联系（地址：庐山市南康镇紫阳南路105号市委大门东侧信访局，电话：0792—2661268，邮编：332800）。</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b w:val="0"/>
          <w:bCs w:val="0"/>
          <w:i w:val="0"/>
          <w:caps w:val="0"/>
          <w:color w:val="auto"/>
          <w:spacing w:val="0"/>
          <w:sz w:val="32"/>
          <w:szCs w:val="32"/>
          <w:highlight w:val="none"/>
          <w:shd w:val="clear" w:fill="FFFFFF"/>
          <w:lang w:val="en-US" w:eastAsia="zh-CN"/>
        </w:rPr>
      </w:pPr>
      <w:r>
        <w:rPr>
          <w:rFonts w:hint="eastAsia" w:ascii="黑体" w:hAnsi="黑体" w:eastAsia="黑体" w:cs="黑体"/>
          <w:b w:val="0"/>
          <w:bCs w:val="0"/>
          <w:i w:val="0"/>
          <w:caps w:val="0"/>
          <w:color w:val="auto"/>
          <w:spacing w:val="0"/>
          <w:sz w:val="32"/>
          <w:szCs w:val="32"/>
          <w:highlight w:val="none"/>
          <w:shd w:val="clear" w:fill="FFFFFF"/>
          <w:lang w:val="en-US" w:eastAsia="zh-CN"/>
        </w:rPr>
        <w:t>一、总体情况</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2022年，庐山市委信访局坚持以习近平新时代中国特色社会主义思想为指导，认真贯彻落实习近平总书记关于加强和改进人民信访工作的重要思想，深入学习宣传贯彻党的二十大精神，认真落实省、九江市政务公开相关文件要求，紧紧围绕市委、市政府中心工作，积极回应社会关切，深入重点领域信息公开，健全政务公开机制，进一步拓宽政府信息公开渠道，促进政务公开工作规范化合法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i w:val="0"/>
          <w:caps w:val="0"/>
          <w:color w:val="auto"/>
          <w:spacing w:val="0"/>
          <w:sz w:val="32"/>
          <w:szCs w:val="32"/>
          <w:highlight w:val="none"/>
          <w:shd w:val="clear" w:fill="FFFFFF"/>
          <w:lang w:val="en-US" w:eastAsia="zh-CN"/>
        </w:rPr>
      </w:pPr>
      <w:r>
        <w:rPr>
          <w:rFonts w:hint="eastAsia" w:ascii="楷体" w:hAnsi="楷体" w:eastAsia="楷体" w:cs="楷体"/>
          <w:i w:val="0"/>
          <w:caps w:val="0"/>
          <w:color w:val="auto"/>
          <w:spacing w:val="0"/>
          <w:sz w:val="32"/>
          <w:szCs w:val="32"/>
          <w:highlight w:val="none"/>
          <w:shd w:val="clear" w:fill="FFFFFF"/>
          <w:lang w:val="en-US" w:eastAsia="zh-CN"/>
        </w:rPr>
        <w:t>（</w:t>
      </w:r>
      <w:r>
        <w:rPr>
          <w:rFonts w:hint="default" w:ascii="楷体" w:hAnsi="楷体" w:eastAsia="楷体" w:cs="楷体"/>
          <w:i w:val="0"/>
          <w:caps w:val="0"/>
          <w:color w:val="auto"/>
          <w:spacing w:val="0"/>
          <w:sz w:val="32"/>
          <w:szCs w:val="32"/>
          <w:highlight w:val="none"/>
          <w:shd w:val="clear" w:fill="FFFFFF"/>
          <w:lang w:eastAsia="zh-CN"/>
        </w:rPr>
        <w:t>一</w:t>
      </w:r>
      <w:r>
        <w:rPr>
          <w:rFonts w:hint="eastAsia" w:ascii="楷体" w:hAnsi="楷体" w:eastAsia="楷体" w:cs="楷体"/>
          <w:i w:val="0"/>
          <w:caps w:val="0"/>
          <w:color w:val="auto"/>
          <w:spacing w:val="0"/>
          <w:sz w:val="32"/>
          <w:szCs w:val="32"/>
          <w:highlight w:val="none"/>
          <w:shd w:val="clear" w:fill="FFFFFF"/>
          <w:lang w:val="en-US" w:eastAsia="zh-CN"/>
        </w:rPr>
        <w:t>）主动公开情况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一年来，我局政府门户网站在市政府的全新改版升级后，页面更加简洁大方，栏目板块更加清晰明了，信息服务更加便利。一是栏目更加齐全。2022年，发布各类政务信息共8条，包含网上信访反映渠道（即九江市庐山市数字信访“一网通”服务平台）、政府信息公开指南、部门主要职责、机构职能、领导介绍、财政预决算、法律法规等信息，极大地方便了广大群众查询有关信息。二是内容更加实用。各级机关、组织及广大群众足不出户便可以查询到有关信访工作的相关规定和诉求反映渠道，大大减少了群众信访成本，进一步畅通</w:t>
      </w:r>
      <w:r>
        <w:rPr>
          <w:rFonts w:hint="eastAsia" w:ascii="仿宋" w:hAnsi="仿宋" w:eastAsia="仿宋" w:cs="仿宋"/>
          <w:sz w:val="32"/>
          <w:szCs w:val="32"/>
          <w:lang w:val="en-US" w:eastAsia="zh-CN"/>
        </w:rPr>
        <w:t>和规范了群众诉求表达、利益协调和权益保障通道，实现了信息公开共享和业务联动办理。</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w:t>
      </w:r>
      <w:r>
        <w:rPr>
          <w:rFonts w:hint="default"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lang w:val="en-US" w:eastAsia="zh-CN"/>
        </w:rPr>
        <w:t>）依申请公开情况</w:t>
      </w:r>
    </w:p>
    <w:p>
      <w:pPr>
        <w:numPr>
          <w:ilvl w:val="0"/>
          <w:numId w:val="0"/>
        </w:numPr>
        <w:spacing w:line="540" w:lineRule="exact"/>
        <w:ind w:firstLine="640" w:firstLineChars="200"/>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2022年，我局受理依申请公开0件，全年未发生因政府信息公开申请的行政复议和提起的行政诉讼案。</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（三）政府信息管理情况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制定了政务公开工作制度，</w:t>
      </w:r>
      <w:r>
        <w:rPr>
          <w:rFonts w:hint="eastAsia" w:ascii="仿宋" w:hAnsi="仿宋" w:eastAsia="仿宋" w:cs="仿宋"/>
          <w:b w:val="0"/>
          <w:bCs w:val="0"/>
          <w:color w:val="auto"/>
          <w:sz w:val="32"/>
          <w:szCs w:val="32"/>
          <w:highlight w:val="none"/>
          <w:lang w:val="en-US" w:eastAsia="zh-CN"/>
        </w:rPr>
        <w:t>确保</w:t>
      </w:r>
      <w:r>
        <w:rPr>
          <w:rFonts w:hint="eastAsia" w:ascii="仿宋" w:hAnsi="仿宋" w:eastAsia="仿宋" w:cs="仿宋"/>
          <w:color w:val="auto"/>
          <w:sz w:val="32"/>
          <w:szCs w:val="32"/>
          <w:highlight w:val="none"/>
          <w:lang w:val="en-US" w:eastAsia="zh-CN"/>
        </w:rPr>
        <w:t>在信息发布过程中，第一时间发布本部门重要活动、重大政策等，做到决策公开、执行公开、管理公开、服务公开和结果公开。严格执行三审制度，实行一事一审，先审后发。对未经分管领导及主要负责人签字审核的相关信息，一律不得发布。所有在政府网站上发布的信息内容全部存档备查，确保信息可追溯、能倒查，保证所提供的信息内容合法、完整、准确、及时。</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（四）平台建设情况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我局积极响应市委、市政府的要求，全力推进政务公开平台建设，开设“政策</w:t>
      </w:r>
      <w:r>
        <w:rPr>
          <w:rFonts w:hint="default" w:ascii="仿宋" w:hAnsi="仿宋" w:eastAsia="仿宋" w:cs="仿宋"/>
          <w:color w:val="auto"/>
          <w:sz w:val="32"/>
          <w:szCs w:val="32"/>
          <w:highlight w:val="none"/>
          <w:lang w:eastAsia="zh-CN"/>
        </w:rPr>
        <w:t>文件</w:t>
      </w:r>
      <w:r>
        <w:rPr>
          <w:rFonts w:hint="eastAsia" w:ascii="仿宋" w:hAnsi="仿宋" w:eastAsia="仿宋" w:cs="仿宋"/>
          <w:color w:val="auto"/>
          <w:sz w:val="32"/>
          <w:szCs w:val="32"/>
          <w:highlight w:val="none"/>
          <w:lang w:val="en-US" w:eastAsia="zh-CN"/>
        </w:rPr>
        <w:t>”、“工作动态”等多个信息公开专栏公布相关信息。保障信息、政策、工作动态及时有效对接群众，使公共服务平台真正成为保障和改善民生的重要着力点。</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b w:val="0"/>
          <w:bCs/>
          <w:i w:val="0"/>
          <w:caps w:val="0"/>
          <w:color w:val="auto"/>
          <w:spacing w:val="0"/>
          <w:sz w:val="32"/>
          <w:szCs w:val="32"/>
          <w:highlight w:val="none"/>
          <w:shd w:val="clear" w:fill="FFFFFF"/>
          <w:lang w:val="en-US" w:eastAsia="zh-CN"/>
        </w:rPr>
      </w:pPr>
      <w:r>
        <w:rPr>
          <w:rFonts w:hint="eastAsia" w:ascii="仿宋" w:hAnsi="仿宋" w:eastAsia="仿宋" w:cs="仿宋"/>
          <w:color w:val="auto"/>
          <w:sz w:val="32"/>
          <w:szCs w:val="32"/>
          <w:highlight w:val="none"/>
          <w:lang w:val="en-US" w:eastAsia="zh-CN"/>
        </w:rPr>
        <w:t>我局将政务公开工作纳入重要议事日程，及时成立政务公开工作领导小组，确定分管领导，指定专人负责日常工作，严格按照政府网站栏目要求，及时主动公开部门职责、机构设置、政策法规、财政预决算及信访诉求反映渠道等内容，方便人民群众查询相关信息。</w:t>
      </w:r>
    </w:p>
    <w:p>
      <w:pPr>
        <w:numPr>
          <w:ilvl w:val="0"/>
          <w:numId w:val="0"/>
        </w:numPr>
        <w:spacing w:line="540" w:lineRule="exact"/>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18"/>
        <w:gridCol w:w="2024"/>
        <w:gridCol w:w="2024"/>
        <w:gridCol w:w="23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9615" w:type="dxa"/>
            <w:gridSpan w:val="4"/>
            <w:tcBorders>
              <w:top w:val="single" w:color="000000" w:sz="6" w:space="0"/>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本年制发件数</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本年废止件数</w:t>
            </w:r>
          </w:p>
        </w:tc>
        <w:tc>
          <w:tcPr>
            <w:tcW w:w="2325"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规章</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2325"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行政规范性文件</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c>
          <w:tcPr>
            <w:tcW w:w="2325"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9615" w:type="dxa"/>
            <w:gridSpan w:val="4"/>
            <w:tcBorders>
              <w:top w:val="nil"/>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行政许可</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9615" w:type="dxa"/>
            <w:gridSpan w:val="4"/>
            <w:tcBorders>
              <w:top w:val="nil"/>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行政处罚</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行政强制</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226" w:hRule="atLeast"/>
          <w:jc w:val="center"/>
        </w:trPr>
        <w:tc>
          <w:tcPr>
            <w:tcW w:w="9615" w:type="dxa"/>
            <w:gridSpan w:val="4"/>
            <w:tcBorders>
              <w:top w:val="nil"/>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1"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行政事业性收费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r>
    </w:tbl>
    <w:p>
      <w:pPr>
        <w:numPr>
          <w:ilvl w:val="0"/>
          <w:numId w:val="0"/>
        </w:numPr>
        <w:spacing w:line="540" w:lineRule="exact"/>
        <w:rPr>
          <w:rFonts w:hint="eastAsia" w:ascii="黑体" w:hAnsi="黑体" w:eastAsia="黑体" w:cs="黑体"/>
          <w:b w:val="0"/>
          <w:bCs/>
          <w:color w:val="auto"/>
          <w:sz w:val="32"/>
          <w:szCs w:val="32"/>
          <w:highlight w:val="none"/>
          <w:lang w:val="en-US" w:eastAsia="zh-CN"/>
        </w:rPr>
      </w:pPr>
    </w:p>
    <w:p>
      <w:pPr>
        <w:numPr>
          <w:ilvl w:val="0"/>
          <w:numId w:val="1"/>
        </w:numPr>
        <w:spacing w:line="540" w:lineRule="exact"/>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805"/>
        <w:gridCol w:w="2677"/>
        <w:gridCol w:w="495"/>
        <w:gridCol w:w="495"/>
        <w:gridCol w:w="482"/>
        <w:gridCol w:w="482"/>
        <w:gridCol w:w="482"/>
        <w:gridCol w:w="880"/>
        <w:gridCol w:w="107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785" w:type="dxa"/>
            <w:gridSpan w:val="3"/>
            <w:vMerge w:val="restart"/>
            <w:tcBorders>
              <w:top w:val="single" w:color="000000" w:sz="6" w:space="0"/>
              <w:left w:val="single" w:color="000000" w:sz="6" w:space="0"/>
              <w:bottom w:val="double" w:color="C0C0C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（本列数据的勾稽关系为：第一项加第二项之和，等于第三项加第四项之和）</w:t>
            </w:r>
          </w:p>
        </w:tc>
        <w:tc>
          <w:tcPr>
            <w:tcW w:w="4665" w:type="dxa"/>
            <w:gridSpan w:val="7"/>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85" w:type="dxa"/>
            <w:gridSpan w:val="3"/>
            <w:vMerge w:val="continue"/>
            <w:tcBorders>
              <w:top w:val="single" w:color="000000" w:sz="6" w:space="0"/>
              <w:left w:val="single" w:color="000000" w:sz="6" w:space="0"/>
              <w:bottom w:val="double" w:color="C0C0C0" w:sz="6" w:space="0"/>
              <w:right w:val="nil"/>
            </w:tcBorders>
            <w:shd w:val="clear" w:color="auto" w:fill="auto"/>
            <w:tcMar>
              <w:left w:w="105" w:type="dxa"/>
            </w:tcMar>
            <w:vAlign w:val="center"/>
          </w:tcPr>
          <w:p>
            <w:pPr>
              <w:rPr>
                <w:rFonts w:hint="eastAsia" w:ascii="宋体" w:hAnsi="宋体" w:eastAsia="宋体" w:cs="宋体"/>
                <w:sz w:val="24"/>
                <w:szCs w:val="24"/>
              </w:rPr>
            </w:pPr>
          </w:p>
        </w:tc>
        <w:tc>
          <w:tcPr>
            <w:tcW w:w="555" w:type="dxa"/>
            <w:vMerge w:val="restart"/>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自然人</w:t>
            </w:r>
          </w:p>
        </w:tc>
        <w:tc>
          <w:tcPr>
            <w:tcW w:w="3300" w:type="dxa"/>
            <w:gridSpan w:val="5"/>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法人或其他组织</w:t>
            </w:r>
          </w:p>
        </w:tc>
        <w:tc>
          <w:tcPr>
            <w:tcW w:w="540" w:type="dxa"/>
            <w:vMerge w:val="restart"/>
            <w:tcBorders>
              <w:top w:val="nil"/>
              <w:left w:val="single" w:color="000000" w:sz="6" w:space="0"/>
              <w:bottom w:val="double" w:color="C0C0C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85" w:type="dxa"/>
            <w:gridSpan w:val="3"/>
            <w:vMerge w:val="continue"/>
            <w:tcBorders>
              <w:top w:val="single" w:color="000000" w:sz="6" w:space="0"/>
              <w:left w:val="single" w:color="000000" w:sz="6" w:space="0"/>
              <w:bottom w:val="double" w:color="C0C0C0" w:sz="6" w:space="0"/>
              <w:right w:val="nil"/>
            </w:tcBorders>
            <w:shd w:val="clear" w:color="auto" w:fill="auto"/>
            <w:tcMar>
              <w:left w:w="105" w:type="dxa"/>
            </w:tcMar>
            <w:vAlign w:val="center"/>
          </w:tcPr>
          <w:p>
            <w:pPr>
              <w:rPr>
                <w:rFonts w:hint="eastAsia" w:ascii="宋体" w:hAnsi="宋体" w:eastAsia="宋体" w:cs="宋体"/>
                <w:sz w:val="24"/>
                <w:szCs w:val="24"/>
              </w:rPr>
            </w:pPr>
          </w:p>
        </w:tc>
        <w:tc>
          <w:tcPr>
            <w:tcW w:w="555" w:type="dxa"/>
            <w:vMerge w:val="continue"/>
            <w:tcBorders>
              <w:top w:val="nil"/>
              <w:left w:val="single" w:color="000000" w:sz="6" w:space="0"/>
              <w:bottom w:val="single" w:color="00000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55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企业</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机构</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社会公益组织</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法律服务机构</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p>
        </w:tc>
        <w:tc>
          <w:tcPr>
            <w:tcW w:w="540" w:type="dxa"/>
            <w:vMerge w:val="continue"/>
            <w:tcBorders>
              <w:top w:val="nil"/>
              <w:left w:val="single" w:color="000000" w:sz="6" w:space="0"/>
              <w:bottom w:val="double" w:color="C0C0C0" w:sz="6" w:space="0"/>
              <w:right w:val="single" w:color="000000" w:sz="6" w:space="0"/>
            </w:tcBorders>
            <w:shd w:val="clear" w:color="auto" w:fill="auto"/>
            <w:vAlign w:val="center"/>
          </w:tcPr>
          <w:p>
            <w:pPr>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85" w:type="dxa"/>
            <w:gridSpan w:val="3"/>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一、本年新收政府信息公开申请数量</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85" w:type="dxa"/>
            <w:gridSpan w:val="3"/>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二、上年结转政府信息公开申请数量</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三、本年度办理结果</w:t>
            </w:r>
          </w:p>
        </w:tc>
        <w:tc>
          <w:tcPr>
            <w:tcW w:w="4035" w:type="dxa"/>
            <w:gridSpan w:val="2"/>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（一）予以公开</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4035" w:type="dxa"/>
            <w:gridSpan w:val="2"/>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（二）部分公开（区分处理的，只计这一情形，不计其他情形）</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（三）不予公开</w:t>
            </w:r>
          </w:p>
        </w:tc>
        <w:tc>
          <w:tcPr>
            <w:tcW w:w="3090" w:type="dxa"/>
            <w:tcBorders>
              <w:top w:val="nil"/>
              <w:left w:val="single" w:color="000000" w:sz="6" w:space="0"/>
              <w:bottom w:val="single" w:color="000000" w:sz="6" w:space="0"/>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1.属于国家秘密</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2.其他法律行政法规禁止公开</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3.危及“三安全一稳定”</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4.保护第三方合法权益</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5.属于三类内部事务信息</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6.属于四类过程性信息</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7.属于行政执法案卷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8.属于行政查询事项</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（四）无法提供</w:t>
            </w:r>
          </w:p>
        </w:tc>
        <w:tc>
          <w:tcPr>
            <w:tcW w:w="3090" w:type="dxa"/>
            <w:tcBorders>
              <w:top w:val="nil"/>
              <w:left w:val="single" w:color="000000" w:sz="6" w:space="0"/>
              <w:bottom w:val="single" w:color="000000" w:sz="6" w:space="0"/>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1.本机关不掌握相关政府信息</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2.没有现成信息需要另行制作</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3.补正后申请内容仍不明确</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（五）不予处理</w:t>
            </w:r>
          </w:p>
        </w:tc>
        <w:tc>
          <w:tcPr>
            <w:tcW w:w="3090" w:type="dxa"/>
            <w:tcBorders>
              <w:top w:val="nil"/>
              <w:left w:val="single" w:color="000000" w:sz="6" w:space="0"/>
              <w:bottom w:val="single" w:color="000000" w:sz="6" w:space="0"/>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1.信访举报投诉类申请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2.重复申请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3.要求提供公开出版物</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4.无正当理由大量反复申请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rPr>
              <w:t>5.要求行政机关确认或重新出具已获取信息</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double" w:color="C0C0C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（六）其他处理</w:t>
            </w:r>
          </w:p>
        </w:tc>
        <w:tc>
          <w:tcPr>
            <w:tcW w:w="309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rPr>
              <w:t>1.申请人无正当理由逾期不补正、行政机关不再处理其政府信息公开申请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rPr>
              <w:t>2.申请人逾期未按收费通知要求交纳费用、行政机关不再处理其政府信息公开申请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3.其他</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4035" w:type="dxa"/>
            <w:gridSpan w:val="2"/>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（七）总计</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85" w:type="dxa"/>
            <w:gridSpan w:val="3"/>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四、结转下年度继续办理</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bl>
    <w:p>
      <w:pPr>
        <w:numPr>
          <w:numId w:val="0"/>
        </w:numPr>
        <w:spacing w:line="540" w:lineRule="exact"/>
        <w:rPr>
          <w:rFonts w:hint="eastAsia" w:ascii="黑体" w:hAnsi="黑体" w:eastAsia="黑体" w:cs="黑体"/>
          <w:b w:val="0"/>
          <w:bCs/>
          <w:color w:val="auto"/>
          <w:sz w:val="32"/>
          <w:szCs w:val="32"/>
          <w:highlight w:val="none"/>
        </w:rPr>
      </w:pPr>
    </w:p>
    <w:p>
      <w:pPr>
        <w:numPr>
          <w:ilvl w:val="0"/>
          <w:numId w:val="1"/>
        </w:numPr>
        <w:spacing w:line="540" w:lineRule="exact"/>
        <w:ind w:left="0" w:leftChars="0"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4"/>
        <w:gridCol w:w="411"/>
        <w:gridCol w:w="411"/>
        <w:gridCol w:w="411"/>
        <w:gridCol w:w="1092"/>
        <w:gridCol w:w="436"/>
        <w:gridCol w:w="411"/>
        <w:gridCol w:w="411"/>
        <w:gridCol w:w="411"/>
        <w:gridCol w:w="1092"/>
        <w:gridCol w:w="411"/>
        <w:gridCol w:w="412"/>
        <w:gridCol w:w="412"/>
        <w:gridCol w:w="412"/>
        <w:gridCol w:w="1249"/>
        <w:gridCol w:w="2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jc w:val="center"/>
        </w:trPr>
        <w:tc>
          <w:tcPr>
            <w:tcW w:w="3195" w:type="dxa"/>
            <w:gridSpan w:val="5"/>
            <w:tcBorders>
              <w:top w:val="single" w:color="000000" w:sz="6" w:space="0"/>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行政复议</w:t>
            </w:r>
          </w:p>
        </w:tc>
        <w:tc>
          <w:tcPr>
            <w:tcW w:w="6645" w:type="dxa"/>
            <w:gridSpan w:val="11"/>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435" w:type="dxa"/>
            <w:vMerge w:val="restart"/>
            <w:tcBorders>
              <w:top w:val="nil"/>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结果维持</w:t>
            </w:r>
          </w:p>
        </w:tc>
        <w:tc>
          <w:tcPr>
            <w:tcW w:w="465"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纠正</w:t>
            </w:r>
          </w:p>
        </w:tc>
        <w:tc>
          <w:tcPr>
            <w:tcW w:w="465"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结果</w:t>
            </w:r>
          </w:p>
        </w:tc>
        <w:tc>
          <w:tcPr>
            <w:tcW w:w="465"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尚未</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审结</w:t>
            </w:r>
          </w:p>
        </w:tc>
        <w:tc>
          <w:tcPr>
            <w:tcW w:w="1380"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c>
          <w:tcPr>
            <w:tcW w:w="3210" w:type="dxa"/>
            <w:gridSpan w:val="5"/>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未经复议直接起诉</w:t>
            </w:r>
          </w:p>
        </w:tc>
        <w:tc>
          <w:tcPr>
            <w:tcW w:w="3435" w:type="dxa"/>
            <w:gridSpan w:val="6"/>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1" w:hRule="atLeast"/>
          <w:jc w:val="center"/>
        </w:trPr>
        <w:tc>
          <w:tcPr>
            <w:tcW w:w="435" w:type="dxa"/>
            <w:vMerge w:val="continue"/>
            <w:tcBorders>
              <w:top w:val="nil"/>
              <w:left w:val="single" w:color="000000" w:sz="6" w:space="0"/>
              <w:bottom w:val="single" w:color="000000" w:sz="6" w:space="0"/>
              <w:right w:val="nil"/>
            </w:tcBorders>
            <w:shd w:val="clear" w:color="auto" w:fill="auto"/>
            <w:tcMar>
              <w:left w:w="105" w:type="dxa"/>
            </w:tcMar>
            <w:vAlign w:val="center"/>
          </w:tcPr>
          <w:p>
            <w:pPr>
              <w:rPr>
                <w:rFonts w:hint="eastAsia" w:ascii="宋体" w:hAnsi="宋体" w:eastAsia="宋体" w:cs="宋体"/>
                <w:sz w:val="24"/>
                <w:szCs w:val="24"/>
              </w:rPr>
            </w:pPr>
          </w:p>
        </w:tc>
        <w:tc>
          <w:tcPr>
            <w:tcW w:w="465"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465"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465"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1380"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465" w:type="dxa"/>
            <w:tcBorders>
              <w:top w:val="nil"/>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维持</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纠正</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结果</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尚未</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审结</w:t>
            </w:r>
          </w:p>
        </w:tc>
        <w:tc>
          <w:tcPr>
            <w:tcW w:w="138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维持</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纠正</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结果</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尚未</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审结</w:t>
            </w:r>
          </w:p>
        </w:tc>
        <w:tc>
          <w:tcPr>
            <w:tcW w:w="159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c>
          <w:tcPr>
            <w:tcW w:w="1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35" w:type="dxa"/>
            <w:tcBorders>
              <w:top w:val="nil"/>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38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38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59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0" w:type="auto"/>
            <w:tcBorders>
              <w:top w:val="outset" w:color="auto" w:sz="6" w:space="0"/>
              <w:left w:val="nil"/>
              <w:bottom w:val="outset" w:color="auto" w:sz="6" w:space="0"/>
              <w:right w:val="outset" w:color="auto" w:sz="6" w:space="0"/>
            </w:tcBorders>
            <w:shd w:val="clear" w:color="auto" w:fill="auto"/>
            <w:vAlign w:val="center"/>
          </w:tcPr>
          <w:p>
            <w:pPr>
              <w:rPr>
                <w:rFonts w:hint="eastAsia" w:ascii="宋体" w:hAnsi="宋体" w:eastAsia="宋体" w:cs="宋体"/>
                <w:sz w:val="24"/>
                <w:szCs w:val="24"/>
              </w:rPr>
            </w:pPr>
          </w:p>
        </w:tc>
      </w:tr>
    </w:tbl>
    <w:p>
      <w:pPr>
        <w:numPr>
          <w:numId w:val="0"/>
        </w:numPr>
        <w:spacing w:line="540" w:lineRule="exact"/>
        <w:rPr>
          <w:rFonts w:hint="eastAsia" w:ascii="黑体" w:hAnsi="黑体" w:eastAsia="黑体" w:cs="黑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黑体" w:hAnsi="黑体" w:eastAsia="黑体" w:cs="黑体"/>
          <w:b w:val="0"/>
          <w:bCs/>
          <w:i w:val="0"/>
          <w:caps w:val="0"/>
          <w:color w:val="auto"/>
          <w:spacing w:val="0"/>
          <w:sz w:val="32"/>
          <w:szCs w:val="32"/>
          <w:highlight w:val="none"/>
          <w:shd w:val="clear" w:fill="FFFFFF"/>
          <w:lang w:val="en-US" w:eastAsia="zh-CN"/>
        </w:rPr>
        <w:t>五、</w:t>
      </w:r>
      <w:r>
        <w:rPr>
          <w:rFonts w:hint="eastAsia" w:ascii="黑体" w:hAnsi="黑体" w:eastAsia="黑体" w:cs="黑体"/>
          <w:b w:val="0"/>
          <w:bCs/>
          <w:i w:val="0"/>
          <w:caps w:val="0"/>
          <w:color w:val="auto"/>
          <w:spacing w:val="0"/>
          <w:sz w:val="32"/>
          <w:szCs w:val="32"/>
          <w:highlight w:val="none"/>
          <w:shd w:val="clear" w:fill="FFFFFF"/>
        </w:rPr>
        <w:t>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局政府信息公开工作在市委、市政府的正确领导和上级信访部门的大力支持下，虽然取得了一定成绩，但也存在一些问题：一是无行政审批、行政执法等职能，针对上级交办的信访事项以及群众直接反映的各类诉求，因涉及个人隐私，属于不宜公开发布的内容。二是部分政策文件及有关工作报告等均属涉密信息，不宜公开。实际公开的信息较少，内容不够丰富。三是服务意识有待增强，政务信息化工作与群众的期盼存在差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上述存在的问题，我局将从以下几方面加强改进：一是在单位内部强化政务公开工作培训，二是定期监督检查，安排专人定期对网站各栏目进行全面检查，对不符合要求的相关内容立即整改，确保信息公开合法、及时、准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2022年度，我局没有需要报告的其他事项。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（二）收取信息处理费的情况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2022年无收取信息处理费的情况。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2023年1月29日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FF000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C1918"/>
    <w:multiLevelType w:val="singleLevel"/>
    <w:tmpl w:val="7EFC19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dit="forms"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zE5ODUyYzYwNGJlYjBkMjI2NjNjOGJkNzU5OTcifQ=="/>
  </w:docVars>
  <w:rsids>
    <w:rsidRoot w:val="00000000"/>
    <w:rsid w:val="030D6F74"/>
    <w:rsid w:val="072F4BA5"/>
    <w:rsid w:val="0A187F18"/>
    <w:rsid w:val="0BE16ABB"/>
    <w:rsid w:val="0F42566A"/>
    <w:rsid w:val="0FE32618"/>
    <w:rsid w:val="126041C5"/>
    <w:rsid w:val="17534F7D"/>
    <w:rsid w:val="18E60BD9"/>
    <w:rsid w:val="19967281"/>
    <w:rsid w:val="1B1632C6"/>
    <w:rsid w:val="1B931963"/>
    <w:rsid w:val="20F667B9"/>
    <w:rsid w:val="230737A0"/>
    <w:rsid w:val="23B06487"/>
    <w:rsid w:val="2480713E"/>
    <w:rsid w:val="255D2F99"/>
    <w:rsid w:val="27BE530B"/>
    <w:rsid w:val="2C723060"/>
    <w:rsid w:val="364C447E"/>
    <w:rsid w:val="387A39BB"/>
    <w:rsid w:val="3E630A5B"/>
    <w:rsid w:val="41C63728"/>
    <w:rsid w:val="439232B4"/>
    <w:rsid w:val="44935725"/>
    <w:rsid w:val="490264BD"/>
    <w:rsid w:val="49463737"/>
    <w:rsid w:val="4AEB76A1"/>
    <w:rsid w:val="4F7B4A01"/>
    <w:rsid w:val="519D4381"/>
    <w:rsid w:val="53686DDA"/>
    <w:rsid w:val="565D1DDC"/>
    <w:rsid w:val="566E50F8"/>
    <w:rsid w:val="56857A37"/>
    <w:rsid w:val="588A6110"/>
    <w:rsid w:val="5D5C2DED"/>
    <w:rsid w:val="5EC53439"/>
    <w:rsid w:val="5FCE6A83"/>
    <w:rsid w:val="61691F7C"/>
    <w:rsid w:val="62796B92"/>
    <w:rsid w:val="651B43D0"/>
    <w:rsid w:val="68601AF3"/>
    <w:rsid w:val="68DD74D8"/>
    <w:rsid w:val="6B187978"/>
    <w:rsid w:val="6EB526D3"/>
    <w:rsid w:val="6EC41F3F"/>
    <w:rsid w:val="6FA06E0D"/>
    <w:rsid w:val="70180DF5"/>
    <w:rsid w:val="71CA4371"/>
    <w:rsid w:val="72B74481"/>
    <w:rsid w:val="74E76FE8"/>
    <w:rsid w:val="75655E76"/>
    <w:rsid w:val="75CE18CE"/>
    <w:rsid w:val="77402867"/>
    <w:rsid w:val="7A545120"/>
    <w:rsid w:val="7ABE2599"/>
    <w:rsid w:val="7B440FF1"/>
    <w:rsid w:val="7D7C7DE7"/>
    <w:rsid w:val="7E646DFE"/>
    <w:rsid w:val="E4FAD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2225</Words>
  <Characters>2395</Characters>
  <Lines>0</Lines>
  <Paragraphs>0</Paragraphs>
  <TotalTime>0</TotalTime>
  <ScaleCrop>false</ScaleCrop>
  <LinksUpToDate>false</LinksUpToDate>
  <CharactersWithSpaces>2423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2021-01-07T09:14:00Z</dcterms:created>
  <dc:creator>Administrator</dc:creator>
  <cp:lastModifiedBy>admin4</cp:lastModifiedBy>
  <cp:lastPrinted>2023-02-20T14:34:00Z</cp:lastPrinted>
  <dcterms:modified xsi:type="dcterms:W3CDTF">2023-12-04T15:06:06Z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9B9F0BB375434D1FAF657FE04C8ABA7D</vt:lpwstr>
  </property>
</Properties>
</file>