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ascii="黑体" w:hAnsi="黑体" w:eastAsia="黑体" w:cs="Times New Roman"/>
          <w:b/>
          <w:bCs/>
          <w:color w:val="000000" w:themeColor="text1"/>
          <w:kern w:val="0"/>
          <w:sz w:val="44"/>
          <w:szCs w:val="44"/>
          <w14:textFill>
            <w14:solidFill>
              <w14:schemeClr w14:val="tx1"/>
            </w14:solidFill>
          </w14:textFill>
        </w:rPr>
        <w:fldChar w:fldCharType="begin"/>
      </w:r>
      <w:r>
        <w:rPr>
          <w:rFonts w:ascii="黑体" w:hAnsi="黑体" w:eastAsia="黑体" w:cs="Times New Roman"/>
          <w:b/>
          <w:bCs/>
          <w:color w:val="000000" w:themeColor="text1"/>
          <w:kern w:val="0"/>
          <w:sz w:val="44"/>
          <w:szCs w:val="44"/>
          <w14:textFill>
            <w14:solidFill>
              <w14:schemeClr w14:val="tx1"/>
            </w14:solidFill>
          </w14:textFill>
        </w:rPr>
        <w:instrText xml:space="preserve">MERGEFIELD ${page540426799.ds254512694_REP_JXJC_AGENCY_WZR_NAME}</w:instrText>
      </w:r>
      <w:r>
        <w:rPr>
          <w:rFonts w:ascii="黑体" w:hAnsi="黑体" w:eastAsia="黑体" w:cs="Times New Roman"/>
          <w:b/>
          <w:bCs/>
          <w:color w:val="000000" w:themeColor="text1"/>
          <w:kern w:val="0"/>
          <w:sz w:val="44"/>
          <w:szCs w:val="44"/>
          <w14:textFill>
            <w14:solidFill>
              <w14:schemeClr w14:val="tx1"/>
            </w14:solidFill>
          </w14:textFill>
        </w:rPr>
        <w:fldChar w:fldCharType="separate"/>
      </w:r>
      <w:r>
        <w:rPr>
          <w:rFonts w:hint="eastAsia" w:ascii="黑体" w:hAnsi="黑体" w:eastAsia="黑体" w:cs="Times New Roman"/>
          <w:b/>
          <w:bCs/>
          <w:color w:val="000000" w:themeColor="text1"/>
          <w:kern w:val="0"/>
          <w:sz w:val="44"/>
          <w:szCs w:val="44"/>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themeColor="text1"/>
          <w:sz w:val="32"/>
          <w:szCs w:val="32"/>
          <w14:textFill>
            <w14:solidFill>
              <w14:schemeClr w14:val="tx1"/>
            </w14:solidFill>
          </w14:textFill>
        </w:rPr>
        <w:fldChar w:fldCharType="begin"/>
      </w:r>
      <w:r>
        <w:rPr>
          <w:rFonts w:ascii="仿宋_GB2312" w:eastAsia="仿宋_GB2312"/>
          <w:b/>
          <w:bCs/>
          <w:color w:val="000000" w:themeColor="text1"/>
          <w:sz w:val="32"/>
          <w:szCs w:val="32"/>
          <w14:textFill>
            <w14:solidFill>
              <w14:schemeClr w14:val="tx1"/>
            </w14:solidFill>
          </w14:textFill>
        </w:rPr>
        <w:instrText xml:space="preserve">MERGEFIELD ${page540426799.ds254512694_REP_JXJC_AGENCY_WZR_NAME}</w:instrText>
      </w:r>
      <w:r>
        <w:rPr>
          <w:rFonts w:ascii="仿宋_GB2312" w:eastAsia="仿宋_GB2312"/>
          <w:b/>
          <w:bCs/>
          <w:color w:val="000000" w:themeColor="text1"/>
          <w:sz w:val="32"/>
          <w:szCs w:val="32"/>
          <w14:textFill>
            <w14:solidFill>
              <w14:schemeClr w14:val="tx1"/>
            </w14:solidFill>
          </w14:textFill>
        </w:rPr>
        <w:fldChar w:fldCharType="separate"/>
      </w:r>
      <w:r>
        <w:rPr>
          <w:rFonts w:hint="eastAsia" w:ascii="仿宋_GB2312" w:eastAsia="仿宋_GB2312"/>
          <w:b/>
          <w:bCs/>
          <w:color w:val="000000" w:themeColor="text1"/>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18B5B2F1">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lang w:eastAsia="zh-CN"/>
        </w:rPr>
        <w:t>横塘镇</w:t>
      </w:r>
      <w:r>
        <w:rPr>
          <w:rFonts w:hint="eastAsia" w:ascii="Adobe 仿宋 Std R" w:hAnsi="Adobe 仿宋 Std R" w:eastAsia="Adobe 仿宋 Std R"/>
          <w:sz w:val="32"/>
          <w:szCs w:val="30"/>
        </w:rPr>
        <w:t>卫生院的主要职责是：为人民身体健康提供基本医疗和基本公共卫生服务，医疗、常见病多发病护理、恢复期病人康复治疗与护理、预防保健、卫生技术人员培训。</w:t>
      </w:r>
    </w:p>
    <w:p w14:paraId="6A2A716D">
      <w:pPr>
        <w:rPr>
          <w:b/>
          <w:sz w:val="36"/>
          <w:szCs w:val="36"/>
        </w:rPr>
      </w:pPr>
      <w:r>
        <w:rPr>
          <w:rFonts w:hint="eastAsia"/>
          <w:b/>
          <w:sz w:val="36"/>
          <w:szCs w:val="36"/>
        </w:rPr>
        <w:t>二、机构设置及人员情况</w:t>
      </w:r>
    </w:p>
    <w:p w14:paraId="1776BA5A">
      <w:pPr>
        <w:ind w:firstLine="640" w:firstLineChars="200"/>
        <w:rPr>
          <w:rStyle w:val="14"/>
        </w:rPr>
      </w:pPr>
      <w:r>
        <w:rPr>
          <w:rFonts w:hint="eastAsia" w:ascii="仿宋" w:hAnsi="仿宋" w:eastAsia="仿宋"/>
          <w:sz w:val="32"/>
          <w:szCs w:val="32"/>
          <w:lang w:eastAsia="zh-CN"/>
        </w:rPr>
        <w:t>2026</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庐山市横塘镇卫生院</w:t>
      </w:r>
      <w:r>
        <w:fldChar w:fldCharType="end"/>
      </w:r>
      <w:r>
        <w:rPr>
          <w:rFonts w:hint="eastAsia" w:ascii="仿宋" w:hAnsi="仿宋" w:eastAsia="仿宋"/>
          <w:sz w:val="32"/>
          <w:szCs w:val="32"/>
        </w:rPr>
        <w:t>内设</w:t>
      </w:r>
      <w:r>
        <w:rPr>
          <w:rFonts w:hint="eastAsia" w:ascii="仿宋" w:hAnsi="仿宋" w:eastAsia="仿宋"/>
          <w:sz w:val="32"/>
          <w:szCs w:val="32"/>
          <w:lang w:val="en-US" w:eastAsia="zh-CN"/>
        </w:rPr>
        <w:t>3个科室，包含公卫科</w:t>
      </w:r>
      <w:r>
        <w:rPr>
          <w:rFonts w:hint="eastAsia" w:ascii="仿宋_GB2312" w:eastAsia="仿宋_GB2312"/>
          <w:sz w:val="32"/>
          <w:szCs w:val="30"/>
          <w:u w:val="none"/>
          <w:lang w:val="en-US" w:eastAsia="zh-CN"/>
        </w:rPr>
        <w:t>1</w:t>
      </w:r>
      <w:r>
        <w:rPr>
          <w:rFonts w:hint="eastAsia" w:ascii="仿宋" w:hAnsi="仿宋" w:eastAsia="仿宋"/>
          <w:sz w:val="32"/>
          <w:szCs w:val="32"/>
          <w:u w:val="none"/>
        </w:rPr>
        <w:t>个，</w:t>
      </w:r>
      <w:r>
        <w:rPr>
          <w:rFonts w:hint="eastAsia" w:ascii="仿宋" w:hAnsi="仿宋" w:eastAsia="仿宋"/>
          <w:sz w:val="32"/>
          <w:szCs w:val="32"/>
          <w:u w:val="none"/>
          <w:lang w:val="en-US" w:eastAsia="zh-CN"/>
        </w:rPr>
        <w:t>人数9人；医疗科1个，人数8人；行政科1个，人数5人。</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18</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24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22</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w:t>
      </w:r>
      <w:r>
        <w:rPr>
          <w:rFonts w:ascii="仿宋" w:hAnsi="仿宋" w:eastAsia="仿宋"/>
          <w:sz w:val="32"/>
          <w:szCs w:val="32"/>
        </w:rPr>
        <w:t>人,遗属人数</w:t>
      </w:r>
      <w:r>
        <w:rPr>
          <w:rFonts w:hint="eastAsia" w:ascii="仿宋" w:hAnsi="仿宋" w:eastAsia="仿宋"/>
          <w:sz w:val="32"/>
          <w:szCs w:val="32"/>
          <w:lang w:val="en-US" w:eastAsia="zh-CN"/>
        </w:rPr>
        <w:t>5</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000000" w:themeColor="text1"/>
          <w:sz w:val="32"/>
          <w:szCs w:val="30"/>
          <w14:textFill>
            <w14:solidFill>
              <w14:schemeClr w14:val="tx1"/>
            </w14:solidFill>
          </w14:textFill>
        </w:rPr>
        <w:fldChar w:fldCharType="begin"/>
      </w:r>
      <w:r>
        <w:rPr>
          <w:rFonts w:ascii="仿宋_GB2312" w:eastAsia="仿宋_GB2312"/>
          <w:b/>
          <w:color w:val="000000" w:themeColor="text1"/>
          <w:sz w:val="32"/>
          <w:szCs w:val="30"/>
          <w14:textFill>
            <w14:solidFill>
              <w14:schemeClr w14:val="tx1"/>
            </w14:solidFill>
          </w14:textFill>
        </w:rPr>
        <w:instrText xml:space="preserve">MERGEFIELD ${page540426799.ds254512694_REP_JXJC_AGENCY_WZR_NAME}</w:instrText>
      </w:r>
      <w:r>
        <w:rPr>
          <w:rFonts w:ascii="仿宋_GB2312" w:eastAsia="仿宋_GB2312"/>
          <w:b/>
          <w:color w:val="000000" w:themeColor="text1"/>
          <w:sz w:val="32"/>
          <w:szCs w:val="30"/>
          <w14:textFill>
            <w14:solidFill>
              <w14:schemeClr w14:val="tx1"/>
            </w14:solidFill>
          </w14:textFill>
        </w:rPr>
        <w:fldChar w:fldCharType="separate"/>
      </w:r>
      <w:r>
        <w:rPr>
          <w:rFonts w:hint="eastAsia" w:ascii="仿宋_GB2312" w:eastAsia="仿宋_GB2312"/>
          <w:b/>
          <w:color w:val="000000" w:themeColor="text1"/>
          <w:sz w:val="32"/>
          <w:szCs w:val="30"/>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6284DDD9">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color w:val="000000" w:themeColor="text1"/>
          <w:kern w:val="0"/>
          <w:sz w:val="32"/>
          <w:szCs w:val="32"/>
          <w14:textFill>
            <w14:solidFill>
              <w14:schemeClr w14:val="tx1"/>
            </w14:solidFill>
          </w14:textFill>
        </w:rPr>
        <w:fldChar w:fldCharType="begin"/>
      </w:r>
      <w:r>
        <w:rPr>
          <w:rFonts w:ascii="仿宋" w:hAnsi="仿宋" w:eastAsia="仿宋" w:cs="Times New Roman"/>
          <w:color w:val="000000" w:themeColor="text1"/>
          <w:kern w:val="0"/>
          <w:sz w:val="32"/>
          <w:szCs w:val="32"/>
          <w14:textFill>
            <w14:solidFill>
              <w14:schemeClr w14:val="tx1"/>
            </w14:solidFill>
          </w14:textFill>
        </w:rPr>
        <w:instrText xml:space="preserve">MERGEFIELD ${page540426799.ds254512694_REP_JXJC_AGENCY_WZR_NAME}</w:instrText>
      </w:r>
      <w:r>
        <w:rPr>
          <w:rFonts w:ascii="仿宋" w:hAnsi="仿宋" w:eastAsia="仿宋" w:cs="Times New Roman"/>
          <w:color w:val="000000" w:themeColor="text1"/>
          <w:kern w:val="0"/>
          <w:sz w:val="32"/>
          <w:szCs w:val="32"/>
          <w14:textFill>
            <w14:solidFill>
              <w14:schemeClr w14:val="tx1"/>
            </w14:solidFill>
          </w14:textFill>
        </w:rPr>
        <w:fldChar w:fldCharType="separate"/>
      </w:r>
      <w:r>
        <w:rPr>
          <w:rFonts w:hint="eastAsia" w:ascii="仿宋" w:hAnsi="仿宋" w:eastAsia="仿宋" w:cs="Times New Roman"/>
          <w:color w:val="000000" w:themeColor="text1"/>
          <w:kern w:val="0"/>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color w:val="auto"/>
          <w:kern w:val="0"/>
          <w:sz w:val="32"/>
          <w:szCs w:val="32"/>
          <w:u w:val="none"/>
          <w:lang w:val="en-US" w:eastAsia="zh-CN"/>
        </w:rPr>
        <w:t>605.71</w:t>
      </w:r>
      <w:r>
        <w:rPr>
          <w:rFonts w:ascii="仿宋" w:hAnsi="仿宋" w:eastAsia="仿宋" w:cs="Times New Roman"/>
          <w:kern w:val="0"/>
          <w:sz w:val="32"/>
          <w:szCs w:val="32"/>
        </w:rPr>
        <w:t>万元,较上年预算安排</w:t>
      </w:r>
      <w:r>
        <w:rPr>
          <w:rFonts w:hint="eastAsia" w:ascii="仿宋" w:hAnsi="仿宋" w:eastAsia="仿宋" w:cs="Times New Roman"/>
          <w:kern w:val="0"/>
          <w:sz w:val="32"/>
          <w:szCs w:val="32"/>
          <w:lang w:val="en-US" w:eastAsia="zh-CN"/>
        </w:rPr>
        <w:t>增加86.64</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color w:val="auto"/>
          <w:kern w:val="0"/>
          <w:sz w:val="32"/>
          <w:szCs w:val="32"/>
          <w:u w:val="none"/>
          <w:lang w:val="en-US" w:eastAsia="zh-CN"/>
        </w:rPr>
        <w:t>425.71</w:t>
      </w:r>
      <w:r>
        <w:rPr>
          <w:rFonts w:ascii="仿宋" w:hAnsi="仿宋" w:eastAsia="仿宋" w:cs="Times New Roman"/>
          <w:kern w:val="0"/>
          <w:sz w:val="32"/>
          <w:szCs w:val="32"/>
        </w:rPr>
        <w:t>万元,较上年预算安排增加</w:t>
      </w:r>
      <w:r>
        <w:rPr>
          <w:rFonts w:hint="eastAsia" w:ascii="仿宋" w:hAnsi="仿宋" w:eastAsia="仿宋" w:cs="Times New Roman"/>
          <w:color w:val="auto"/>
          <w:kern w:val="0"/>
          <w:sz w:val="32"/>
          <w:szCs w:val="32"/>
          <w:u w:val="none"/>
          <w:lang w:val="en-US" w:eastAsia="zh-CN"/>
        </w:rPr>
        <w:t>199.44</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增减变化原因为</w:t>
      </w:r>
      <w:r>
        <w:rPr>
          <w:rFonts w:hint="eastAsia" w:ascii="仿宋" w:hAnsi="仿宋" w:eastAsia="仿宋" w:cs="Times New Roman"/>
          <w:color w:val="auto"/>
          <w:kern w:val="0"/>
          <w:sz w:val="32"/>
          <w:szCs w:val="32"/>
          <w:u w:val="none"/>
          <w:lang w:eastAsia="zh-CN"/>
        </w:rPr>
        <w:t>（</w:t>
      </w:r>
      <w:r>
        <w:rPr>
          <w:rFonts w:hint="eastAsia" w:ascii="仿宋" w:hAnsi="仿宋" w:eastAsia="仿宋" w:cs="Times New Roman"/>
          <w:color w:val="auto"/>
          <w:kern w:val="0"/>
          <w:sz w:val="32"/>
          <w:szCs w:val="32"/>
          <w:u w:val="none"/>
          <w:lang w:val="en-US" w:eastAsia="zh-CN"/>
        </w:rPr>
        <w:t>增减原因：总预算增加原因：上年未做省级及中央资金。财政拨款增加原因：上年未做省级及中央资金。</w:t>
      </w:r>
      <w:r>
        <w:rPr>
          <w:rFonts w:hint="eastAsia" w:ascii="仿宋" w:hAnsi="仿宋" w:eastAsia="仿宋" w:cs="Times New Roman"/>
          <w:color w:val="auto"/>
          <w:kern w:val="0"/>
          <w:sz w:val="32"/>
          <w:szCs w:val="32"/>
          <w:u w:val="none"/>
          <w:lang w:eastAsia="zh-CN"/>
        </w:rPr>
        <w:t>）</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olor w:val="000000" w:themeColor="text1"/>
          <w:sz w:val="32"/>
          <w:szCs w:val="32"/>
          <w14:textFill>
            <w14:solidFill>
              <w14:schemeClr w14:val="tx1"/>
            </w14:solidFill>
          </w14:textFill>
        </w:rPr>
        <w:fldChar w:fldCharType="begin"/>
      </w:r>
      <w:r>
        <w:rPr>
          <w:rStyle w:val="11"/>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Style w:val="11"/>
          <w:rFonts w:ascii="仿宋" w:hAnsi="仿宋" w:eastAsia="仿宋"/>
          <w:color w:val="000000" w:themeColor="text1"/>
          <w:sz w:val="32"/>
          <w:szCs w:val="32"/>
          <w14:textFill>
            <w14:solidFill>
              <w14:schemeClr w14:val="tx1"/>
            </w14:solidFill>
          </w14:textFill>
        </w:rPr>
        <w:fldChar w:fldCharType="separate"/>
      </w:r>
      <w:r>
        <w:rPr>
          <w:rStyle w:val="11"/>
          <w:rFonts w:hint="eastAsia" w:ascii="仿宋" w:hAnsi="仿宋" w:eastAsia="仿宋"/>
          <w:color w:val="000000" w:themeColor="text1"/>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Fonts w:hint="eastAsia" w:ascii="仿宋" w:hAnsi="仿宋" w:eastAsia="仿宋" w:cs="Times New Roman"/>
          <w:color w:val="auto"/>
          <w:kern w:val="0"/>
          <w:sz w:val="32"/>
          <w:szCs w:val="32"/>
          <w:u w:val="none"/>
          <w:lang w:val="en-US" w:eastAsia="zh-CN"/>
        </w:rPr>
        <w:t>605.71</w:t>
      </w:r>
      <w:r>
        <w:rPr>
          <w:rStyle w:val="11"/>
          <w:rFonts w:ascii="仿宋" w:hAnsi="仿宋" w:eastAsia="仿宋"/>
          <w:sz w:val="32"/>
          <w:szCs w:val="32"/>
        </w:rPr>
        <w:t>万元,较上年预算安排</w:t>
      </w:r>
      <w:r>
        <w:rPr>
          <w:rFonts w:hint="eastAsia" w:ascii="仿宋" w:hAnsi="仿宋" w:eastAsia="仿宋" w:cs="Times New Roman"/>
          <w:kern w:val="0"/>
          <w:sz w:val="32"/>
          <w:szCs w:val="32"/>
          <w:lang w:val="en-US" w:eastAsia="zh-CN"/>
        </w:rPr>
        <w:t>增加86.64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增减变化原因为</w:t>
      </w:r>
      <w:r>
        <w:rPr>
          <w:rStyle w:val="11"/>
          <w:rFonts w:hint="eastAsia" w:ascii="仿宋" w:hAnsi="仿宋" w:eastAsia="仿宋"/>
          <w:color w:val="auto"/>
          <w:sz w:val="32"/>
          <w:szCs w:val="32"/>
          <w:u w:val="none"/>
          <w:lang w:eastAsia="zh-CN"/>
        </w:rPr>
        <w:t>（</w:t>
      </w:r>
      <w:r>
        <w:rPr>
          <w:rFonts w:hint="eastAsia" w:ascii="仿宋" w:hAnsi="仿宋" w:eastAsia="仿宋" w:cs="Times New Roman"/>
          <w:color w:val="auto"/>
          <w:kern w:val="0"/>
          <w:sz w:val="32"/>
          <w:szCs w:val="32"/>
          <w:u w:val="none"/>
          <w:lang w:val="en-US" w:eastAsia="zh-CN"/>
        </w:rPr>
        <w:t>总预算增加原因：上年未做省级及中央资金。）</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000000" w:themeColor="text1"/>
          <w:sz w:val="32"/>
          <w:szCs w:val="32"/>
          <w14:textFill>
            <w14:solidFill>
              <w14:schemeClr w14:val="tx1"/>
            </w14:solidFill>
          </w14:textFill>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color w:val="auto"/>
          <w:sz w:val="32"/>
          <w:szCs w:val="32"/>
          <w:u w:val="none"/>
          <w:lang w:val="en-US" w:eastAsia="zh-CN"/>
        </w:rPr>
        <w:t>252.85</w:t>
      </w:r>
      <w:r>
        <w:rPr>
          <w:rStyle w:val="11"/>
          <w:rFonts w:ascii="仿宋" w:hAnsi="仿宋" w:eastAsia="仿宋"/>
          <w:sz w:val="32"/>
          <w:szCs w:val="32"/>
        </w:rPr>
        <w:t>万元,较上年预算安排增加</w:t>
      </w:r>
      <w:r>
        <w:rPr>
          <w:rStyle w:val="11"/>
          <w:rFonts w:hint="eastAsia" w:ascii="仿宋" w:hAnsi="仿宋" w:eastAsia="仿宋"/>
          <w:color w:val="auto"/>
          <w:sz w:val="32"/>
          <w:szCs w:val="32"/>
          <w:u w:val="none"/>
          <w:lang w:val="en-US" w:eastAsia="zh-CN"/>
        </w:rPr>
        <w:t>增加71.91</w:t>
      </w:r>
      <w:r>
        <w:rPr>
          <w:rStyle w:val="11"/>
          <w:rFonts w:ascii="仿宋" w:hAnsi="仿宋" w:eastAsia="仿宋"/>
          <w:sz w:val="32"/>
          <w:szCs w:val="32"/>
        </w:rPr>
        <w:t>万元;其中：工资福利支出</w:t>
      </w:r>
      <w:r>
        <w:rPr>
          <w:rStyle w:val="11"/>
          <w:rFonts w:hint="eastAsia" w:ascii="仿宋" w:hAnsi="仿宋" w:eastAsia="仿宋"/>
          <w:color w:val="auto"/>
          <w:sz w:val="32"/>
          <w:szCs w:val="32"/>
          <w:u w:val="none"/>
          <w:lang w:val="en-US" w:eastAsia="zh-CN"/>
        </w:rPr>
        <w:t>247.85</w:t>
      </w:r>
      <w:r>
        <w:rPr>
          <w:rStyle w:val="11"/>
          <w:rFonts w:ascii="仿宋" w:hAnsi="仿宋" w:eastAsia="仿宋"/>
          <w:sz w:val="32"/>
          <w:szCs w:val="32"/>
        </w:rPr>
        <w:t>万元,商品和服务支出</w:t>
      </w:r>
      <w:r>
        <w:rPr>
          <w:rStyle w:val="11"/>
          <w:rFonts w:hint="eastAsia" w:ascii="仿宋" w:hAnsi="仿宋" w:eastAsia="仿宋"/>
          <w:color w:val="auto"/>
          <w:sz w:val="32"/>
          <w:szCs w:val="32"/>
          <w:u w:val="none"/>
          <w:lang w:val="en-US" w:eastAsia="zh-CN"/>
        </w:rPr>
        <w:t>0</w:t>
      </w:r>
      <w:r>
        <w:rPr>
          <w:rStyle w:val="11"/>
          <w:rFonts w:ascii="仿宋" w:hAnsi="仿宋" w:eastAsia="仿宋"/>
          <w:sz w:val="32"/>
          <w:szCs w:val="32"/>
        </w:rPr>
        <w:t>万元,对个人和家庭的补助</w:t>
      </w:r>
      <w:r>
        <w:rPr>
          <w:rStyle w:val="11"/>
          <w:rFonts w:hint="eastAsia" w:ascii="仿宋" w:hAnsi="仿宋" w:eastAsia="仿宋"/>
          <w:color w:val="auto"/>
          <w:sz w:val="32"/>
          <w:szCs w:val="32"/>
          <w:u w:val="none"/>
          <w:lang w:val="en-US" w:eastAsia="zh-CN"/>
        </w:rPr>
        <w:t>5</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color w:val="auto"/>
          <w:sz w:val="32"/>
          <w:szCs w:val="32"/>
          <w:u w:val="none"/>
          <w:lang w:val="en-US" w:eastAsia="zh-CN"/>
        </w:rPr>
        <w:t>172.86</w:t>
      </w:r>
      <w:r>
        <w:rPr>
          <w:rStyle w:val="11"/>
          <w:rFonts w:ascii="仿宋" w:hAnsi="仿宋" w:eastAsia="仿宋"/>
          <w:sz w:val="32"/>
          <w:szCs w:val="32"/>
        </w:rPr>
        <w:t>万元,较上年预算安排增加</w:t>
      </w:r>
      <w:r>
        <w:rPr>
          <w:rStyle w:val="11"/>
          <w:rFonts w:hint="eastAsia" w:ascii="仿宋" w:hAnsi="仿宋" w:eastAsia="仿宋"/>
          <w:color w:val="auto"/>
          <w:sz w:val="32"/>
          <w:szCs w:val="32"/>
          <w:u w:val="none"/>
          <w:lang w:val="en-US" w:eastAsia="zh-CN"/>
        </w:rPr>
        <w:t>减少158.16</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172.86</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14:textFill>
            <w14:solidFill>
              <w14:schemeClr w14:val="tx1"/>
            </w14:solidFill>
          </w14:textFill>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252.85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增加26.58</w:t>
      </w:r>
      <w:r>
        <w:rPr>
          <w:rStyle w:val="11"/>
          <w:rFonts w:ascii="仿宋" w:hAnsi="仿宋" w:eastAsia="仿宋"/>
          <w:sz w:val="32"/>
          <w:szCs w:val="32"/>
        </w:rPr>
        <w:t>万元;社会保障和就业支出</w:t>
      </w:r>
      <w:r>
        <w:rPr>
          <w:rStyle w:val="11"/>
          <w:rFonts w:hint="eastAsia" w:ascii="仿宋" w:hAnsi="仿宋" w:eastAsia="仿宋"/>
          <w:color w:val="auto"/>
          <w:sz w:val="32"/>
          <w:szCs w:val="32"/>
          <w:u w:val="none"/>
          <w:lang w:val="en-US" w:eastAsia="zh-CN"/>
        </w:rPr>
        <w:t>41.05</w:t>
      </w:r>
      <w:r>
        <w:rPr>
          <w:rStyle w:val="11"/>
          <w:rFonts w:ascii="仿宋" w:hAnsi="仿宋" w:eastAsia="仿宋"/>
          <w:sz w:val="32"/>
          <w:szCs w:val="32"/>
        </w:rPr>
        <w:t>万元,较上年预算安排</w:t>
      </w:r>
      <w:r>
        <w:rPr>
          <w:rStyle w:val="11"/>
          <w:rFonts w:hint="eastAsia" w:ascii="仿宋" w:hAnsi="仿宋" w:eastAsia="仿宋"/>
          <w:color w:val="auto"/>
          <w:sz w:val="32"/>
          <w:szCs w:val="32"/>
          <w:u w:val="none"/>
          <w:lang w:val="en-US" w:eastAsia="zh-CN"/>
        </w:rPr>
        <w:t>增加10.28</w:t>
      </w:r>
      <w:r>
        <w:rPr>
          <w:rStyle w:val="11"/>
          <w:rFonts w:ascii="仿宋" w:hAnsi="仿宋" w:eastAsia="仿宋"/>
          <w:sz w:val="32"/>
          <w:szCs w:val="32"/>
        </w:rPr>
        <w:t>万元;卫生健康支出</w:t>
      </w:r>
      <w:r>
        <w:rPr>
          <w:rStyle w:val="11"/>
          <w:rFonts w:hint="eastAsia" w:ascii="仿宋" w:hAnsi="仿宋" w:eastAsia="仿宋"/>
          <w:color w:val="auto"/>
          <w:sz w:val="32"/>
          <w:szCs w:val="32"/>
          <w:u w:val="none"/>
          <w:lang w:val="en-US" w:eastAsia="zh-CN"/>
        </w:rPr>
        <w:t>364.89</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增加183.82</w:t>
      </w:r>
      <w:r>
        <w:rPr>
          <w:rStyle w:val="11"/>
          <w:rFonts w:ascii="仿宋" w:hAnsi="仿宋" w:eastAsia="仿宋"/>
          <w:sz w:val="32"/>
          <w:szCs w:val="32"/>
        </w:rPr>
        <w:t>万元;住房保障支出</w:t>
      </w:r>
      <w:r>
        <w:rPr>
          <w:rStyle w:val="11"/>
          <w:rFonts w:hint="eastAsia" w:ascii="仿宋" w:hAnsi="仿宋" w:eastAsia="仿宋"/>
          <w:color w:val="auto"/>
          <w:sz w:val="32"/>
          <w:szCs w:val="32"/>
          <w:u w:val="none"/>
          <w:lang w:val="en-US" w:eastAsia="zh-CN"/>
        </w:rPr>
        <w:t>19.78</w:t>
      </w:r>
      <w:r>
        <w:rPr>
          <w:rStyle w:val="11"/>
          <w:rFonts w:ascii="仿宋" w:hAnsi="仿宋" w:eastAsia="仿宋"/>
          <w:sz w:val="32"/>
          <w:szCs w:val="32"/>
        </w:rPr>
        <w:t>万元,较上年预算安排</w:t>
      </w:r>
      <w:r>
        <w:rPr>
          <w:rStyle w:val="11"/>
          <w:rFonts w:hint="eastAsia" w:ascii="仿宋" w:hAnsi="仿宋" w:eastAsia="仿宋"/>
          <w:color w:val="auto"/>
          <w:sz w:val="32"/>
          <w:szCs w:val="32"/>
          <w:u w:val="none"/>
          <w:lang w:val="en-US" w:eastAsia="zh-CN"/>
        </w:rPr>
        <w:t>增加5.35</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14:textFill>
            <w14:solidFill>
              <w14:schemeClr w14:val="tx1"/>
            </w14:solidFill>
          </w14:textFill>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color w:val="auto"/>
          <w:sz w:val="32"/>
          <w:szCs w:val="32"/>
          <w:u w:val="none"/>
          <w:lang w:val="en-US" w:eastAsia="zh-CN"/>
        </w:rPr>
        <w:t>247.85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增加71.66</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4.98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olor w:val="000000" w:themeColor="text1"/>
          <w:sz w:val="32"/>
          <w:szCs w:val="32"/>
          <w14:textFill>
            <w14:solidFill>
              <w14:schemeClr w14:val="tx1"/>
            </w14:solidFill>
          </w14:textFill>
        </w:rPr>
        <w:fldChar w:fldCharType="begin"/>
      </w:r>
      <w:r>
        <w:rPr>
          <w:rStyle w:val="11"/>
          <w:rFonts w:ascii="仿宋" w:hAnsi="仿宋" w:eastAsia="仿宋"/>
          <w:color w:val="000000" w:themeColor="text1"/>
          <w:sz w:val="32"/>
          <w:szCs w:val="32"/>
          <w14:textFill>
            <w14:solidFill>
              <w14:schemeClr w14:val="tx1"/>
            </w14:solidFill>
          </w14:textFill>
        </w:rPr>
        <w:instrText xml:space="preserve">MERGEFIELD ${page540426799.ds254512694_REP_JXJC_AGENCY_WZR_NAME}</w:instrText>
      </w:r>
      <w:r>
        <w:rPr>
          <w:rStyle w:val="11"/>
          <w:rFonts w:ascii="仿宋" w:hAnsi="仿宋" w:eastAsia="仿宋"/>
          <w:color w:val="000000" w:themeColor="text1"/>
          <w:sz w:val="32"/>
          <w:szCs w:val="32"/>
          <w14:textFill>
            <w14:solidFill>
              <w14:schemeClr w14:val="tx1"/>
            </w14:solidFill>
          </w14:textFill>
        </w:rPr>
        <w:fldChar w:fldCharType="separate"/>
      </w:r>
      <w:r>
        <w:rPr>
          <w:rStyle w:val="11"/>
          <w:rFonts w:hint="eastAsia" w:ascii="仿宋" w:hAnsi="仿宋" w:eastAsia="仿宋"/>
          <w:color w:val="000000" w:themeColor="text1"/>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425.71</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增加199.44</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增加变化原因为（上年未做省级及中央资金）。</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14:textFill>
            <w14:solidFill>
              <w14:schemeClr w14:val="tx1"/>
            </w14:solidFill>
          </w14:textFill>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252.85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增加26.58</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color w:val="auto"/>
          <w:sz w:val="32"/>
          <w:szCs w:val="32"/>
          <w:u w:val="none"/>
          <w:lang w:val="en-US" w:eastAsia="zh-CN"/>
        </w:rPr>
        <w:t>41.05</w:t>
      </w:r>
      <w:r>
        <w:rPr>
          <w:rStyle w:val="11"/>
          <w:rFonts w:ascii="仿宋" w:hAnsi="仿宋" w:eastAsia="仿宋"/>
          <w:sz w:val="32"/>
          <w:szCs w:val="32"/>
        </w:rPr>
        <w:t>万元,较上年预算安排</w:t>
      </w:r>
      <w:r>
        <w:rPr>
          <w:rStyle w:val="11"/>
          <w:rFonts w:hint="eastAsia" w:ascii="仿宋" w:hAnsi="仿宋" w:eastAsia="仿宋"/>
          <w:color w:val="auto"/>
          <w:sz w:val="32"/>
          <w:szCs w:val="32"/>
          <w:u w:val="none"/>
          <w:lang w:val="en-US" w:eastAsia="zh-CN"/>
        </w:rPr>
        <w:t>增加10.28</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color w:val="auto"/>
          <w:sz w:val="32"/>
          <w:szCs w:val="32"/>
          <w:u w:val="none"/>
          <w:lang w:val="en-US" w:eastAsia="zh-CN"/>
        </w:rPr>
        <w:t>364.897</w:t>
      </w:r>
      <w:r>
        <w:rPr>
          <w:rStyle w:val="11"/>
          <w:rFonts w:ascii="仿宋" w:hAnsi="仿宋" w:eastAsia="仿宋"/>
          <w:sz w:val="32"/>
          <w:szCs w:val="32"/>
        </w:rPr>
        <w:t>万元,较上年预算安排</w:t>
      </w:r>
      <w:r>
        <w:rPr>
          <w:rStyle w:val="11"/>
          <w:rFonts w:hint="eastAsia" w:ascii="仿宋" w:hAnsi="仿宋" w:eastAsia="仿宋"/>
          <w:color w:val="auto"/>
          <w:sz w:val="32"/>
          <w:szCs w:val="32"/>
          <w:u w:val="none"/>
          <w:lang w:val="en-US" w:eastAsia="zh-CN"/>
        </w:rPr>
        <w:t>增加</w:t>
      </w:r>
      <w:r>
        <w:rPr>
          <w:rStyle w:val="11"/>
          <w:rFonts w:hint="eastAsia" w:ascii="仿宋" w:hAnsi="仿宋" w:eastAsia="仿宋"/>
          <w:sz w:val="32"/>
          <w:szCs w:val="32"/>
          <w:lang w:val="en-US" w:eastAsia="zh-CN"/>
        </w:rPr>
        <w:t>183.82</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color w:val="auto"/>
          <w:sz w:val="32"/>
          <w:szCs w:val="32"/>
          <w:u w:val="none"/>
          <w:lang w:val="en-US" w:eastAsia="zh-CN"/>
        </w:rPr>
        <w:t>19.78</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w:t>
      </w:r>
      <w:r>
        <w:rPr>
          <w:rStyle w:val="11"/>
          <w:rFonts w:hint="eastAsia" w:ascii="仿宋" w:hAnsi="仿宋" w:eastAsia="仿宋"/>
          <w:color w:val="auto"/>
          <w:sz w:val="32"/>
          <w:szCs w:val="32"/>
          <w:u w:val="none"/>
          <w:lang w:val="en-US" w:eastAsia="zh-CN"/>
        </w:rPr>
        <w:t>增加5.35</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14:textFill>
            <w14:solidFill>
              <w14:schemeClr w14:val="tx1"/>
            </w14:solidFill>
          </w14:textFill>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color w:val="auto"/>
          <w:sz w:val="32"/>
          <w:szCs w:val="32"/>
          <w:u w:val="none"/>
          <w:lang w:val="en-US" w:eastAsia="zh-CN"/>
        </w:rPr>
        <w:t>252.85</w:t>
      </w:r>
      <w:r>
        <w:rPr>
          <w:rStyle w:val="11"/>
          <w:rFonts w:ascii="仿宋" w:hAnsi="仿宋" w:eastAsia="仿宋"/>
          <w:sz w:val="32"/>
          <w:szCs w:val="32"/>
        </w:rPr>
        <w:t>万元,较上年预算安排</w:t>
      </w:r>
      <w:r>
        <w:rPr>
          <w:rStyle w:val="11"/>
          <w:rFonts w:hint="eastAsia" w:ascii="仿宋" w:hAnsi="仿宋" w:eastAsia="仿宋"/>
          <w:color w:val="auto"/>
          <w:sz w:val="32"/>
          <w:szCs w:val="32"/>
          <w:u w:val="none"/>
          <w:lang w:val="en-US" w:eastAsia="zh-CN"/>
        </w:rPr>
        <w:t>增加71.91</w:t>
      </w:r>
      <w:r>
        <w:rPr>
          <w:rStyle w:val="11"/>
          <w:rFonts w:ascii="仿宋" w:hAnsi="仿宋" w:eastAsia="仿宋"/>
          <w:sz w:val="32"/>
          <w:szCs w:val="32"/>
        </w:rPr>
        <w:t>万元;其中：工资福利支出</w:t>
      </w:r>
      <w:r>
        <w:rPr>
          <w:rStyle w:val="11"/>
          <w:rFonts w:hint="eastAsia" w:ascii="仿宋" w:hAnsi="仿宋" w:eastAsia="仿宋"/>
          <w:color w:val="auto"/>
          <w:sz w:val="32"/>
          <w:szCs w:val="32"/>
          <w:u w:val="none"/>
          <w:lang w:val="en-US" w:eastAsia="zh-CN"/>
        </w:rPr>
        <w:t>247.85</w:t>
      </w:r>
      <w:r>
        <w:rPr>
          <w:rStyle w:val="11"/>
          <w:rFonts w:ascii="仿宋" w:hAnsi="仿宋" w:eastAsia="仿宋"/>
          <w:sz w:val="32"/>
          <w:szCs w:val="32"/>
        </w:rPr>
        <w:t>万元,商品和服务支出</w:t>
      </w:r>
      <w:r>
        <w:rPr>
          <w:rStyle w:val="11"/>
          <w:rFonts w:hint="eastAsia" w:ascii="仿宋" w:hAnsi="仿宋" w:eastAsia="仿宋"/>
          <w:color w:val="auto"/>
          <w:sz w:val="32"/>
          <w:szCs w:val="32"/>
          <w:u w:val="none"/>
          <w:lang w:val="en-US" w:eastAsia="zh-CN"/>
        </w:rPr>
        <w:t>0</w:t>
      </w:r>
      <w:r>
        <w:rPr>
          <w:rStyle w:val="11"/>
          <w:rFonts w:ascii="仿宋" w:hAnsi="仿宋" w:eastAsia="仿宋"/>
          <w:sz w:val="32"/>
          <w:szCs w:val="32"/>
        </w:rPr>
        <w:t>万元,对个人和家庭的补助</w:t>
      </w:r>
      <w:r>
        <w:rPr>
          <w:rStyle w:val="11"/>
          <w:rFonts w:hint="eastAsia" w:ascii="仿宋" w:hAnsi="仿宋" w:eastAsia="仿宋"/>
          <w:color w:val="auto"/>
          <w:sz w:val="32"/>
          <w:szCs w:val="32"/>
          <w:u w:val="none"/>
          <w:lang w:val="en-US" w:eastAsia="zh-CN"/>
        </w:rPr>
        <w:t>5</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color w:val="auto"/>
          <w:sz w:val="32"/>
          <w:szCs w:val="32"/>
          <w:u w:val="none"/>
          <w:lang w:val="en-US" w:eastAsia="zh-CN"/>
        </w:rPr>
        <w:t>172.86</w:t>
      </w:r>
      <w:r>
        <w:rPr>
          <w:rStyle w:val="11"/>
          <w:rFonts w:ascii="仿宋" w:hAnsi="仿宋" w:eastAsia="仿宋"/>
          <w:sz w:val="32"/>
          <w:szCs w:val="32"/>
        </w:rPr>
        <w:t>万元,较上年预算安排</w:t>
      </w:r>
      <w:r>
        <w:rPr>
          <w:rStyle w:val="11"/>
          <w:rFonts w:hint="eastAsia" w:ascii="仿宋" w:hAnsi="仿宋" w:eastAsia="仿宋"/>
          <w:color w:val="auto"/>
          <w:sz w:val="32"/>
          <w:szCs w:val="32"/>
          <w:u w:val="none"/>
          <w:lang w:val="en-US" w:eastAsia="zh-CN"/>
        </w:rPr>
        <w:t>减少158.16</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172.86</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4BE3AEE7">
      <w:pPr>
        <w:ind w:firstLine="320" w:firstLineChars="100"/>
        <w:rPr>
          <w:rStyle w:val="11"/>
          <w:rFonts w:hint="eastAsia" w:ascii="仿宋" w:hAnsi="仿宋" w:eastAsia="仿宋"/>
          <w:b/>
          <w:color w:val="auto"/>
          <w:sz w:val="32"/>
          <w:szCs w:val="32"/>
          <w:lang w:eastAsia="zh-CN"/>
        </w:rPr>
      </w:pPr>
      <w:r>
        <w:rPr>
          <w:rStyle w:val="11"/>
          <w:rFonts w:hint="eastAsia" w:ascii="Adobe 仿宋 Std R" w:hAnsi="Adobe 仿宋 Std R" w:eastAsia="Adobe 仿宋 Std R" w:cs="Times New Roman"/>
          <w:color w:val="auto"/>
          <w:sz w:val="32"/>
          <w:szCs w:val="32"/>
        </w:rPr>
        <w:t>本单位没有使用政府性基金预算拨款安排的支出</w:t>
      </w:r>
      <w:r>
        <w:rPr>
          <w:rStyle w:val="11"/>
          <w:rFonts w:hint="eastAsia" w:ascii="仿宋" w:hAnsi="仿宋" w:eastAsia="仿宋"/>
          <w:b/>
          <w:color w:val="auto"/>
          <w:sz w:val="32"/>
          <w:szCs w:val="32"/>
          <w:lang w:eastAsia="zh-CN"/>
        </w:rPr>
        <w:t>。</w:t>
      </w:r>
    </w:p>
    <w:p w14:paraId="305AB9D4">
      <w:pPr>
        <w:ind w:firstLine="640" w:firstLineChars="200"/>
        <w:rPr>
          <w:rStyle w:val="11"/>
          <w:rFonts w:ascii="仿宋" w:hAnsi="仿宋" w:eastAsia="仿宋"/>
          <w:color w:val="FF0000"/>
          <w:sz w:val="32"/>
          <w:szCs w:val="32"/>
        </w:rPr>
      </w:pP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A93763D">
      <w:pPr>
        <w:widowControl/>
        <w:ind w:firstLine="640" w:firstLineChars="200"/>
        <w:rPr>
          <w:rStyle w:val="11"/>
          <w:rFonts w:hint="eastAsia" w:ascii="Adobe 仿宋 Std R" w:hAnsi="Adobe 仿宋 Std R" w:eastAsia="Adobe 仿宋 Std R"/>
          <w:sz w:val="32"/>
          <w:szCs w:val="32"/>
          <w:lang w:val="en-US" w:eastAsia="zh-CN"/>
        </w:rPr>
      </w:pPr>
      <w:r>
        <w:rPr>
          <w:rStyle w:val="11"/>
          <w:rFonts w:hint="eastAsia" w:ascii="Adobe 仿宋 Std R" w:hAnsi="Adobe 仿宋 Std R" w:eastAsia="Adobe 仿宋 Std R" w:cs="Times New Roman"/>
          <w:color w:val="auto"/>
          <w:sz w:val="32"/>
          <w:szCs w:val="32"/>
        </w:rPr>
        <w:t>本单位没有使用国有资本经营预算拨款安排的支出</w:t>
      </w:r>
      <w:r>
        <w:rPr>
          <w:rStyle w:val="11"/>
          <w:rFonts w:hint="eastAsia" w:ascii="仿宋" w:hAnsi="仿宋" w:eastAsia="仿宋" w:cs="Times New Roman"/>
          <w:b/>
          <w:color w:val="auto"/>
          <w:sz w:val="32"/>
          <w:szCs w:val="32"/>
          <w:lang w:eastAsia="zh-CN"/>
        </w:rPr>
        <w:t>。</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8386E99">
      <w:pPr>
        <w:widowControl/>
        <w:spacing w:line="580" w:lineRule="exact"/>
        <w:ind w:firstLine="636"/>
        <w:jc w:val="left"/>
        <w:rPr>
          <w:rStyle w:val="11"/>
          <w:rFonts w:hint="eastAsia" w:ascii="Adobe 仿宋 Std R" w:hAnsi="Adobe 仿宋 Std R" w:eastAsia="Adobe 仿宋 Std R" w:cs="Times New Roman"/>
          <w:color w:val="auto"/>
          <w:sz w:val="32"/>
          <w:szCs w:val="32"/>
          <w:lang w:eastAsia="zh-CN"/>
        </w:rPr>
      </w:pPr>
      <w:r>
        <w:rPr>
          <w:rStyle w:val="11"/>
          <w:rFonts w:hint="eastAsia" w:ascii="Adobe 仿宋 Std R" w:hAnsi="Adobe 仿宋 Std R" w:eastAsia="Adobe 仿宋 Std R" w:cs="Times New Roman"/>
          <w:color w:val="auto"/>
          <w:sz w:val="32"/>
          <w:szCs w:val="32"/>
        </w:rPr>
        <w:t>本单位非行政参公单位，无机关运行经费</w:t>
      </w:r>
    </w:p>
    <w:p w14:paraId="2058FC9E">
      <w:pPr>
        <w:widowControl/>
        <w:spacing w:line="580" w:lineRule="exact"/>
        <w:ind w:firstLine="636"/>
        <w:jc w:val="left"/>
        <w:rPr>
          <w:rFonts w:ascii="Adobe 仿宋 Std R" w:hAnsi="Adobe 仿宋 Std R" w:eastAsia="Adobe 仿宋 Std R"/>
          <w:sz w:val="32"/>
          <w:szCs w:val="32"/>
        </w:rPr>
      </w:pP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13</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2026</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29</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4400133E">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37DC854D">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项目情况说明</w:t>
      </w:r>
    </w:p>
    <w:p w14:paraId="74E728D7">
      <w:pPr>
        <w:numPr>
          <w:ilvl w:val="0"/>
          <w:numId w:val="0"/>
        </w:numPr>
        <w:ind w:left="640" w:leftChars="305" w:firstLine="0" w:firstLineChars="0"/>
        <w:rPr>
          <w:rStyle w:val="11"/>
          <w:rFonts w:hint="default" w:ascii="Adobe 仿宋 Std R" w:hAnsi="Adobe 仿宋 Std R" w:eastAsia="Adobe 仿宋 Std R"/>
          <w:b w:val="0"/>
          <w:bCs/>
          <w:sz w:val="32"/>
          <w:szCs w:val="32"/>
          <w:lang w:val="en-US" w:eastAsia="zh-CN"/>
        </w:rPr>
      </w:pPr>
      <w:r>
        <w:rPr>
          <w:rStyle w:val="11"/>
          <w:rFonts w:hint="eastAsia" w:ascii="Adobe 仿宋 Std R" w:hAnsi="Adobe 仿宋 Std R" w:eastAsia="Adobe 仿宋 Std R"/>
          <w:b w:val="0"/>
          <w:bCs/>
          <w:sz w:val="32"/>
          <w:szCs w:val="32"/>
          <w:lang w:val="en-US" w:eastAsia="zh-CN"/>
        </w:rPr>
        <w:t>1、基本公共卫生项目</w:t>
      </w:r>
    </w:p>
    <w:p w14:paraId="22166AA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070EAC1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基本公共卫生</w:t>
      </w:r>
      <w:r>
        <w:rPr>
          <w:rFonts w:hint="eastAsia" w:ascii="Adobe 仿宋 Std R" w:hAnsi="Adobe 仿宋 Std R" w:eastAsia="Adobe 仿宋 Std R"/>
          <w:sz w:val="32"/>
          <w:szCs w:val="32"/>
          <w:lang w:eastAsia="zh-CN"/>
        </w:rPr>
        <w:t>项目</w:t>
      </w:r>
    </w:p>
    <w:p w14:paraId="601C0D4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1B061579">
      <w:pPr>
        <w:numPr>
          <w:ilvl w:val="0"/>
          <w:numId w:val="0"/>
        </w:numPr>
        <w:ind w:left="638" w:leftChars="304"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依据《江西省2021年度基本公共卫生服务项目实施方案的通知》（赣卫基层字【2021】8号）和《国家基本公共卫生服务规范（第三版）》</w:t>
      </w:r>
    </w:p>
    <w:p w14:paraId="5DC956C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65A8D1B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庐山市横塘镇卫生院</w:t>
      </w:r>
    </w:p>
    <w:p w14:paraId="617BD44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14BB74C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5809BE6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302BF5FA">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3A5E344F">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D862AB2">
      <w:pPr>
        <w:widowControl/>
        <w:spacing w:line="580" w:lineRule="exact"/>
        <w:ind w:firstLine="636"/>
        <w:jc w:val="left"/>
        <w:rPr>
          <w:rStyle w:val="11"/>
          <w:rFonts w:hint="default" w:ascii="仿宋" w:hAnsi="仿宋" w:eastAsia="仿宋"/>
          <w:color w:val="auto"/>
          <w:sz w:val="32"/>
          <w:szCs w:val="32"/>
          <w:lang w:val="en-US" w:eastAsia="zh-CN"/>
        </w:rPr>
      </w:pPr>
      <w:r>
        <w:rPr>
          <w:rStyle w:val="11"/>
          <w:rFonts w:hint="eastAsia" w:ascii="仿宋" w:hAnsi="仿宋" w:eastAsia="仿宋"/>
          <w:color w:val="auto"/>
          <w:sz w:val="32"/>
          <w:szCs w:val="32"/>
          <w:lang w:val="en-US" w:eastAsia="zh-CN"/>
        </w:rPr>
        <w:t>139.36万元</w:t>
      </w:r>
      <w:bookmarkStart w:id="0" w:name="_GoBack"/>
      <w:bookmarkEnd w:id="0"/>
    </w:p>
    <w:p w14:paraId="1FD07C71">
      <w:pPr>
        <w:numPr>
          <w:ilvl w:val="0"/>
          <w:numId w:val="0"/>
        </w:numPr>
        <w:ind w:firstLine="640" w:firstLineChars="2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2.基本药物制度补助</w:t>
      </w:r>
    </w:p>
    <w:p w14:paraId="5B1E6B21">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68B2216F">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横塘镇卫生院</w:t>
      </w:r>
      <w:r>
        <w:rPr>
          <w:rFonts w:hint="eastAsia" w:ascii="Adobe 仿宋 Std R" w:hAnsi="Adobe 仿宋 Std R" w:eastAsia="Adobe 仿宋 Std R"/>
          <w:color w:val="auto"/>
          <w:sz w:val="32"/>
          <w:szCs w:val="32"/>
        </w:rPr>
        <w:t>202</w:t>
      </w: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基本药物补助</w:t>
      </w:r>
      <w:r>
        <w:rPr>
          <w:rFonts w:hint="eastAsia" w:ascii="Adobe 仿宋 Std R" w:hAnsi="Adobe 仿宋 Std R" w:eastAsia="Adobe 仿宋 Std R"/>
          <w:color w:val="auto"/>
          <w:sz w:val="32"/>
          <w:szCs w:val="32"/>
        </w:rPr>
        <w:t>资金</w:t>
      </w:r>
    </w:p>
    <w:p w14:paraId="09970CE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62F91331">
      <w:pPr>
        <w:numPr>
          <w:ilvl w:val="0"/>
          <w:numId w:val="0"/>
        </w:numPr>
        <w:ind w:firstLine="560" w:firstLineChars="200"/>
        <w:rPr>
          <w:rFonts w:hint="default"/>
          <w:sz w:val="28"/>
          <w:szCs w:val="36"/>
          <w:lang w:val="en-US" w:eastAsia="zh-CN"/>
        </w:rPr>
      </w:pPr>
      <w:r>
        <w:rPr>
          <w:rFonts w:hint="eastAsia"/>
          <w:sz w:val="28"/>
          <w:szCs w:val="36"/>
          <w:lang w:val="en-US" w:eastAsia="zh-CN"/>
        </w:rPr>
        <w:t>依据</w:t>
      </w:r>
      <w:r>
        <w:rPr>
          <w:rFonts w:hint="default"/>
          <w:sz w:val="28"/>
          <w:szCs w:val="36"/>
          <w:lang w:val="en-US" w:eastAsia="zh-CN"/>
        </w:rPr>
        <w:t>〔2009〕6号、国发〔2009〕12号、卫药政发〔2009〕78号等国家文件为顶层指导，结合本省实际，依据《江西省建立国家基本药物制度实施方案（暂行）》《江西省人民政府办公厅关于进一步完善国家基本药物制度的实施意见》（赣府厅发〔2019〕10号）等省级文件执行 。</w:t>
      </w:r>
    </w:p>
    <w:p w14:paraId="696EC465">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020A838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庐山市蓼南乡横塘镇卫生院</w:t>
      </w:r>
    </w:p>
    <w:p w14:paraId="497134EF">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5F20DF62">
      <w:pPr>
        <w:numPr>
          <w:ilvl w:val="0"/>
          <w:numId w:val="0"/>
        </w:numPr>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以人民健康为中心，全面落实国家《关于改革完善基层药品联动管理机制扩大基层药品种类的意见》等政策要求，紧扣紧密型医联体建设布局，通过规范遴选采购、强化供应保障、优化临床使用、严格全程监管，提升基本药物可及性、安全性和经济性，筑牢基层医疗卫生服务网底，保障辖区内一所卫生院，5个村卫生所全面实施基本药物制度。</w:t>
      </w:r>
    </w:p>
    <w:p w14:paraId="37A9ED8D">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77BA6CEE">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62E8C352">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30C7BB9">
      <w:pPr>
        <w:widowControl/>
        <w:spacing w:line="580" w:lineRule="exact"/>
        <w:ind w:firstLine="636"/>
        <w:jc w:val="left"/>
        <w:rPr>
          <w:rFonts w:hint="default" w:ascii="Adobe 仿宋 Std R" w:hAnsi="Adobe 仿宋 Std R" w:eastAsia="Adobe 仿宋 Std R"/>
          <w:color w:val="auto"/>
          <w:sz w:val="32"/>
          <w:szCs w:val="32"/>
          <w:lang w:val="en-US" w:eastAsia="zh-CN"/>
        </w:rPr>
      </w:pPr>
      <w:r>
        <w:rPr>
          <w:rStyle w:val="11"/>
          <w:rFonts w:hint="eastAsia" w:ascii="仿宋" w:hAnsi="仿宋" w:eastAsia="仿宋"/>
          <w:color w:val="auto"/>
          <w:sz w:val="32"/>
          <w:szCs w:val="32"/>
          <w:lang w:val="en-US" w:eastAsia="zh-CN"/>
        </w:rPr>
        <w:t>33.5万元</w:t>
      </w:r>
    </w:p>
    <w:p w14:paraId="41AB6182">
      <w:pPr>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ascii="仿宋" w:hAnsi="仿宋" w:eastAsia="仿宋"/>
          <w:bCs/>
          <w:color w:val="000000" w:themeColor="text1"/>
          <w:sz w:val="32"/>
          <w:szCs w:val="32"/>
          <w14:textFill>
            <w14:solidFill>
              <w14:schemeClr w14:val="tx1"/>
            </w14:solidFill>
          </w14:textFill>
        </w:rPr>
        <w:fldChar w:fldCharType="begin"/>
      </w:r>
      <w:r>
        <w:rPr>
          <w:rFonts w:ascii="仿宋" w:hAnsi="仿宋" w:eastAsia="仿宋"/>
          <w:bCs/>
          <w:color w:val="000000" w:themeColor="text1"/>
          <w:sz w:val="32"/>
          <w:szCs w:val="32"/>
          <w14:textFill>
            <w14:solidFill>
              <w14:schemeClr w14:val="tx1"/>
            </w14:solidFill>
          </w14:textFill>
        </w:rPr>
        <w:instrText xml:space="preserve">MERGEFIELD ${page540426799.ds254512694_REP_JXJC_AGENCY_WZR_NAME}</w:instrText>
      </w:r>
      <w:r>
        <w:rPr>
          <w:rFonts w:ascii="仿宋" w:hAnsi="仿宋" w:eastAsia="仿宋"/>
          <w:bCs/>
          <w:color w:val="000000" w:themeColor="text1"/>
          <w:sz w:val="32"/>
          <w:szCs w:val="32"/>
          <w14:textFill>
            <w14:solidFill>
              <w14:schemeClr w14:val="tx1"/>
            </w14:solidFill>
          </w14:textFill>
        </w:rPr>
        <w:fldChar w:fldCharType="separate"/>
      </w:r>
      <w:r>
        <w:rPr>
          <w:rFonts w:hint="eastAsia" w:ascii="仿宋" w:hAnsi="仿宋" w:eastAsia="仿宋"/>
          <w:bCs/>
          <w:color w:val="000000" w:themeColor="text1"/>
          <w:sz w:val="32"/>
          <w:szCs w:val="32"/>
          <w:lang w:eastAsia="zh-CN"/>
          <w14:textFill>
            <w14:solidFill>
              <w14:schemeClr w14:val="tx1"/>
            </w14:solidFill>
          </w14:textFill>
        </w:rPr>
        <w:t>横塘镇卫生院</w:t>
      </w:r>
      <w:r>
        <w:rPr>
          <w:color w:val="000000" w:themeColor="text1"/>
          <w14:textFill>
            <w14:solidFill>
              <w14:schemeClr w14:val="tx1"/>
            </w14:solidFill>
          </w14:textFill>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0.8</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0.8</w:t>
      </w:r>
      <w:r>
        <w:rPr>
          <w:rFonts w:ascii="仿宋" w:hAnsi="仿宋" w:eastAsia="仿宋"/>
          <w:bCs/>
          <w:sz w:val="32"/>
          <w:szCs w:val="32"/>
        </w:rPr>
        <w:t>万元,比上年</w:t>
      </w:r>
      <w:r>
        <w:rPr>
          <w:rFonts w:hint="eastAsia" w:ascii="仿宋" w:hAnsi="仿宋" w:eastAsia="仿宋"/>
          <w:bCs/>
          <w:sz w:val="32"/>
          <w:szCs w:val="32"/>
          <w:lang w:val="en-US" w:eastAsia="zh-CN"/>
        </w:rPr>
        <w:t>增加0.3</w:t>
      </w:r>
      <w:r>
        <w:rPr>
          <w:rFonts w:ascii="仿宋" w:hAnsi="仿宋" w:eastAsia="仿宋"/>
          <w:bCs/>
          <w:sz w:val="32"/>
          <w:szCs w:val="32"/>
        </w:rPr>
        <w:t>万元，主要原因是：</w:t>
      </w:r>
      <w:r>
        <w:rPr>
          <w:rFonts w:hint="eastAsia" w:ascii="仿宋" w:hAnsi="仿宋" w:eastAsia="仿宋"/>
          <w:bCs/>
          <w:sz w:val="32"/>
          <w:szCs w:val="32"/>
          <w:lang w:val="en-US" w:eastAsia="zh-CN"/>
        </w:rPr>
        <w:t>主要用于公车保险及保养、加油</w:t>
      </w:r>
      <w:r>
        <w:rPr>
          <w:rFonts w:ascii="仿宋" w:hAnsi="仿宋" w:eastAsia="仿宋"/>
          <w:bCs/>
          <w:sz w:val="32"/>
          <w:szCs w:val="32"/>
        </w:rPr>
        <w:t>。</w:t>
      </w:r>
    </w:p>
    <w:p w14:paraId="490A3954">
      <w:pPr>
        <w:ind w:firstLine="640" w:firstLineChars="200"/>
        <w:jc w:val="left"/>
        <w:rPr>
          <w:rStyle w:val="11"/>
          <w:rFonts w:hint="eastAsia" w:ascii="仿宋" w:hAnsi="仿宋" w:eastAsia="仿宋"/>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D7CE8"/>
    <w:multiLevelType w:val="singleLevel"/>
    <w:tmpl w:val="20ED7CE8"/>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601CC"/>
    <w:rsid w:val="067A6028"/>
    <w:rsid w:val="068F47B3"/>
    <w:rsid w:val="07666787"/>
    <w:rsid w:val="0878022B"/>
    <w:rsid w:val="08EC3843"/>
    <w:rsid w:val="0A0925FF"/>
    <w:rsid w:val="0C97247A"/>
    <w:rsid w:val="0CB67574"/>
    <w:rsid w:val="0D1A7920"/>
    <w:rsid w:val="0D2269B3"/>
    <w:rsid w:val="0DB3098E"/>
    <w:rsid w:val="0EC464CF"/>
    <w:rsid w:val="10ED552F"/>
    <w:rsid w:val="11BD13A5"/>
    <w:rsid w:val="12220323"/>
    <w:rsid w:val="13FB007C"/>
    <w:rsid w:val="1431602D"/>
    <w:rsid w:val="14D120E8"/>
    <w:rsid w:val="16410357"/>
    <w:rsid w:val="16B036C0"/>
    <w:rsid w:val="19355CC5"/>
    <w:rsid w:val="1A705E7F"/>
    <w:rsid w:val="1ABF2D84"/>
    <w:rsid w:val="1E172FD7"/>
    <w:rsid w:val="1E491A3B"/>
    <w:rsid w:val="1F091FF2"/>
    <w:rsid w:val="1F1F7406"/>
    <w:rsid w:val="206D0602"/>
    <w:rsid w:val="22430342"/>
    <w:rsid w:val="22D66EA9"/>
    <w:rsid w:val="23244DE0"/>
    <w:rsid w:val="23977FB1"/>
    <w:rsid w:val="245C3447"/>
    <w:rsid w:val="25B931E9"/>
    <w:rsid w:val="28263441"/>
    <w:rsid w:val="2828673B"/>
    <w:rsid w:val="290B705B"/>
    <w:rsid w:val="29981D60"/>
    <w:rsid w:val="2B2339AC"/>
    <w:rsid w:val="2C57797E"/>
    <w:rsid w:val="2ECA6D1D"/>
    <w:rsid w:val="2EF2474A"/>
    <w:rsid w:val="2F296B60"/>
    <w:rsid w:val="304075B1"/>
    <w:rsid w:val="30444929"/>
    <w:rsid w:val="30942D80"/>
    <w:rsid w:val="311C29BA"/>
    <w:rsid w:val="31556AAC"/>
    <w:rsid w:val="318814ED"/>
    <w:rsid w:val="31931AC3"/>
    <w:rsid w:val="31E54ED1"/>
    <w:rsid w:val="3328400E"/>
    <w:rsid w:val="351512FA"/>
    <w:rsid w:val="374647FA"/>
    <w:rsid w:val="39A3581F"/>
    <w:rsid w:val="39CE49D8"/>
    <w:rsid w:val="3A841EE9"/>
    <w:rsid w:val="3A9F1A72"/>
    <w:rsid w:val="3ACF1B11"/>
    <w:rsid w:val="3B7D1841"/>
    <w:rsid w:val="3BA35A87"/>
    <w:rsid w:val="3BA6547C"/>
    <w:rsid w:val="3DD2151D"/>
    <w:rsid w:val="3DD23C8F"/>
    <w:rsid w:val="3F383632"/>
    <w:rsid w:val="3FA910A9"/>
    <w:rsid w:val="3FF84E58"/>
    <w:rsid w:val="4052753A"/>
    <w:rsid w:val="41737C65"/>
    <w:rsid w:val="41DD28D2"/>
    <w:rsid w:val="42DC038C"/>
    <w:rsid w:val="43BF53DB"/>
    <w:rsid w:val="43E77A38"/>
    <w:rsid w:val="45B002FD"/>
    <w:rsid w:val="45D833CA"/>
    <w:rsid w:val="464E5AFF"/>
    <w:rsid w:val="4A2276EF"/>
    <w:rsid w:val="4AAA5C63"/>
    <w:rsid w:val="4CD36FD6"/>
    <w:rsid w:val="4DB628F2"/>
    <w:rsid w:val="4E0D4F31"/>
    <w:rsid w:val="4EDC4AE9"/>
    <w:rsid w:val="4EFF051F"/>
    <w:rsid w:val="51513602"/>
    <w:rsid w:val="528E6F80"/>
    <w:rsid w:val="53516268"/>
    <w:rsid w:val="552F6C70"/>
    <w:rsid w:val="55924F68"/>
    <w:rsid w:val="55EE43AE"/>
    <w:rsid w:val="56C47F55"/>
    <w:rsid w:val="573A53AA"/>
    <w:rsid w:val="5AB93E8B"/>
    <w:rsid w:val="5CE9261B"/>
    <w:rsid w:val="5EA31F07"/>
    <w:rsid w:val="5EDA0640"/>
    <w:rsid w:val="5F193B70"/>
    <w:rsid w:val="61D17BB5"/>
    <w:rsid w:val="61E31A71"/>
    <w:rsid w:val="62283DE4"/>
    <w:rsid w:val="624F1172"/>
    <w:rsid w:val="63E33020"/>
    <w:rsid w:val="64B251B8"/>
    <w:rsid w:val="656229B9"/>
    <w:rsid w:val="658856FB"/>
    <w:rsid w:val="66421087"/>
    <w:rsid w:val="67B10C38"/>
    <w:rsid w:val="67DC7D34"/>
    <w:rsid w:val="68E97589"/>
    <w:rsid w:val="6BE248E5"/>
    <w:rsid w:val="6C617282"/>
    <w:rsid w:val="6CCB135B"/>
    <w:rsid w:val="6D3C0545"/>
    <w:rsid w:val="6EAF555B"/>
    <w:rsid w:val="6EDB6140"/>
    <w:rsid w:val="6F2C7111"/>
    <w:rsid w:val="714A36AC"/>
    <w:rsid w:val="71997FEE"/>
    <w:rsid w:val="71AF11DD"/>
    <w:rsid w:val="72746F20"/>
    <w:rsid w:val="73543105"/>
    <w:rsid w:val="73A85115"/>
    <w:rsid w:val="759E1500"/>
    <w:rsid w:val="77F25B04"/>
    <w:rsid w:val="78EA70A7"/>
    <w:rsid w:val="79C63670"/>
    <w:rsid w:val="7C1C38B8"/>
    <w:rsid w:val="7D1C2D3E"/>
    <w:rsid w:val="7D3C07CF"/>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3695</Words>
  <Characters>3999</Characters>
  <Lines>53</Lines>
  <Paragraphs>15</Paragraphs>
  <TotalTime>0</TotalTime>
  <ScaleCrop>false</ScaleCrop>
  <LinksUpToDate>false</LinksUpToDate>
  <CharactersWithSpaces>4043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J</cp:lastModifiedBy>
  <dcterms:modified xsi:type="dcterms:W3CDTF">2026-01-29T07:00:07Z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793839F25FFF4E6C89850030290CC93E_13</vt:lpwstr>
  </property>
  <property fmtid="{D5CDD505-2E9C-101B-9397-08002B2CF9AE}" pid="4" name="KSOTemplateDocerSaveRecord">
    <vt:lpwstr>eyJoZGlkIjoiNTEwNTk5YWYxM2YzMTQ5NTE1NGVhOGVkNzZlYmRmM2UiLCJ1c2VySWQiOiI5ODc4MjMxMDQifQ==</vt:lpwstr>
  </property>
</Properties>
</file>