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6"/>
          <w:szCs w:val="36"/>
          <w:highlight w:val="none"/>
        </w:rPr>
      </w:pPr>
    </w:p>
    <w:p>
      <w:pPr>
        <w:pStyle w:val="31"/>
        <w:rPr>
          <w:highlight w:val="none"/>
        </w:rPr>
      </w:pPr>
    </w:p>
    <w:p>
      <w:pPr>
        <w:rPr>
          <w:sz w:val="36"/>
          <w:szCs w:val="36"/>
          <w:highlight w:val="none"/>
        </w:rPr>
      </w:pPr>
    </w:p>
    <w:p>
      <w:pPr>
        <w:rPr>
          <w:sz w:val="36"/>
          <w:szCs w:val="36"/>
          <w:highlight w:val="none"/>
        </w:rPr>
      </w:pPr>
    </w:p>
    <w:p>
      <w:pPr>
        <w:rPr>
          <w:sz w:val="36"/>
          <w:szCs w:val="36"/>
          <w:highlight w:val="none"/>
        </w:rPr>
      </w:pPr>
    </w:p>
    <w:p>
      <w:pPr>
        <w:rPr>
          <w:b/>
          <w:bCs/>
          <w:sz w:val="36"/>
          <w:szCs w:val="36"/>
          <w:highlight w:val="none"/>
        </w:rPr>
      </w:pPr>
    </w:p>
    <w:p>
      <w:pPr>
        <w:adjustRightInd w:val="0"/>
        <w:snapToGrid w:val="0"/>
        <w:jc w:val="center"/>
        <w:outlineLvl w:val="0"/>
        <w:rPr>
          <w:b/>
          <w:bCs/>
          <w:sz w:val="72"/>
          <w:szCs w:val="72"/>
          <w:highlight w:val="none"/>
        </w:rPr>
      </w:pPr>
      <w:r>
        <w:rPr>
          <w:b/>
          <w:bCs/>
          <w:sz w:val="72"/>
          <w:szCs w:val="72"/>
          <w:highlight w:val="none"/>
        </w:rPr>
        <w:t>建设项目环境影响报告表</w:t>
      </w:r>
    </w:p>
    <w:p>
      <w:pPr>
        <w:adjustRightInd w:val="0"/>
        <w:snapToGrid w:val="0"/>
        <w:spacing w:before="192" w:beforeLines="80"/>
        <w:jc w:val="center"/>
        <w:rPr>
          <w:sz w:val="48"/>
          <w:szCs w:val="48"/>
          <w:highlight w:val="none"/>
        </w:rPr>
      </w:pPr>
      <w:r>
        <w:rPr>
          <w:sz w:val="48"/>
          <w:szCs w:val="48"/>
          <w:highlight w:val="none"/>
        </w:rPr>
        <w:t>（污染影响类）</w:t>
      </w:r>
    </w:p>
    <w:p>
      <w:pPr>
        <w:adjustRightInd w:val="0"/>
        <w:snapToGrid w:val="0"/>
        <w:spacing w:before="192" w:beforeLines="80"/>
        <w:jc w:val="center"/>
        <w:rPr>
          <w:bCs/>
          <w:sz w:val="28"/>
          <w:szCs w:val="28"/>
          <w:highlight w:val="none"/>
        </w:rPr>
      </w:pPr>
      <w:r>
        <w:rPr>
          <w:rFonts w:hint="eastAsia"/>
          <w:bCs/>
          <w:sz w:val="28"/>
          <w:szCs w:val="28"/>
          <w:highlight w:val="none"/>
        </w:rPr>
        <w:t>（</w:t>
      </w:r>
      <w:r>
        <w:rPr>
          <w:rFonts w:hint="eastAsia"/>
          <w:bCs/>
          <w:sz w:val="28"/>
          <w:szCs w:val="28"/>
          <w:highlight w:val="none"/>
          <w:lang w:val="en-US" w:eastAsia="zh-CN"/>
        </w:rPr>
        <w:t>报批</w:t>
      </w:r>
      <w:r>
        <w:rPr>
          <w:rFonts w:hint="eastAsia"/>
          <w:bCs/>
          <w:sz w:val="28"/>
          <w:szCs w:val="28"/>
          <w:highlight w:val="none"/>
        </w:rPr>
        <w:t>稿）</w:t>
      </w:r>
    </w:p>
    <w:p>
      <w:pPr>
        <w:jc w:val="center"/>
        <w:rPr>
          <w:highlight w:val="none"/>
        </w:rPr>
      </w:pPr>
    </w:p>
    <w:p>
      <w:pPr>
        <w:jc w:val="center"/>
        <w:rPr>
          <w:sz w:val="52"/>
          <w:szCs w:val="52"/>
          <w:highlight w:val="none"/>
        </w:rPr>
      </w:pPr>
    </w:p>
    <w:p>
      <w:pPr>
        <w:ind w:firstLine="1040"/>
        <w:rPr>
          <w:sz w:val="44"/>
          <w:szCs w:val="44"/>
          <w:highlight w:val="none"/>
        </w:rPr>
      </w:pPr>
    </w:p>
    <w:p>
      <w:pPr>
        <w:ind w:firstLine="1040"/>
        <w:rPr>
          <w:sz w:val="44"/>
          <w:szCs w:val="44"/>
          <w:highlight w:val="none"/>
        </w:rPr>
      </w:pPr>
    </w:p>
    <w:p>
      <w:pPr>
        <w:ind w:firstLine="1040"/>
        <w:rPr>
          <w:sz w:val="44"/>
          <w:szCs w:val="44"/>
          <w:highlight w:val="none"/>
        </w:rPr>
      </w:pPr>
    </w:p>
    <w:p>
      <w:pPr>
        <w:ind w:firstLine="1040"/>
        <w:rPr>
          <w:b/>
          <w:bCs/>
          <w:sz w:val="44"/>
          <w:szCs w:val="44"/>
          <w:highlight w:val="none"/>
        </w:rPr>
      </w:pPr>
    </w:p>
    <w:p>
      <w:pPr>
        <w:rPr>
          <w:highlight w:val="none"/>
        </w:rPr>
      </w:pPr>
    </w:p>
    <w:p>
      <w:pPr>
        <w:ind w:firstLine="1040"/>
        <w:rPr>
          <w:rFonts w:eastAsia="仿宋"/>
          <w:sz w:val="44"/>
          <w:szCs w:val="44"/>
          <w:highlight w:val="none"/>
        </w:rPr>
      </w:pPr>
    </w:p>
    <w:p>
      <w:pPr>
        <w:adjustRightInd w:val="0"/>
        <w:snapToGrid w:val="0"/>
        <w:spacing w:line="384" w:lineRule="auto"/>
        <w:ind w:firstLine="850"/>
        <w:rPr>
          <w:b/>
          <w:bCs/>
          <w:sz w:val="36"/>
          <w:szCs w:val="36"/>
          <w:highlight w:val="none"/>
          <w:u w:val="single"/>
        </w:rPr>
      </w:pPr>
      <w:r>
        <w:rPr>
          <w:rFonts w:hint="eastAsia"/>
          <w:b/>
          <w:bCs/>
          <w:sz w:val="36"/>
          <w:szCs w:val="36"/>
          <w:highlight w:val="none"/>
        </w:rPr>
        <w:t>项目名称：</w:t>
      </w:r>
      <w:r>
        <w:rPr>
          <w:rFonts w:hint="eastAsia"/>
          <w:b/>
          <w:bCs/>
          <w:sz w:val="36"/>
          <w:szCs w:val="36"/>
          <w:highlight w:val="none"/>
          <w:u w:val="single"/>
        </w:rPr>
        <w:t xml:space="preserve"> 庐山市沁庐食品有限公司蛋液加工项目  </w:t>
      </w:r>
    </w:p>
    <w:p>
      <w:pPr>
        <w:adjustRightInd w:val="0"/>
        <w:snapToGrid w:val="0"/>
        <w:spacing w:line="384" w:lineRule="auto"/>
        <w:ind w:firstLine="850"/>
        <w:rPr>
          <w:b/>
          <w:bCs/>
          <w:sz w:val="36"/>
          <w:szCs w:val="36"/>
          <w:highlight w:val="none"/>
        </w:rPr>
      </w:pPr>
      <w:r>
        <w:rPr>
          <w:rFonts w:hint="eastAsia"/>
          <w:b/>
          <w:bCs/>
          <w:sz w:val="36"/>
          <w:szCs w:val="36"/>
          <w:highlight w:val="none"/>
        </w:rPr>
        <w:t>建设单位：</w:t>
      </w:r>
      <w:r>
        <w:rPr>
          <w:rFonts w:hint="eastAsia"/>
          <w:b/>
          <w:bCs/>
          <w:sz w:val="36"/>
          <w:szCs w:val="36"/>
          <w:highlight w:val="none"/>
          <w:u w:val="single"/>
        </w:rPr>
        <w:t xml:space="preserve">      庐山市沁庐食品有限公司       </w:t>
      </w:r>
    </w:p>
    <w:p>
      <w:pPr>
        <w:adjustRightInd w:val="0"/>
        <w:snapToGrid w:val="0"/>
        <w:spacing w:line="384" w:lineRule="auto"/>
        <w:ind w:firstLine="850"/>
        <w:rPr>
          <w:b/>
          <w:bCs/>
          <w:sz w:val="36"/>
          <w:szCs w:val="36"/>
          <w:highlight w:val="none"/>
          <w:u w:val="single"/>
        </w:rPr>
      </w:pPr>
      <w:r>
        <w:rPr>
          <w:rFonts w:hint="eastAsia"/>
          <w:b/>
          <w:bCs/>
          <w:sz w:val="36"/>
          <w:szCs w:val="36"/>
          <w:highlight w:val="none"/>
        </w:rPr>
        <w:t>编制日期：</w:t>
      </w:r>
      <w:r>
        <w:rPr>
          <w:rFonts w:hint="eastAsia"/>
          <w:b/>
          <w:bCs/>
          <w:sz w:val="36"/>
          <w:szCs w:val="36"/>
          <w:highlight w:val="none"/>
          <w:u w:val="single"/>
        </w:rPr>
        <w:t xml:space="preserve">           2026</w:t>
      </w:r>
      <w:r>
        <w:rPr>
          <w:b/>
          <w:bCs/>
          <w:sz w:val="36"/>
          <w:szCs w:val="36"/>
          <w:highlight w:val="none"/>
          <w:u w:val="single"/>
        </w:rPr>
        <w:t>年</w:t>
      </w:r>
      <w:r>
        <w:rPr>
          <w:rFonts w:hint="eastAsia"/>
          <w:b/>
          <w:bCs/>
          <w:sz w:val="36"/>
          <w:szCs w:val="36"/>
          <w:highlight w:val="none"/>
          <w:u w:val="single"/>
        </w:rPr>
        <w:t>4</w:t>
      </w:r>
      <w:r>
        <w:rPr>
          <w:b/>
          <w:bCs/>
          <w:sz w:val="36"/>
          <w:szCs w:val="36"/>
          <w:highlight w:val="none"/>
          <w:u w:val="single"/>
        </w:rPr>
        <w:t>月</w:t>
      </w:r>
      <w:r>
        <w:rPr>
          <w:rFonts w:hint="eastAsia"/>
          <w:b/>
          <w:bCs/>
          <w:sz w:val="36"/>
          <w:szCs w:val="36"/>
          <w:highlight w:val="none"/>
          <w:u w:val="single"/>
        </w:rPr>
        <w:t xml:space="preserve">             </w:t>
      </w:r>
    </w:p>
    <w:p>
      <w:pPr>
        <w:adjustRightInd w:val="0"/>
        <w:snapToGrid w:val="0"/>
        <w:spacing w:line="288" w:lineRule="auto"/>
        <w:ind w:firstLine="1040"/>
        <w:rPr>
          <w:rFonts w:ascii="仿宋_GB2312" w:eastAsia="仿宋_GB2312"/>
          <w:sz w:val="36"/>
          <w:szCs w:val="36"/>
          <w:highlight w:val="none"/>
          <w:u w:val="single"/>
        </w:rPr>
      </w:pPr>
      <w:bookmarkStart w:id="0" w:name="_Hlk57884087"/>
    </w:p>
    <w:p>
      <w:pPr>
        <w:adjustRightInd w:val="0"/>
        <w:snapToGrid w:val="0"/>
        <w:spacing w:line="288" w:lineRule="auto"/>
        <w:ind w:firstLine="1040"/>
        <w:rPr>
          <w:rFonts w:ascii="仿宋_GB2312" w:eastAsia="仿宋_GB2312"/>
          <w:sz w:val="36"/>
          <w:szCs w:val="36"/>
          <w:highlight w:val="none"/>
        </w:rPr>
      </w:pPr>
    </w:p>
    <w:p>
      <w:pPr>
        <w:pStyle w:val="28"/>
        <w:rPr>
          <w:highlight w:val="none"/>
        </w:rPr>
      </w:pPr>
    </w:p>
    <w:bookmarkEnd w:id="0"/>
    <w:p>
      <w:pPr>
        <w:adjustRightInd w:val="0"/>
        <w:snapToGrid w:val="0"/>
        <w:spacing w:line="288" w:lineRule="auto"/>
        <w:jc w:val="center"/>
        <w:rPr>
          <w:rFonts w:ascii="楷体_GB2312" w:eastAsia="楷体_GB2312"/>
          <w:sz w:val="36"/>
          <w:szCs w:val="36"/>
          <w:highlight w:val="none"/>
        </w:rPr>
      </w:pPr>
      <w:r>
        <w:rPr>
          <w:rFonts w:hint="eastAsia" w:ascii="楷体_GB2312" w:eastAsia="楷体_GB2312"/>
          <w:sz w:val="36"/>
          <w:szCs w:val="36"/>
          <w:highlight w:val="none"/>
        </w:rPr>
        <w:t>中华人民共和国生态环境部制</w:t>
      </w:r>
    </w:p>
    <w:p>
      <w:pPr>
        <w:adjustRightInd w:val="0"/>
        <w:snapToGrid w:val="0"/>
        <w:spacing w:line="288" w:lineRule="auto"/>
        <w:ind w:firstLine="1040"/>
        <w:rPr>
          <w:rFonts w:ascii="仿宋_GB2312" w:eastAsia="仿宋_GB2312"/>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36"/>
        <w:jc w:val="center"/>
        <w:outlineLvl w:val="0"/>
        <w:rPr>
          <w:rFonts w:cs="宋体"/>
          <w:b/>
          <w:bCs/>
          <w:snapToGrid w:val="0"/>
          <w:sz w:val="30"/>
          <w:szCs w:val="30"/>
          <w:highlight w:val="none"/>
        </w:rPr>
      </w:pPr>
      <w:r>
        <w:rPr>
          <w:rFonts w:hint="eastAsia" w:cs="宋体"/>
          <w:b/>
          <w:bCs/>
          <w:snapToGrid w:val="0"/>
          <w:sz w:val="30"/>
          <w:szCs w:val="30"/>
          <w:highlight w:val="none"/>
        </w:rPr>
        <w:t>一、建设项目基本情况</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09"/>
        <w:gridCol w:w="864"/>
        <w:gridCol w:w="1900"/>
        <w:gridCol w:w="1756"/>
        <w:gridCol w:w="34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建设项目名称</w:t>
            </w:r>
          </w:p>
        </w:tc>
        <w:tc>
          <w:tcPr>
            <w:tcW w:w="7095" w:type="dxa"/>
            <w:gridSpan w:val="3"/>
            <w:vAlign w:val="center"/>
          </w:tcPr>
          <w:p>
            <w:pPr>
              <w:adjustRightInd w:val="0"/>
              <w:snapToGrid w:val="0"/>
              <w:jc w:val="center"/>
              <w:rPr>
                <w:sz w:val="24"/>
                <w:highlight w:val="none"/>
              </w:rPr>
            </w:pPr>
            <w:bookmarkStart w:id="1" w:name="OLE_LINK1"/>
            <w:bookmarkStart w:id="2" w:name="OLE_LINK2"/>
            <w:r>
              <w:rPr>
                <w:rFonts w:hint="eastAsia"/>
                <w:sz w:val="24"/>
                <w:highlight w:val="none"/>
              </w:rPr>
              <w:t>庐山市沁庐食品有限公司蛋液加工项目</w:t>
            </w:r>
            <w:bookmarkEnd w:id="1"/>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项目代码</w:t>
            </w:r>
          </w:p>
        </w:tc>
        <w:tc>
          <w:tcPr>
            <w:tcW w:w="7095" w:type="dxa"/>
            <w:gridSpan w:val="3"/>
            <w:vAlign w:val="center"/>
          </w:tcPr>
          <w:p>
            <w:pPr>
              <w:adjustRightInd w:val="0"/>
              <w:snapToGrid w:val="0"/>
              <w:jc w:val="center"/>
              <w:rPr>
                <w:sz w:val="24"/>
                <w:highlight w:val="none"/>
              </w:rPr>
            </w:pPr>
            <w:r>
              <w:rPr>
                <w:rFonts w:hint="eastAsia"/>
                <w:sz w:val="24"/>
                <w:highlight w:val="none"/>
              </w:rPr>
              <w:t>2512-360483-04-05-454579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建设单位联系人</w:t>
            </w:r>
          </w:p>
        </w:tc>
        <w:tc>
          <w:tcPr>
            <w:tcW w:w="1900" w:type="dxa"/>
            <w:vAlign w:val="center"/>
          </w:tcPr>
          <w:p>
            <w:pPr>
              <w:adjustRightInd w:val="0"/>
              <w:snapToGrid w:val="0"/>
              <w:jc w:val="center"/>
              <w:rPr>
                <w:sz w:val="24"/>
                <w:highlight w:val="none"/>
              </w:rPr>
            </w:pPr>
            <w:r>
              <w:rPr>
                <w:rFonts w:hint="eastAsia"/>
                <w:sz w:val="24"/>
                <w:highlight w:val="none"/>
              </w:rPr>
              <w:t>朱双</w:t>
            </w:r>
          </w:p>
        </w:tc>
        <w:tc>
          <w:tcPr>
            <w:tcW w:w="1756" w:type="dxa"/>
            <w:vAlign w:val="center"/>
          </w:tcPr>
          <w:p>
            <w:pPr>
              <w:adjustRightInd w:val="0"/>
              <w:snapToGrid w:val="0"/>
              <w:jc w:val="center"/>
              <w:rPr>
                <w:sz w:val="24"/>
                <w:highlight w:val="none"/>
              </w:rPr>
            </w:pPr>
            <w:r>
              <w:rPr>
                <w:b/>
                <w:bCs/>
                <w:sz w:val="24"/>
                <w:highlight w:val="none"/>
              </w:rPr>
              <w:t>联系方式</w:t>
            </w:r>
          </w:p>
        </w:tc>
        <w:tc>
          <w:tcPr>
            <w:tcW w:w="3439" w:type="dxa"/>
            <w:vAlign w:val="center"/>
          </w:tcPr>
          <w:p>
            <w:pPr>
              <w:adjustRightInd w:val="0"/>
              <w:snapToGrid w:val="0"/>
              <w:jc w:val="center"/>
              <w:rPr>
                <w:sz w:val="24"/>
                <w:highlight w:val="none"/>
              </w:rPr>
            </w:pPr>
            <w:r>
              <w:rPr>
                <w:sz w:val="24"/>
                <w:highlight w:val="none"/>
              </w:rPr>
              <w:t>158</w:t>
            </w:r>
            <w:r>
              <w:rPr>
                <w:rFonts w:hint="eastAsia"/>
                <w:sz w:val="24"/>
                <w:highlight w:val="none"/>
                <w:lang w:eastAsia="zh-CN"/>
              </w:rPr>
              <w:t>※※※※</w:t>
            </w:r>
            <w:bookmarkStart w:id="25" w:name="_GoBack"/>
            <w:bookmarkEnd w:id="25"/>
            <w:r>
              <w:rPr>
                <w:sz w:val="24"/>
                <w:highlight w:val="none"/>
              </w:rPr>
              <w:t>8898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建设地点</w:t>
            </w:r>
          </w:p>
        </w:tc>
        <w:tc>
          <w:tcPr>
            <w:tcW w:w="7095" w:type="dxa"/>
            <w:gridSpan w:val="3"/>
            <w:vAlign w:val="center"/>
          </w:tcPr>
          <w:p>
            <w:pPr>
              <w:adjustRightInd w:val="0"/>
              <w:snapToGrid w:val="0"/>
              <w:jc w:val="center"/>
              <w:rPr>
                <w:sz w:val="24"/>
                <w:highlight w:val="none"/>
              </w:rPr>
            </w:pPr>
            <w:r>
              <w:rPr>
                <w:sz w:val="24"/>
                <w:highlight w:val="none"/>
              </w:rPr>
              <w:t>庐山市华林镇吉山村华林板岩加工园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地理坐标</w:t>
            </w:r>
          </w:p>
        </w:tc>
        <w:tc>
          <w:tcPr>
            <w:tcW w:w="7095" w:type="dxa"/>
            <w:gridSpan w:val="3"/>
            <w:vAlign w:val="center"/>
          </w:tcPr>
          <w:p>
            <w:pPr>
              <w:jc w:val="center"/>
              <w:rPr>
                <w:sz w:val="24"/>
                <w:highlight w:val="none"/>
              </w:rPr>
            </w:pPr>
            <w:r>
              <w:rPr>
                <w:sz w:val="24"/>
                <w:szCs w:val="22"/>
                <w:highlight w:val="none"/>
              </w:rPr>
              <w:t>E115°56′9.9</w:t>
            </w:r>
            <w:r>
              <w:rPr>
                <w:rFonts w:hint="eastAsia"/>
                <w:sz w:val="24"/>
                <w:szCs w:val="22"/>
                <w:highlight w:val="none"/>
              </w:rPr>
              <w:t>87</w:t>
            </w:r>
            <w:r>
              <w:rPr>
                <w:sz w:val="24"/>
                <w:szCs w:val="22"/>
                <w:highlight w:val="none"/>
              </w:rPr>
              <w:t>″,N29°20′48.</w:t>
            </w:r>
            <w:r>
              <w:rPr>
                <w:rFonts w:hint="eastAsia"/>
                <w:sz w:val="24"/>
                <w:szCs w:val="22"/>
                <w:highlight w:val="none"/>
              </w:rPr>
              <w:t>940</w:t>
            </w:r>
            <w:r>
              <w:rPr>
                <w:sz w:val="24"/>
                <w:szCs w:val="22"/>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国民经济</w:t>
            </w:r>
          </w:p>
          <w:p>
            <w:pPr>
              <w:adjustRightInd w:val="0"/>
              <w:snapToGrid w:val="0"/>
              <w:jc w:val="center"/>
              <w:rPr>
                <w:b/>
                <w:bCs/>
                <w:sz w:val="24"/>
                <w:highlight w:val="none"/>
              </w:rPr>
            </w:pPr>
            <w:r>
              <w:rPr>
                <w:b/>
                <w:bCs/>
                <w:sz w:val="24"/>
                <w:highlight w:val="none"/>
              </w:rPr>
              <w:t>行业类别</w:t>
            </w:r>
          </w:p>
        </w:tc>
        <w:tc>
          <w:tcPr>
            <w:tcW w:w="1900" w:type="dxa"/>
            <w:vAlign w:val="center"/>
          </w:tcPr>
          <w:p>
            <w:pPr>
              <w:adjustRightInd w:val="0"/>
              <w:snapToGrid w:val="0"/>
              <w:jc w:val="center"/>
              <w:rPr>
                <w:sz w:val="24"/>
                <w:highlight w:val="none"/>
              </w:rPr>
            </w:pPr>
            <w:r>
              <w:rPr>
                <w:sz w:val="24"/>
                <w:highlight w:val="none"/>
              </w:rPr>
              <w:t>D4430 热力生产和供应</w:t>
            </w:r>
          </w:p>
          <w:p>
            <w:pPr>
              <w:adjustRightInd w:val="0"/>
              <w:snapToGrid w:val="0"/>
              <w:jc w:val="center"/>
              <w:rPr>
                <w:sz w:val="24"/>
                <w:highlight w:val="none"/>
              </w:rPr>
            </w:pPr>
            <w:r>
              <w:rPr>
                <w:sz w:val="24"/>
                <w:highlight w:val="none"/>
              </w:rPr>
              <w:t>C1393 蛋品加工</w:t>
            </w:r>
          </w:p>
          <w:p>
            <w:pPr>
              <w:adjustRightInd w:val="0"/>
              <w:snapToGrid w:val="0"/>
              <w:jc w:val="center"/>
              <w:rPr>
                <w:sz w:val="24"/>
                <w:highlight w:val="none"/>
              </w:rPr>
            </w:pPr>
          </w:p>
        </w:tc>
        <w:tc>
          <w:tcPr>
            <w:tcW w:w="1756" w:type="dxa"/>
            <w:vAlign w:val="center"/>
          </w:tcPr>
          <w:p>
            <w:pPr>
              <w:adjustRightInd w:val="0"/>
              <w:snapToGrid w:val="0"/>
              <w:jc w:val="center"/>
              <w:rPr>
                <w:b/>
                <w:bCs/>
                <w:sz w:val="24"/>
                <w:highlight w:val="none"/>
              </w:rPr>
            </w:pPr>
            <w:bookmarkStart w:id="3" w:name="_Hlk49843745"/>
            <w:r>
              <w:rPr>
                <w:b/>
                <w:bCs/>
                <w:sz w:val="24"/>
                <w:highlight w:val="none"/>
              </w:rPr>
              <w:t>建设项目</w:t>
            </w:r>
          </w:p>
          <w:p>
            <w:pPr>
              <w:adjustRightInd w:val="0"/>
              <w:snapToGrid w:val="0"/>
              <w:jc w:val="center"/>
              <w:rPr>
                <w:sz w:val="24"/>
                <w:highlight w:val="none"/>
              </w:rPr>
            </w:pPr>
            <w:r>
              <w:rPr>
                <w:b/>
                <w:bCs/>
                <w:sz w:val="24"/>
                <w:highlight w:val="none"/>
              </w:rPr>
              <w:t>行业类别</w:t>
            </w:r>
            <w:bookmarkEnd w:id="3"/>
          </w:p>
        </w:tc>
        <w:tc>
          <w:tcPr>
            <w:tcW w:w="3439" w:type="dxa"/>
            <w:vAlign w:val="center"/>
          </w:tcPr>
          <w:p>
            <w:pPr>
              <w:pStyle w:val="104"/>
              <w:spacing w:before="59" w:line="230" w:lineRule="auto"/>
              <w:ind w:left="16" w:right="3"/>
              <w:rPr>
                <w:rFonts w:ascii="Times New Roman" w:hAnsi="Times New Roman" w:cs="Times New Roman"/>
                <w:spacing w:val="-10"/>
                <w:highlight w:val="none"/>
                <w:lang w:eastAsia="zh-CN"/>
              </w:rPr>
            </w:pPr>
            <w:r>
              <w:rPr>
                <w:rFonts w:ascii="Times New Roman" w:hAnsi="Times New Roman" w:cs="Times New Roman"/>
                <w:spacing w:val="-10"/>
                <w:highlight w:val="none"/>
                <w:lang w:eastAsia="zh-CN"/>
              </w:rPr>
              <w:t>四十一、电力、热力生产和供应业-91热力生产和供应工程（包括建设单位自建自用的供热工程）-使用其他高污染燃料的(高污染燃料指国环规大气</w:t>
            </w:r>
            <w:r>
              <w:rPr>
                <w:rFonts w:hint="eastAsia" w:ascii="Times New Roman" w:hAnsi="Times New Roman" w:cs="Times New Roman"/>
                <w:spacing w:val="-10"/>
                <w:highlight w:val="none"/>
                <w:lang w:eastAsia="zh-CN"/>
              </w:rPr>
              <w:t>〔2017〕2号</w:t>
            </w:r>
            <w:r>
              <w:rPr>
                <w:rFonts w:ascii="Times New Roman" w:hAnsi="Times New Roman" w:cs="Times New Roman"/>
                <w:spacing w:val="-10"/>
                <w:highlight w:val="none"/>
                <w:lang w:eastAsia="zh-CN"/>
              </w:rPr>
              <w:t>《高污染燃料</w:t>
            </w:r>
            <w:r>
              <w:rPr>
                <w:rFonts w:hint="eastAsia" w:ascii="Times New Roman" w:hAnsi="Times New Roman" w:cs="Times New Roman"/>
                <w:spacing w:val="-10"/>
                <w:highlight w:val="none"/>
                <w:lang w:eastAsia="zh-CN"/>
              </w:rPr>
              <w:t>目录</w:t>
            </w:r>
            <w:r>
              <w:rPr>
                <w:rFonts w:ascii="Times New Roman" w:hAnsi="Times New Roman" w:cs="Times New Roman"/>
                <w:spacing w:val="-10"/>
                <w:highlight w:val="none"/>
                <w:lang w:eastAsia="zh-CN"/>
              </w:rPr>
              <w:t>》中规定的燃料</w:t>
            </w:r>
            <w:r>
              <w:rPr>
                <w:rFonts w:hint="eastAsia" w:ascii="Times New Roman" w:hAnsi="Times New Roman" w:cs="Times New Roman"/>
                <w:spacing w:val="-10"/>
                <w:highlight w:val="none"/>
                <w:lang w:eastAsia="zh-CN"/>
              </w:rPr>
              <w:t>）</w:t>
            </w:r>
          </w:p>
          <w:p>
            <w:pPr>
              <w:pStyle w:val="104"/>
              <w:spacing w:before="59" w:line="230" w:lineRule="auto"/>
              <w:ind w:left="16" w:right="3"/>
              <w:rPr>
                <w:highlight w:val="none"/>
                <w:lang w:eastAsia="zh-CN"/>
              </w:rPr>
            </w:pPr>
            <w:r>
              <w:rPr>
                <w:spacing w:val="-10"/>
                <w:highlight w:val="none"/>
                <w:lang w:eastAsia="zh-CN"/>
              </w:rPr>
              <w:t>十、农副食品加工业</w:t>
            </w:r>
            <w:r>
              <w:rPr>
                <w:spacing w:val="-32"/>
                <w:highlight w:val="none"/>
                <w:lang w:eastAsia="zh-CN"/>
              </w:rPr>
              <w:t xml:space="preserve"> </w:t>
            </w:r>
            <w:r>
              <w:rPr>
                <w:rFonts w:ascii="Times New Roman" w:hAnsi="Times New Roman" w:eastAsia="Times New Roman" w:cs="Times New Roman"/>
                <w:spacing w:val="-10"/>
                <w:highlight w:val="none"/>
                <w:lang w:eastAsia="zh-CN"/>
              </w:rPr>
              <w:t>13-20</w:t>
            </w:r>
            <w:r>
              <w:rPr>
                <w:spacing w:val="-3"/>
                <w:highlight w:val="none"/>
                <w:lang w:eastAsia="zh-CN"/>
              </w:rPr>
              <w:t>其他农副食品加工</w:t>
            </w:r>
            <w:r>
              <w:rPr>
                <w:spacing w:val="-29"/>
                <w:highlight w:val="none"/>
                <w:lang w:eastAsia="zh-CN"/>
              </w:rPr>
              <w:t xml:space="preserve"> </w:t>
            </w:r>
            <w:r>
              <w:rPr>
                <w:rFonts w:ascii="Times New Roman" w:hAnsi="Times New Roman" w:eastAsia="Times New Roman" w:cs="Times New Roman"/>
                <w:spacing w:val="-3"/>
                <w:highlight w:val="none"/>
                <w:lang w:eastAsia="zh-CN"/>
              </w:rPr>
              <w:t>139*</w:t>
            </w:r>
            <w:r>
              <w:rPr>
                <w:rFonts w:ascii="Times New Roman" w:hAnsi="Times New Roman" w:eastAsia="Times New Roman" w:cs="Times New Roman"/>
                <w:spacing w:val="-10"/>
                <w:highlight w:val="none"/>
                <w:lang w:eastAsia="zh-CN"/>
              </w:rPr>
              <w:t>-</w:t>
            </w:r>
            <w:r>
              <w:rPr>
                <w:rFonts w:hint="eastAsia" w:ascii="Times New Roman" w:hAnsi="Times New Roman" w:cs="Times New Roman"/>
                <w:spacing w:val="-10"/>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建设性质</w:t>
            </w:r>
          </w:p>
        </w:tc>
        <w:tc>
          <w:tcPr>
            <w:tcW w:w="1900" w:type="dxa"/>
            <w:vAlign w:val="center"/>
          </w:tcPr>
          <w:p>
            <w:pPr>
              <w:jc w:val="left"/>
              <w:rPr>
                <w:rFonts w:ascii="宋体" w:hAnsi="宋体" w:cs="宋体"/>
                <w:sz w:val="24"/>
                <w:highlight w:val="none"/>
              </w:rPr>
            </w:pPr>
            <w:r>
              <w:rPr>
                <w:rFonts w:hint="eastAsia" w:ascii="宋体" w:hAnsi="宋体" w:cs="宋体"/>
                <w:b/>
                <w:bCs/>
                <w:sz w:val="24"/>
                <w:highlight w:val="none"/>
              </w:rPr>
              <w:sym w:font="Wingdings 2" w:char="0052"/>
            </w:r>
            <w:r>
              <w:rPr>
                <w:rFonts w:hint="eastAsia" w:ascii="宋体" w:hAnsi="宋体" w:cs="宋体"/>
                <w:sz w:val="24"/>
                <w:highlight w:val="none"/>
              </w:rPr>
              <w:t>新建（迁建）</w:t>
            </w:r>
          </w:p>
          <w:p>
            <w:pPr>
              <w:jc w:val="left"/>
              <w:rPr>
                <w:rFonts w:ascii="宋体" w:hAnsi="宋体" w:cs="宋体"/>
                <w:sz w:val="24"/>
                <w:highlight w:val="none"/>
              </w:rPr>
            </w:pPr>
            <w:r>
              <w:rPr>
                <w:rFonts w:hint="eastAsia" w:ascii="宋体" w:hAnsi="宋体" w:cs="宋体"/>
                <w:sz w:val="24"/>
                <w:highlight w:val="none"/>
              </w:rPr>
              <w:t>□改建</w:t>
            </w:r>
          </w:p>
          <w:p>
            <w:pPr>
              <w:jc w:val="left"/>
              <w:rPr>
                <w:rFonts w:ascii="宋体" w:hAnsi="宋体" w:cs="宋体"/>
                <w:sz w:val="24"/>
                <w:highlight w:val="none"/>
              </w:rPr>
            </w:pPr>
            <w:r>
              <w:rPr>
                <w:rFonts w:hint="eastAsia" w:ascii="宋体" w:hAnsi="宋体" w:cs="宋体"/>
                <w:sz w:val="24"/>
                <w:highlight w:val="none"/>
              </w:rPr>
              <w:t>□扩建</w:t>
            </w:r>
          </w:p>
          <w:p>
            <w:pPr>
              <w:jc w:val="left"/>
              <w:rPr>
                <w:rFonts w:ascii="宋体" w:hAnsi="宋体" w:cs="宋体"/>
                <w:sz w:val="24"/>
                <w:highlight w:val="none"/>
              </w:rPr>
            </w:pPr>
            <w:r>
              <w:rPr>
                <w:rFonts w:hint="eastAsia" w:ascii="宋体" w:hAnsi="宋体" w:cs="宋体"/>
                <w:sz w:val="24"/>
                <w:highlight w:val="none"/>
              </w:rPr>
              <w:t>□技术改造</w:t>
            </w:r>
          </w:p>
        </w:tc>
        <w:tc>
          <w:tcPr>
            <w:tcW w:w="1756" w:type="dxa"/>
            <w:vAlign w:val="center"/>
          </w:tcPr>
          <w:p>
            <w:pPr>
              <w:adjustRightInd w:val="0"/>
              <w:snapToGrid w:val="0"/>
              <w:jc w:val="center"/>
              <w:rPr>
                <w:rFonts w:ascii="宋体" w:hAnsi="宋体" w:cs="宋体"/>
                <w:b/>
                <w:bCs/>
                <w:sz w:val="24"/>
                <w:highlight w:val="none"/>
              </w:rPr>
            </w:pPr>
            <w:r>
              <w:rPr>
                <w:rFonts w:hint="eastAsia" w:ascii="宋体" w:hAnsi="宋体" w:cs="宋体"/>
                <w:b/>
                <w:bCs/>
                <w:sz w:val="24"/>
                <w:highlight w:val="none"/>
              </w:rPr>
              <w:t>建设项目</w:t>
            </w:r>
          </w:p>
          <w:p>
            <w:pPr>
              <w:adjustRightInd w:val="0"/>
              <w:snapToGrid w:val="0"/>
              <w:jc w:val="center"/>
              <w:rPr>
                <w:rFonts w:ascii="宋体" w:hAnsi="宋体" w:cs="宋体"/>
                <w:b/>
                <w:bCs/>
                <w:sz w:val="24"/>
                <w:highlight w:val="none"/>
              </w:rPr>
            </w:pPr>
            <w:r>
              <w:rPr>
                <w:rFonts w:hint="eastAsia" w:ascii="宋体" w:hAnsi="宋体" w:cs="宋体"/>
                <w:b/>
                <w:bCs/>
                <w:sz w:val="24"/>
                <w:highlight w:val="none"/>
              </w:rPr>
              <w:t>申报情形</w:t>
            </w:r>
          </w:p>
        </w:tc>
        <w:tc>
          <w:tcPr>
            <w:tcW w:w="3439" w:type="dxa"/>
            <w:vAlign w:val="center"/>
          </w:tcPr>
          <w:p>
            <w:pPr>
              <w:jc w:val="left"/>
              <w:rPr>
                <w:rFonts w:ascii="宋体" w:hAnsi="宋体" w:cs="宋体"/>
                <w:sz w:val="24"/>
                <w:highlight w:val="none"/>
              </w:rPr>
            </w:pPr>
            <w:r>
              <w:rPr>
                <w:rFonts w:hint="eastAsia" w:ascii="宋体" w:hAnsi="宋体" w:cs="宋体"/>
                <w:b/>
                <w:bCs/>
                <w:sz w:val="24"/>
                <w:highlight w:val="none"/>
              </w:rPr>
              <w:sym w:font="Wingdings 2" w:char="0052"/>
            </w:r>
            <w:r>
              <w:rPr>
                <w:rFonts w:hint="eastAsia" w:ascii="宋体" w:hAnsi="宋体" w:cs="宋体"/>
                <w:sz w:val="24"/>
                <w:highlight w:val="none"/>
              </w:rPr>
              <w:t>首次申报项目</w:t>
            </w:r>
          </w:p>
          <w:p>
            <w:pPr>
              <w:jc w:val="left"/>
              <w:rPr>
                <w:rFonts w:ascii="宋体" w:hAnsi="宋体" w:cs="宋体"/>
                <w:sz w:val="24"/>
                <w:highlight w:val="none"/>
              </w:rPr>
            </w:pPr>
            <w:r>
              <w:rPr>
                <w:rFonts w:hint="eastAsia" w:ascii="宋体" w:hAnsi="宋体" w:cs="宋体"/>
                <w:sz w:val="24"/>
                <w:highlight w:val="none"/>
              </w:rPr>
              <w:t>□不予批准后再次申报项目</w:t>
            </w:r>
          </w:p>
          <w:p>
            <w:pPr>
              <w:jc w:val="left"/>
              <w:rPr>
                <w:rFonts w:ascii="宋体" w:hAnsi="宋体" w:cs="宋体"/>
                <w:sz w:val="24"/>
                <w:highlight w:val="none"/>
              </w:rPr>
            </w:pPr>
            <w:r>
              <w:rPr>
                <w:rFonts w:hint="eastAsia" w:ascii="宋体" w:hAnsi="宋体" w:cs="宋体"/>
                <w:sz w:val="24"/>
                <w:highlight w:val="none"/>
              </w:rPr>
              <w:t>□超五年重新审核项目</w:t>
            </w:r>
          </w:p>
          <w:p>
            <w:pPr>
              <w:jc w:val="left"/>
              <w:rPr>
                <w:rFonts w:ascii="宋体" w:hAnsi="宋体" w:cs="宋体"/>
                <w:sz w:val="24"/>
                <w:highlight w:val="none"/>
              </w:rPr>
            </w:pPr>
            <w:r>
              <w:rPr>
                <w:rFonts w:hint="eastAsia" w:ascii="宋体" w:hAnsi="宋体" w:cs="宋体"/>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项目审批（核准/</w:t>
            </w:r>
          </w:p>
          <w:p>
            <w:pPr>
              <w:adjustRightInd w:val="0"/>
              <w:snapToGrid w:val="0"/>
              <w:jc w:val="center"/>
              <w:rPr>
                <w:b/>
                <w:bCs/>
                <w:sz w:val="24"/>
                <w:highlight w:val="none"/>
              </w:rPr>
            </w:pPr>
            <w:r>
              <w:rPr>
                <w:b/>
                <w:bCs/>
                <w:sz w:val="24"/>
                <w:highlight w:val="none"/>
              </w:rPr>
              <w:t>备案）部门（选填）</w:t>
            </w:r>
          </w:p>
        </w:tc>
        <w:tc>
          <w:tcPr>
            <w:tcW w:w="1900" w:type="dxa"/>
            <w:vAlign w:val="center"/>
          </w:tcPr>
          <w:p>
            <w:pPr>
              <w:adjustRightInd w:val="0"/>
              <w:snapToGrid w:val="0"/>
              <w:jc w:val="center"/>
              <w:rPr>
                <w:sz w:val="24"/>
                <w:highlight w:val="none"/>
              </w:rPr>
            </w:pPr>
            <w:r>
              <w:rPr>
                <w:rFonts w:hint="eastAsia"/>
                <w:sz w:val="24"/>
                <w:highlight w:val="none"/>
              </w:rPr>
              <w:t>庐山市行政审批局</w:t>
            </w:r>
          </w:p>
        </w:tc>
        <w:tc>
          <w:tcPr>
            <w:tcW w:w="1756" w:type="dxa"/>
            <w:vAlign w:val="center"/>
          </w:tcPr>
          <w:p>
            <w:pPr>
              <w:adjustRightInd w:val="0"/>
              <w:snapToGrid w:val="0"/>
              <w:jc w:val="center"/>
              <w:rPr>
                <w:b/>
                <w:bCs/>
                <w:sz w:val="24"/>
                <w:highlight w:val="none"/>
              </w:rPr>
            </w:pPr>
            <w:r>
              <w:rPr>
                <w:b/>
                <w:bCs/>
                <w:sz w:val="24"/>
                <w:highlight w:val="none"/>
              </w:rPr>
              <w:t>项目审批（核准/</w:t>
            </w:r>
          </w:p>
          <w:p>
            <w:pPr>
              <w:adjustRightInd w:val="0"/>
              <w:snapToGrid w:val="0"/>
              <w:jc w:val="center"/>
              <w:rPr>
                <w:b/>
                <w:bCs/>
                <w:sz w:val="24"/>
                <w:highlight w:val="none"/>
              </w:rPr>
            </w:pPr>
            <w:r>
              <w:rPr>
                <w:b/>
                <w:bCs/>
                <w:sz w:val="24"/>
                <w:highlight w:val="none"/>
              </w:rPr>
              <w:t>备案）文号（选填）</w:t>
            </w:r>
          </w:p>
        </w:tc>
        <w:tc>
          <w:tcPr>
            <w:tcW w:w="3439" w:type="dxa"/>
            <w:vAlign w:val="center"/>
          </w:tcPr>
          <w:p>
            <w:pPr>
              <w:adjustRightInd w:val="0"/>
              <w:snapToGrid w:val="0"/>
              <w:jc w:val="center"/>
              <w:rPr>
                <w:sz w:val="24"/>
                <w:highlight w:val="none"/>
              </w:rPr>
            </w:pPr>
            <w:r>
              <w:rPr>
                <w:rFonts w:hint="eastAsia"/>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总投资（万元）</w:t>
            </w:r>
          </w:p>
        </w:tc>
        <w:tc>
          <w:tcPr>
            <w:tcW w:w="1900" w:type="dxa"/>
            <w:vAlign w:val="center"/>
          </w:tcPr>
          <w:p>
            <w:pPr>
              <w:adjustRightInd w:val="0"/>
              <w:snapToGrid w:val="0"/>
              <w:jc w:val="center"/>
              <w:rPr>
                <w:sz w:val="24"/>
                <w:highlight w:val="none"/>
              </w:rPr>
            </w:pPr>
            <w:r>
              <w:rPr>
                <w:rFonts w:hint="eastAsia"/>
                <w:sz w:val="24"/>
                <w:highlight w:val="none"/>
              </w:rPr>
              <w:t>43000</w:t>
            </w:r>
          </w:p>
        </w:tc>
        <w:tc>
          <w:tcPr>
            <w:tcW w:w="1756" w:type="dxa"/>
            <w:tcMar>
              <w:top w:w="16" w:type="dxa"/>
              <w:left w:w="16" w:type="dxa"/>
              <w:right w:w="16" w:type="dxa"/>
            </w:tcMar>
            <w:vAlign w:val="center"/>
          </w:tcPr>
          <w:p>
            <w:pPr>
              <w:adjustRightInd w:val="0"/>
              <w:snapToGrid w:val="0"/>
              <w:jc w:val="center"/>
              <w:rPr>
                <w:b/>
                <w:bCs/>
                <w:sz w:val="24"/>
                <w:highlight w:val="none"/>
              </w:rPr>
            </w:pPr>
            <w:r>
              <w:rPr>
                <w:b/>
                <w:bCs/>
                <w:sz w:val="24"/>
                <w:highlight w:val="none"/>
              </w:rPr>
              <w:t>环保投资（万元）</w:t>
            </w:r>
          </w:p>
        </w:tc>
        <w:tc>
          <w:tcPr>
            <w:tcW w:w="3439" w:type="dxa"/>
            <w:vAlign w:val="center"/>
          </w:tcPr>
          <w:p>
            <w:pPr>
              <w:adjustRightInd w:val="0"/>
              <w:snapToGrid w:val="0"/>
              <w:jc w:val="center"/>
              <w:rPr>
                <w:rFonts w:hint="eastAsia" w:eastAsia="宋体"/>
                <w:sz w:val="24"/>
                <w:highlight w:val="none"/>
                <w:lang w:eastAsia="zh-CN"/>
              </w:rPr>
            </w:pPr>
            <w:r>
              <w:rPr>
                <w:rFonts w:hint="eastAsia"/>
                <w:sz w:val="24"/>
                <w:highlight w:val="none"/>
                <w:lang w:eastAsia="zh-CN"/>
              </w:rPr>
              <w:t>339.2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环保投资占比（%）</w:t>
            </w:r>
          </w:p>
        </w:tc>
        <w:tc>
          <w:tcPr>
            <w:tcW w:w="1900" w:type="dxa"/>
            <w:vAlign w:val="center"/>
          </w:tcPr>
          <w:p>
            <w:pPr>
              <w:adjustRightInd w:val="0"/>
              <w:snapToGrid w:val="0"/>
              <w:jc w:val="center"/>
              <w:rPr>
                <w:rFonts w:hint="default" w:eastAsia="宋体"/>
                <w:sz w:val="24"/>
                <w:highlight w:val="none"/>
                <w:lang w:val="en-US" w:eastAsia="zh-CN"/>
              </w:rPr>
            </w:pPr>
            <w:r>
              <w:rPr>
                <w:rFonts w:hint="eastAsia"/>
                <w:sz w:val="24"/>
                <w:highlight w:val="none"/>
              </w:rPr>
              <w:t>0.</w:t>
            </w:r>
            <w:r>
              <w:rPr>
                <w:rFonts w:hint="eastAsia"/>
                <w:sz w:val="24"/>
                <w:highlight w:val="none"/>
                <w:lang w:val="en-US" w:eastAsia="zh-CN"/>
              </w:rPr>
              <w:t>79</w:t>
            </w:r>
          </w:p>
        </w:tc>
        <w:tc>
          <w:tcPr>
            <w:tcW w:w="1756" w:type="dxa"/>
            <w:tcMar>
              <w:top w:w="16" w:type="dxa"/>
              <w:left w:w="16" w:type="dxa"/>
              <w:right w:w="16" w:type="dxa"/>
            </w:tcMar>
            <w:vAlign w:val="center"/>
          </w:tcPr>
          <w:p>
            <w:pPr>
              <w:adjustRightInd w:val="0"/>
              <w:snapToGrid w:val="0"/>
              <w:jc w:val="center"/>
              <w:rPr>
                <w:b/>
                <w:bCs/>
                <w:sz w:val="24"/>
                <w:highlight w:val="none"/>
              </w:rPr>
            </w:pPr>
            <w:r>
              <w:rPr>
                <w:b/>
                <w:bCs/>
                <w:sz w:val="24"/>
                <w:highlight w:val="none"/>
              </w:rPr>
              <w:t>施工工期</w:t>
            </w:r>
          </w:p>
        </w:tc>
        <w:tc>
          <w:tcPr>
            <w:tcW w:w="3439" w:type="dxa"/>
            <w:vAlign w:val="center"/>
          </w:tcPr>
          <w:p>
            <w:pPr>
              <w:adjustRightInd w:val="0"/>
              <w:snapToGrid w:val="0"/>
              <w:jc w:val="center"/>
              <w:rPr>
                <w:sz w:val="24"/>
                <w:highlight w:val="none"/>
              </w:rPr>
            </w:pPr>
            <w:r>
              <w:rPr>
                <w:rFonts w:hint="eastAsia"/>
                <w:sz w:val="24"/>
                <w:highlight w:val="none"/>
              </w:rPr>
              <w:t>22个月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gridSpan w:val="2"/>
            <w:tcMar>
              <w:top w:w="16" w:type="dxa"/>
              <w:left w:w="16" w:type="dxa"/>
              <w:right w:w="16" w:type="dxa"/>
            </w:tcMar>
            <w:vAlign w:val="center"/>
          </w:tcPr>
          <w:p>
            <w:pPr>
              <w:adjustRightInd w:val="0"/>
              <w:snapToGrid w:val="0"/>
              <w:jc w:val="center"/>
              <w:rPr>
                <w:b/>
                <w:bCs/>
                <w:sz w:val="24"/>
                <w:highlight w:val="none"/>
              </w:rPr>
            </w:pPr>
            <w:r>
              <w:rPr>
                <w:b/>
                <w:bCs/>
                <w:sz w:val="24"/>
                <w:highlight w:val="none"/>
              </w:rPr>
              <w:t>是否开工建设</w:t>
            </w:r>
          </w:p>
        </w:tc>
        <w:tc>
          <w:tcPr>
            <w:tcW w:w="1900" w:type="dxa"/>
            <w:vAlign w:val="center"/>
          </w:tcPr>
          <w:p>
            <w:pPr>
              <w:adjustRightInd w:val="0"/>
              <w:snapToGrid w:val="0"/>
              <w:rPr>
                <w:sz w:val="24"/>
                <w:highlight w:val="none"/>
              </w:rPr>
            </w:pPr>
            <w:r>
              <w:rPr>
                <w:rFonts w:hint="eastAsia" w:ascii="宋体" w:hAnsi="宋体" w:cs="宋体"/>
                <w:sz w:val="24"/>
                <w:highlight w:val="none"/>
              </w:rPr>
              <w:sym w:font="Wingdings 2" w:char="0052"/>
            </w:r>
            <w:r>
              <w:rPr>
                <w:sz w:val="24"/>
                <w:highlight w:val="none"/>
              </w:rPr>
              <w:t>否</w:t>
            </w:r>
          </w:p>
          <w:p>
            <w:pPr>
              <w:adjustRightInd w:val="0"/>
              <w:snapToGrid w:val="0"/>
              <w:rPr>
                <w:sz w:val="24"/>
                <w:highlight w:val="none"/>
              </w:rPr>
            </w:pPr>
            <w:r>
              <w:rPr>
                <w:rFonts w:hint="eastAsia" w:ascii="宋体" w:hAnsi="宋体" w:cs="宋体"/>
                <w:sz w:val="24"/>
                <w:highlight w:val="none"/>
              </w:rPr>
              <w:t>□</w:t>
            </w:r>
            <w:r>
              <w:rPr>
                <w:sz w:val="24"/>
                <w:highlight w:val="none"/>
              </w:rPr>
              <w:t>是：</w:t>
            </w:r>
            <w:r>
              <w:rPr>
                <w:sz w:val="24"/>
                <w:highlight w:val="none"/>
                <w:u w:val="single"/>
              </w:rPr>
              <w:t xml:space="preserve">             </w:t>
            </w:r>
          </w:p>
        </w:tc>
        <w:tc>
          <w:tcPr>
            <w:tcW w:w="1756" w:type="dxa"/>
            <w:tcMar>
              <w:top w:w="16" w:type="dxa"/>
              <w:left w:w="16" w:type="dxa"/>
              <w:right w:w="16" w:type="dxa"/>
            </w:tcMar>
            <w:vAlign w:val="center"/>
          </w:tcPr>
          <w:p>
            <w:pPr>
              <w:adjustRightInd w:val="0"/>
              <w:snapToGrid w:val="0"/>
              <w:jc w:val="center"/>
              <w:rPr>
                <w:b/>
                <w:bCs/>
                <w:spacing w:val="-6"/>
                <w:sz w:val="24"/>
                <w:highlight w:val="none"/>
              </w:rPr>
            </w:pPr>
            <w:r>
              <w:rPr>
                <w:b/>
                <w:bCs/>
                <w:spacing w:val="-6"/>
                <w:sz w:val="24"/>
                <w:highlight w:val="none"/>
              </w:rPr>
              <w:t>用地（用海）</w:t>
            </w:r>
          </w:p>
          <w:p>
            <w:pPr>
              <w:adjustRightInd w:val="0"/>
              <w:snapToGrid w:val="0"/>
              <w:jc w:val="center"/>
              <w:rPr>
                <w:b/>
                <w:bCs/>
                <w:sz w:val="24"/>
                <w:highlight w:val="none"/>
              </w:rPr>
            </w:pPr>
            <w:r>
              <w:rPr>
                <w:b/>
                <w:bCs/>
                <w:spacing w:val="-6"/>
                <w:sz w:val="24"/>
                <w:highlight w:val="none"/>
              </w:rPr>
              <w:t>面积（m</w:t>
            </w:r>
            <w:r>
              <w:rPr>
                <w:b/>
                <w:bCs/>
                <w:spacing w:val="-6"/>
                <w:sz w:val="24"/>
                <w:highlight w:val="none"/>
                <w:vertAlign w:val="superscript"/>
              </w:rPr>
              <w:t>2</w:t>
            </w:r>
            <w:r>
              <w:rPr>
                <w:b/>
                <w:bCs/>
                <w:spacing w:val="-6"/>
                <w:sz w:val="24"/>
                <w:highlight w:val="none"/>
              </w:rPr>
              <w:t>）</w:t>
            </w:r>
          </w:p>
        </w:tc>
        <w:tc>
          <w:tcPr>
            <w:tcW w:w="3439" w:type="dxa"/>
            <w:vAlign w:val="center"/>
          </w:tcPr>
          <w:p>
            <w:pPr>
              <w:adjustRightInd w:val="0"/>
              <w:snapToGrid w:val="0"/>
              <w:jc w:val="center"/>
              <w:rPr>
                <w:sz w:val="24"/>
                <w:highlight w:val="none"/>
              </w:rPr>
            </w:pPr>
            <w:r>
              <w:rPr>
                <w:rFonts w:hint="eastAsia"/>
                <w:sz w:val="24"/>
                <w:highlight w:val="none"/>
              </w:rPr>
              <w:t>12705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73" w:type="dxa"/>
            <w:gridSpan w:val="2"/>
            <w:vAlign w:val="center"/>
          </w:tcPr>
          <w:p>
            <w:pPr>
              <w:autoSpaceDE w:val="0"/>
              <w:autoSpaceDN w:val="0"/>
              <w:adjustRightInd w:val="0"/>
              <w:snapToGrid w:val="0"/>
              <w:jc w:val="center"/>
              <w:rPr>
                <w:b/>
                <w:bCs/>
                <w:kern w:val="0"/>
                <w:sz w:val="24"/>
                <w:highlight w:val="none"/>
              </w:rPr>
            </w:pPr>
            <w:r>
              <w:rPr>
                <w:b/>
                <w:bCs/>
                <w:kern w:val="0"/>
                <w:sz w:val="24"/>
                <w:highlight w:val="none"/>
              </w:rPr>
              <w:t>专项评价设置情况</w:t>
            </w:r>
          </w:p>
        </w:tc>
        <w:tc>
          <w:tcPr>
            <w:tcW w:w="7095" w:type="dxa"/>
            <w:gridSpan w:val="3"/>
            <w:vAlign w:val="center"/>
          </w:tcPr>
          <w:p>
            <w:pPr>
              <w:autoSpaceDE w:val="0"/>
              <w:autoSpaceDN w:val="0"/>
              <w:adjustRightInd w:val="0"/>
              <w:snapToGrid w:val="0"/>
              <w:spacing w:line="360" w:lineRule="auto"/>
              <w:ind w:firstLine="480" w:firstLineChars="200"/>
              <w:rPr>
                <w:sz w:val="24"/>
                <w:highlight w:val="none"/>
                <w:shd w:val="clear" w:color="auto" w:fill="FFFFFF"/>
              </w:rPr>
            </w:pPr>
            <w:r>
              <w:rPr>
                <w:rFonts w:hint="eastAsia"/>
                <w:sz w:val="24"/>
                <w:highlight w:val="none"/>
                <w:shd w:val="clear" w:color="auto" w:fill="FFFFFF"/>
              </w:rPr>
              <w:t>根据大气、地表水、环境风险、生态、海洋和地下水专项评价设置原则，本项目不属于需设置专项评价的建设项目。</w:t>
            </w:r>
          </w:p>
          <w:p>
            <w:pPr>
              <w:widowControl/>
              <w:adjustRightInd w:val="0"/>
              <w:snapToGrid w:val="0"/>
              <w:jc w:val="center"/>
              <w:rPr>
                <w:b/>
                <w:kern w:val="0"/>
                <w:highlight w:val="none"/>
              </w:rPr>
            </w:pPr>
            <w:r>
              <w:rPr>
                <w:b/>
                <w:kern w:val="0"/>
                <w:highlight w:val="none"/>
              </w:rPr>
              <w:t xml:space="preserve">表1-1 </w:t>
            </w:r>
            <w:r>
              <w:rPr>
                <w:rFonts w:hint="eastAsia"/>
                <w:b/>
                <w:kern w:val="0"/>
                <w:highlight w:val="none"/>
              </w:rPr>
              <w:t xml:space="preserve"> 专项评价设置原则表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551"/>
              <w:gridCol w:w="2331"/>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vAlign w:val="center"/>
                </w:tcPr>
                <w:p>
                  <w:pPr>
                    <w:autoSpaceDE w:val="0"/>
                    <w:autoSpaceDN w:val="0"/>
                    <w:adjustRightInd w:val="0"/>
                    <w:snapToGrid w:val="0"/>
                    <w:jc w:val="center"/>
                    <w:rPr>
                      <w:b/>
                      <w:bCs/>
                      <w:highlight w:val="none"/>
                    </w:rPr>
                  </w:pPr>
                  <w:r>
                    <w:rPr>
                      <w:rFonts w:hint="eastAsia"/>
                      <w:b/>
                      <w:bCs/>
                      <w:highlight w:val="none"/>
                    </w:rPr>
                    <w:t>专项评价的类别</w:t>
                  </w:r>
                </w:p>
              </w:tc>
              <w:tc>
                <w:tcPr>
                  <w:tcW w:w="1857" w:type="pct"/>
                  <w:vAlign w:val="center"/>
                </w:tcPr>
                <w:p>
                  <w:pPr>
                    <w:autoSpaceDE w:val="0"/>
                    <w:autoSpaceDN w:val="0"/>
                    <w:adjustRightInd w:val="0"/>
                    <w:snapToGrid w:val="0"/>
                    <w:jc w:val="center"/>
                    <w:rPr>
                      <w:b/>
                      <w:bCs/>
                      <w:highlight w:val="none"/>
                    </w:rPr>
                  </w:pPr>
                  <w:r>
                    <w:rPr>
                      <w:rFonts w:hint="eastAsia"/>
                      <w:b/>
                      <w:bCs/>
                      <w:highlight w:val="none"/>
                    </w:rPr>
                    <w:t>设置原则</w:t>
                  </w:r>
                </w:p>
              </w:tc>
              <w:tc>
                <w:tcPr>
                  <w:tcW w:w="1697" w:type="pct"/>
                  <w:vAlign w:val="center"/>
                </w:tcPr>
                <w:p>
                  <w:pPr>
                    <w:autoSpaceDE w:val="0"/>
                    <w:autoSpaceDN w:val="0"/>
                    <w:adjustRightInd w:val="0"/>
                    <w:snapToGrid w:val="0"/>
                    <w:jc w:val="center"/>
                    <w:rPr>
                      <w:b/>
                      <w:bCs/>
                      <w:highlight w:val="none"/>
                    </w:rPr>
                  </w:pPr>
                  <w:r>
                    <w:rPr>
                      <w:rFonts w:hint="eastAsia"/>
                      <w:b/>
                      <w:bCs/>
                      <w:highlight w:val="none"/>
                    </w:rPr>
                    <w:t>本项目</w:t>
                  </w:r>
                </w:p>
              </w:tc>
              <w:tc>
                <w:tcPr>
                  <w:tcW w:w="553" w:type="pct"/>
                  <w:tcBorders>
                    <w:right w:val="nil"/>
                  </w:tcBorders>
                  <w:vAlign w:val="center"/>
                </w:tcPr>
                <w:p>
                  <w:pPr>
                    <w:autoSpaceDE w:val="0"/>
                    <w:autoSpaceDN w:val="0"/>
                    <w:adjustRightInd w:val="0"/>
                    <w:snapToGrid w:val="0"/>
                    <w:jc w:val="center"/>
                    <w:rPr>
                      <w:b/>
                      <w:bCs/>
                      <w:highlight w:val="none"/>
                    </w:rPr>
                  </w:pPr>
                  <w:r>
                    <w:rPr>
                      <w:b/>
                      <w:bCs/>
                      <w:highlight w:val="none"/>
                    </w:rPr>
                    <w:t>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vAlign w:val="center"/>
                </w:tcPr>
                <w:p>
                  <w:pPr>
                    <w:autoSpaceDE w:val="0"/>
                    <w:autoSpaceDN w:val="0"/>
                    <w:adjustRightInd w:val="0"/>
                    <w:snapToGrid w:val="0"/>
                    <w:jc w:val="center"/>
                    <w:rPr>
                      <w:highlight w:val="none"/>
                    </w:rPr>
                  </w:pPr>
                  <w:r>
                    <w:rPr>
                      <w:rFonts w:hint="eastAsia"/>
                      <w:highlight w:val="none"/>
                    </w:rPr>
                    <w:t>大气</w:t>
                  </w:r>
                </w:p>
              </w:tc>
              <w:tc>
                <w:tcPr>
                  <w:tcW w:w="1857" w:type="pct"/>
                  <w:vAlign w:val="center"/>
                </w:tcPr>
                <w:p>
                  <w:pPr>
                    <w:autoSpaceDE w:val="0"/>
                    <w:autoSpaceDN w:val="0"/>
                    <w:adjustRightInd w:val="0"/>
                    <w:snapToGrid w:val="0"/>
                    <w:rPr>
                      <w:highlight w:val="none"/>
                    </w:rPr>
                  </w:pPr>
                  <w:r>
                    <w:rPr>
                      <w:rFonts w:hint="eastAsia"/>
                      <w:highlight w:val="none"/>
                    </w:rPr>
                    <w:t>排放废气含有毒有害污染物，二噁英、苯并[a]芘、氰化物、氯气且厂界外500米范围内有环境空气保护目标的建设项目。</w:t>
                  </w:r>
                </w:p>
              </w:tc>
              <w:tc>
                <w:tcPr>
                  <w:tcW w:w="1697" w:type="pct"/>
                  <w:vAlign w:val="center"/>
                </w:tcPr>
                <w:p>
                  <w:pPr>
                    <w:autoSpaceDE w:val="0"/>
                    <w:autoSpaceDN w:val="0"/>
                    <w:adjustRightInd w:val="0"/>
                    <w:snapToGrid w:val="0"/>
                    <w:rPr>
                      <w:highlight w:val="none"/>
                    </w:rPr>
                  </w:pPr>
                  <w:r>
                    <w:rPr>
                      <w:rFonts w:hint="eastAsia"/>
                      <w:highlight w:val="none"/>
                    </w:rPr>
                    <w:t>本项目排放废气不含有毒有害污染物二噁英、苯并[a]芘、氰化物、氯气。</w:t>
                  </w:r>
                </w:p>
              </w:tc>
              <w:tc>
                <w:tcPr>
                  <w:tcW w:w="553" w:type="pct"/>
                  <w:tcBorders>
                    <w:right w:val="nil"/>
                  </w:tcBorders>
                  <w:vAlign w:val="center"/>
                </w:tcPr>
                <w:p>
                  <w:pPr>
                    <w:spacing w:line="0" w:lineRule="atLeast"/>
                    <w:jc w:val="center"/>
                    <w:rPr>
                      <w:highlight w:val="none"/>
                    </w:rPr>
                  </w:pPr>
                  <w:r>
                    <w:rPr>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vAlign w:val="center"/>
                </w:tcPr>
                <w:p>
                  <w:pPr>
                    <w:autoSpaceDE w:val="0"/>
                    <w:autoSpaceDN w:val="0"/>
                    <w:adjustRightInd w:val="0"/>
                    <w:snapToGrid w:val="0"/>
                    <w:jc w:val="center"/>
                    <w:rPr>
                      <w:highlight w:val="none"/>
                    </w:rPr>
                  </w:pPr>
                  <w:r>
                    <w:rPr>
                      <w:rFonts w:hint="eastAsia"/>
                      <w:highlight w:val="none"/>
                    </w:rPr>
                    <w:t>地表水</w:t>
                  </w:r>
                </w:p>
              </w:tc>
              <w:tc>
                <w:tcPr>
                  <w:tcW w:w="1857" w:type="pct"/>
                  <w:vAlign w:val="center"/>
                </w:tcPr>
                <w:p>
                  <w:pPr>
                    <w:autoSpaceDE w:val="0"/>
                    <w:autoSpaceDN w:val="0"/>
                    <w:adjustRightInd w:val="0"/>
                    <w:snapToGrid w:val="0"/>
                    <w:rPr>
                      <w:highlight w:val="none"/>
                    </w:rPr>
                  </w:pPr>
                  <w:r>
                    <w:rPr>
                      <w:rFonts w:hint="eastAsia"/>
                      <w:highlight w:val="none"/>
                    </w:rPr>
                    <w:t>新增工业废水直排建设项目（槽罐车外送污水处理厂的除外）；新增废水直排的污水集中处理厂。</w:t>
                  </w:r>
                </w:p>
              </w:tc>
              <w:tc>
                <w:tcPr>
                  <w:tcW w:w="1697" w:type="pct"/>
                  <w:vAlign w:val="center"/>
                </w:tcPr>
                <w:p>
                  <w:pPr>
                    <w:autoSpaceDE w:val="0"/>
                    <w:autoSpaceDN w:val="0"/>
                    <w:adjustRightInd w:val="0"/>
                    <w:snapToGrid w:val="0"/>
                    <w:rPr>
                      <w:highlight w:val="none"/>
                    </w:rPr>
                  </w:pPr>
                  <w:r>
                    <w:rPr>
                      <w:rFonts w:hint="eastAsia"/>
                      <w:highlight w:val="none"/>
                    </w:rPr>
                    <w:t>本项目不属于工业废水直排的项目；不属于新增废水直排的污水集中处理厂。</w:t>
                  </w:r>
                </w:p>
              </w:tc>
              <w:tc>
                <w:tcPr>
                  <w:tcW w:w="553" w:type="pct"/>
                  <w:tcBorders>
                    <w:right w:val="nil"/>
                  </w:tcBorders>
                  <w:vAlign w:val="center"/>
                </w:tcPr>
                <w:p>
                  <w:pPr>
                    <w:spacing w:line="0" w:lineRule="atLeast"/>
                    <w:jc w:val="center"/>
                    <w:rPr>
                      <w:highlight w:val="none"/>
                    </w:rPr>
                  </w:pPr>
                  <w:r>
                    <w:rPr>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1" w:type="pct"/>
                  <w:tcBorders>
                    <w:left w:val="nil"/>
                  </w:tcBorders>
                  <w:vAlign w:val="center"/>
                </w:tcPr>
                <w:p>
                  <w:pPr>
                    <w:autoSpaceDE w:val="0"/>
                    <w:autoSpaceDN w:val="0"/>
                    <w:adjustRightInd w:val="0"/>
                    <w:snapToGrid w:val="0"/>
                    <w:jc w:val="center"/>
                    <w:rPr>
                      <w:highlight w:val="none"/>
                    </w:rPr>
                  </w:pPr>
                  <w:r>
                    <w:rPr>
                      <w:rFonts w:hint="eastAsia"/>
                      <w:highlight w:val="none"/>
                    </w:rPr>
                    <w:t>环境风险</w:t>
                  </w:r>
                </w:p>
              </w:tc>
              <w:tc>
                <w:tcPr>
                  <w:tcW w:w="1857" w:type="pct"/>
                  <w:vAlign w:val="center"/>
                </w:tcPr>
                <w:p>
                  <w:pPr>
                    <w:autoSpaceDE w:val="0"/>
                    <w:autoSpaceDN w:val="0"/>
                    <w:adjustRightInd w:val="0"/>
                    <w:snapToGrid w:val="0"/>
                    <w:rPr>
                      <w:highlight w:val="none"/>
                    </w:rPr>
                  </w:pPr>
                  <w:r>
                    <w:rPr>
                      <w:rFonts w:hint="eastAsia"/>
                      <w:highlight w:val="none"/>
                    </w:rPr>
                    <w:t>有毒有害和易燃易爆危险物质存储量超过临界量的建设项目。</w:t>
                  </w:r>
                </w:p>
              </w:tc>
              <w:tc>
                <w:tcPr>
                  <w:tcW w:w="1697" w:type="pct"/>
                  <w:vAlign w:val="center"/>
                </w:tcPr>
                <w:p>
                  <w:pPr>
                    <w:autoSpaceDE w:val="0"/>
                    <w:autoSpaceDN w:val="0"/>
                    <w:adjustRightInd w:val="0"/>
                    <w:snapToGrid w:val="0"/>
                    <w:rPr>
                      <w:highlight w:val="none"/>
                    </w:rPr>
                  </w:pPr>
                  <w:r>
                    <w:rPr>
                      <w:rFonts w:hint="eastAsia"/>
                      <w:highlight w:val="none"/>
                    </w:rPr>
                    <w:t>本项目有毒有害和易燃易爆危险物质未超过临界量。</w:t>
                  </w:r>
                </w:p>
              </w:tc>
              <w:tc>
                <w:tcPr>
                  <w:tcW w:w="553" w:type="pct"/>
                  <w:tcBorders>
                    <w:right w:val="nil"/>
                  </w:tcBorders>
                  <w:vAlign w:val="center"/>
                </w:tcPr>
                <w:p>
                  <w:pPr>
                    <w:spacing w:line="0" w:lineRule="atLeast"/>
                    <w:jc w:val="center"/>
                    <w:rPr>
                      <w:highlight w:val="none"/>
                    </w:rPr>
                  </w:pPr>
                  <w:r>
                    <w:rPr>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vAlign w:val="center"/>
                </w:tcPr>
                <w:p>
                  <w:pPr>
                    <w:autoSpaceDE w:val="0"/>
                    <w:autoSpaceDN w:val="0"/>
                    <w:adjustRightInd w:val="0"/>
                    <w:snapToGrid w:val="0"/>
                    <w:jc w:val="center"/>
                    <w:rPr>
                      <w:highlight w:val="none"/>
                    </w:rPr>
                  </w:pPr>
                  <w:r>
                    <w:rPr>
                      <w:rFonts w:hint="eastAsia"/>
                      <w:highlight w:val="none"/>
                    </w:rPr>
                    <w:t>生态</w:t>
                  </w:r>
                </w:p>
              </w:tc>
              <w:tc>
                <w:tcPr>
                  <w:tcW w:w="1857" w:type="pct"/>
                  <w:vAlign w:val="center"/>
                </w:tcPr>
                <w:p>
                  <w:pPr>
                    <w:autoSpaceDE w:val="0"/>
                    <w:autoSpaceDN w:val="0"/>
                    <w:adjustRightInd w:val="0"/>
                    <w:snapToGrid w:val="0"/>
                    <w:rPr>
                      <w:highlight w:val="none"/>
                    </w:rPr>
                  </w:pPr>
                  <w:r>
                    <w:rPr>
                      <w:rFonts w:hint="eastAsia"/>
                      <w:highlight w:val="none"/>
                    </w:rPr>
                    <w:t>取水口下游500米范围内有重要水生生物的自然产卵场、索饵场、越冬场和洄游通道的新增河道取水的污染建设项目。</w:t>
                  </w:r>
                </w:p>
              </w:tc>
              <w:tc>
                <w:tcPr>
                  <w:tcW w:w="1697" w:type="pct"/>
                  <w:vAlign w:val="center"/>
                </w:tcPr>
                <w:p>
                  <w:pPr>
                    <w:autoSpaceDE w:val="0"/>
                    <w:autoSpaceDN w:val="0"/>
                    <w:adjustRightInd w:val="0"/>
                    <w:snapToGrid w:val="0"/>
                    <w:rPr>
                      <w:highlight w:val="none"/>
                    </w:rPr>
                  </w:pPr>
                  <w:r>
                    <w:rPr>
                      <w:rFonts w:hint="eastAsia"/>
                      <w:highlight w:val="none"/>
                    </w:rPr>
                    <w:t>本项目不涉及取水口，不属于新增河道取水的污染建设项目。</w:t>
                  </w:r>
                </w:p>
              </w:tc>
              <w:tc>
                <w:tcPr>
                  <w:tcW w:w="553" w:type="pct"/>
                  <w:tcBorders>
                    <w:right w:val="nil"/>
                  </w:tcBorders>
                  <w:vAlign w:val="center"/>
                </w:tcPr>
                <w:p>
                  <w:pPr>
                    <w:spacing w:line="0" w:lineRule="atLeast"/>
                    <w:jc w:val="center"/>
                    <w:rPr>
                      <w:highlight w:val="none"/>
                    </w:rPr>
                  </w:pPr>
                  <w:r>
                    <w:rPr>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vAlign w:val="center"/>
                </w:tcPr>
                <w:p>
                  <w:pPr>
                    <w:autoSpaceDE w:val="0"/>
                    <w:autoSpaceDN w:val="0"/>
                    <w:adjustRightInd w:val="0"/>
                    <w:snapToGrid w:val="0"/>
                    <w:jc w:val="center"/>
                    <w:rPr>
                      <w:highlight w:val="none"/>
                    </w:rPr>
                  </w:pPr>
                  <w:r>
                    <w:rPr>
                      <w:rFonts w:hint="eastAsia"/>
                      <w:highlight w:val="none"/>
                    </w:rPr>
                    <w:t>海洋</w:t>
                  </w:r>
                </w:p>
              </w:tc>
              <w:tc>
                <w:tcPr>
                  <w:tcW w:w="1857" w:type="pct"/>
                  <w:vAlign w:val="center"/>
                </w:tcPr>
                <w:p>
                  <w:pPr>
                    <w:autoSpaceDE w:val="0"/>
                    <w:autoSpaceDN w:val="0"/>
                    <w:adjustRightInd w:val="0"/>
                    <w:snapToGrid w:val="0"/>
                    <w:rPr>
                      <w:highlight w:val="none"/>
                    </w:rPr>
                  </w:pPr>
                  <w:r>
                    <w:rPr>
                      <w:rFonts w:hint="eastAsia"/>
                      <w:highlight w:val="none"/>
                    </w:rPr>
                    <w:t>直接向海排放污染物的海洋工程建设项目。</w:t>
                  </w:r>
                </w:p>
              </w:tc>
              <w:tc>
                <w:tcPr>
                  <w:tcW w:w="1697" w:type="pct"/>
                  <w:vAlign w:val="center"/>
                </w:tcPr>
                <w:p>
                  <w:pPr>
                    <w:autoSpaceDE w:val="0"/>
                    <w:autoSpaceDN w:val="0"/>
                    <w:adjustRightInd w:val="0"/>
                    <w:snapToGrid w:val="0"/>
                    <w:rPr>
                      <w:highlight w:val="none"/>
                    </w:rPr>
                  </w:pPr>
                  <w:r>
                    <w:rPr>
                      <w:rFonts w:hint="eastAsia"/>
                      <w:highlight w:val="none"/>
                    </w:rPr>
                    <w:t>本项目不属于直接向海排放污染物的海洋工程建设项目。</w:t>
                  </w:r>
                </w:p>
              </w:tc>
              <w:tc>
                <w:tcPr>
                  <w:tcW w:w="553" w:type="pct"/>
                  <w:tcBorders>
                    <w:right w:val="nil"/>
                  </w:tcBorders>
                  <w:vAlign w:val="center"/>
                </w:tcPr>
                <w:p>
                  <w:pPr>
                    <w:spacing w:line="0" w:lineRule="atLeast"/>
                    <w:jc w:val="center"/>
                    <w:rPr>
                      <w:highlight w:val="none"/>
                    </w:rPr>
                  </w:pPr>
                  <w:r>
                    <w:rPr>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vAlign w:val="center"/>
                </w:tcPr>
                <w:p>
                  <w:pPr>
                    <w:autoSpaceDE w:val="0"/>
                    <w:autoSpaceDN w:val="0"/>
                    <w:adjustRightInd w:val="0"/>
                    <w:snapToGrid w:val="0"/>
                    <w:jc w:val="center"/>
                    <w:rPr>
                      <w:highlight w:val="none"/>
                    </w:rPr>
                  </w:pPr>
                  <w:r>
                    <w:rPr>
                      <w:rFonts w:hint="eastAsia"/>
                      <w:highlight w:val="none"/>
                    </w:rPr>
                    <w:t>地下水</w:t>
                  </w:r>
                </w:p>
              </w:tc>
              <w:tc>
                <w:tcPr>
                  <w:tcW w:w="1857" w:type="pct"/>
                  <w:vAlign w:val="center"/>
                </w:tcPr>
                <w:p>
                  <w:pPr>
                    <w:autoSpaceDE w:val="0"/>
                    <w:autoSpaceDN w:val="0"/>
                    <w:adjustRightInd w:val="0"/>
                    <w:snapToGrid w:val="0"/>
                    <w:rPr>
                      <w:highlight w:val="none"/>
                    </w:rPr>
                  </w:pPr>
                  <w:r>
                    <w:rPr>
                      <w:rFonts w:hint="eastAsia"/>
                      <w:highlight w:val="none"/>
                    </w:rPr>
                    <w:t>涉及集中式饮用水水源和热水、矿泉水、温泉等特殊地下水资源保护区的开展地下水专项评价工作。</w:t>
                  </w:r>
                </w:p>
              </w:tc>
              <w:tc>
                <w:tcPr>
                  <w:tcW w:w="1697" w:type="pct"/>
                  <w:vAlign w:val="center"/>
                </w:tcPr>
                <w:p>
                  <w:pPr>
                    <w:autoSpaceDE w:val="0"/>
                    <w:autoSpaceDN w:val="0"/>
                    <w:adjustRightInd w:val="0"/>
                    <w:snapToGrid w:val="0"/>
                    <w:rPr>
                      <w:highlight w:val="none"/>
                    </w:rPr>
                  </w:pPr>
                  <w:r>
                    <w:rPr>
                      <w:rFonts w:hint="eastAsia"/>
                      <w:szCs w:val="21"/>
                      <w:highlight w:val="none"/>
                    </w:rPr>
                    <w:t>本项目不涉及</w:t>
                  </w:r>
                  <w:r>
                    <w:rPr>
                      <w:rFonts w:hint="eastAsia"/>
                      <w:highlight w:val="none"/>
                    </w:rPr>
                    <w:t>集中式饮用水水源和热水、矿泉水、温泉等特殊地下水资源保护区。</w:t>
                  </w:r>
                </w:p>
              </w:tc>
              <w:tc>
                <w:tcPr>
                  <w:tcW w:w="553" w:type="pct"/>
                  <w:tcBorders>
                    <w:right w:val="nil"/>
                  </w:tcBorders>
                  <w:vAlign w:val="center"/>
                </w:tcPr>
                <w:p>
                  <w:pPr>
                    <w:spacing w:line="0" w:lineRule="atLeast"/>
                    <w:jc w:val="center"/>
                    <w:rPr>
                      <w:szCs w:val="21"/>
                      <w:highlight w:val="none"/>
                    </w:rPr>
                  </w:pPr>
                  <w:r>
                    <w:rPr>
                      <w:highlight w:val="none"/>
                    </w:rPr>
                    <w:t>无需设置</w:t>
                  </w:r>
                </w:p>
              </w:tc>
            </w:tr>
          </w:tbl>
          <w:p>
            <w:pPr>
              <w:autoSpaceDE w:val="0"/>
              <w:autoSpaceDN w:val="0"/>
              <w:adjustRightInd w:val="0"/>
              <w:snapToGrid w:val="0"/>
              <w:jc w:val="center"/>
              <w:rPr>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9" w:type="dxa"/>
            <w:vAlign w:val="center"/>
          </w:tcPr>
          <w:p>
            <w:pPr>
              <w:autoSpaceDE w:val="0"/>
              <w:autoSpaceDN w:val="0"/>
              <w:adjustRightInd w:val="0"/>
              <w:snapToGrid w:val="0"/>
              <w:jc w:val="center"/>
              <w:rPr>
                <w:kern w:val="0"/>
                <w:szCs w:val="21"/>
                <w:highlight w:val="none"/>
              </w:rPr>
            </w:pPr>
            <w:r>
              <w:rPr>
                <w:b/>
                <w:bCs/>
                <w:sz w:val="24"/>
                <w:highlight w:val="none"/>
              </w:rPr>
              <w:t>规划情况</w:t>
            </w:r>
          </w:p>
        </w:tc>
        <w:tc>
          <w:tcPr>
            <w:tcW w:w="7959" w:type="dxa"/>
            <w:gridSpan w:val="4"/>
            <w:vAlign w:val="center"/>
          </w:tcPr>
          <w:p>
            <w:pPr>
              <w:keepNext/>
              <w:autoSpaceDE w:val="0"/>
              <w:autoSpaceDN w:val="0"/>
              <w:adjustRightInd w:val="0"/>
              <w:snapToGrid w:val="0"/>
              <w:spacing w:line="360" w:lineRule="auto"/>
              <w:rPr>
                <w:sz w:val="24"/>
                <w:highlight w:val="none"/>
                <w:shd w:val="clear" w:color="auto" w:fill="FFFFFF"/>
              </w:rPr>
            </w:pPr>
            <w:r>
              <w:rPr>
                <w:rFonts w:hint="eastAsia"/>
                <w:sz w:val="24"/>
                <w:highlight w:val="none"/>
                <w:shd w:val="clear" w:color="auto" w:fill="FFFFFF"/>
              </w:rPr>
              <w:t>（1）</w:t>
            </w:r>
            <w:r>
              <w:rPr>
                <w:sz w:val="24"/>
                <w:highlight w:val="none"/>
                <w:shd w:val="clear" w:color="auto" w:fill="FFFFFF"/>
              </w:rPr>
              <w:t>《</w:t>
            </w:r>
            <w:r>
              <w:rPr>
                <w:rFonts w:hint="eastAsia"/>
                <w:sz w:val="24"/>
                <w:highlight w:val="none"/>
                <w:shd w:val="clear" w:color="auto" w:fill="FFFFFF"/>
              </w:rPr>
              <w:t>庐山市国土空间总体规划（2021</w:t>
            </w:r>
            <w:r>
              <w:rPr>
                <w:rFonts w:hint="eastAsia"/>
                <w:sz w:val="24"/>
                <w:highlight w:val="none"/>
                <w:shd w:val="clear" w:color="auto" w:fill="FFFFFF"/>
                <w:lang w:eastAsia="zh-CN"/>
              </w:rPr>
              <w:t>—</w:t>
            </w:r>
            <w:r>
              <w:rPr>
                <w:rFonts w:hint="eastAsia"/>
                <w:sz w:val="24"/>
                <w:highlight w:val="none"/>
                <w:shd w:val="clear" w:color="auto" w:fill="FFFFFF"/>
              </w:rPr>
              <w:t>2035年）</w:t>
            </w:r>
            <w:r>
              <w:rPr>
                <w:sz w:val="24"/>
                <w:highlight w:val="none"/>
                <w:shd w:val="clear" w:color="auto" w:fill="FFFFFF"/>
              </w:rPr>
              <w:t>》</w:t>
            </w:r>
            <w:r>
              <w:rPr>
                <w:rFonts w:hint="eastAsia"/>
                <w:sz w:val="24"/>
                <w:highlight w:val="none"/>
                <w:shd w:val="clear" w:color="auto" w:fill="FFFFFF"/>
              </w:rPr>
              <w:t>，</w:t>
            </w:r>
            <w:r>
              <w:rPr>
                <w:sz w:val="24"/>
                <w:highlight w:val="none"/>
                <w:shd w:val="clear" w:color="auto" w:fill="FFFFFF"/>
              </w:rPr>
              <w:t>江西省人民政府</w:t>
            </w:r>
            <w:r>
              <w:rPr>
                <w:rFonts w:hint="eastAsia"/>
                <w:sz w:val="24"/>
                <w:highlight w:val="none"/>
                <w:shd w:val="clear" w:color="auto" w:fill="FFFFFF"/>
              </w:rPr>
              <w:t>，</w:t>
            </w:r>
            <w:r>
              <w:rPr>
                <w:sz w:val="24"/>
                <w:highlight w:val="none"/>
                <w:shd w:val="clear" w:color="auto" w:fill="FFFFFF"/>
              </w:rPr>
              <w:t>赣府字〔2024〕19号。</w:t>
            </w:r>
          </w:p>
          <w:p>
            <w:pPr>
              <w:keepNext/>
              <w:autoSpaceDE w:val="0"/>
              <w:autoSpaceDN w:val="0"/>
              <w:adjustRightInd w:val="0"/>
              <w:snapToGrid w:val="0"/>
              <w:spacing w:line="360" w:lineRule="auto"/>
              <w:rPr>
                <w:rFonts w:hint="eastAsia"/>
                <w:sz w:val="24"/>
                <w:highlight w:val="none"/>
                <w:shd w:val="clear" w:color="auto" w:fill="FFFFFF"/>
              </w:rPr>
            </w:pPr>
            <w:r>
              <w:rPr>
                <w:rFonts w:hint="eastAsia"/>
                <w:sz w:val="24"/>
                <w:highlight w:val="none"/>
                <w:shd w:val="clear" w:color="auto" w:fill="FFFFFF"/>
              </w:rPr>
              <w:t>（2）《庐山市华林镇现代农业产业园总体规划》，庐山市农业农村局，庐农字</w:t>
            </w:r>
            <w:r>
              <w:rPr>
                <w:sz w:val="24"/>
                <w:highlight w:val="none"/>
                <w:shd w:val="clear" w:color="auto" w:fill="FFFFFF"/>
              </w:rPr>
              <w:t>〔202</w:t>
            </w:r>
            <w:r>
              <w:rPr>
                <w:rFonts w:hint="eastAsia"/>
                <w:sz w:val="24"/>
                <w:highlight w:val="none"/>
                <w:shd w:val="clear" w:color="auto" w:fill="FFFFFF"/>
              </w:rPr>
              <w:t>5</w:t>
            </w:r>
            <w:r>
              <w:rPr>
                <w:sz w:val="24"/>
                <w:highlight w:val="none"/>
                <w:shd w:val="clear" w:color="auto" w:fill="FFFFFF"/>
              </w:rPr>
              <w:t>〕</w:t>
            </w:r>
            <w:r>
              <w:rPr>
                <w:rFonts w:hint="eastAsia"/>
                <w:sz w:val="24"/>
                <w:highlight w:val="none"/>
                <w:shd w:val="clear" w:color="auto" w:fill="FFFFFF"/>
              </w:rPr>
              <w:t>74</w:t>
            </w:r>
            <w:r>
              <w:rPr>
                <w:sz w:val="24"/>
                <w:highlight w:val="none"/>
                <w:shd w:val="clear" w:color="auto" w:fill="FFFFFF"/>
              </w:rPr>
              <w:t>号</w:t>
            </w:r>
            <w:r>
              <w:rPr>
                <w:rFonts w:hint="eastAsia"/>
                <w:sz w:val="24"/>
                <w:highlight w:val="none"/>
                <w:shd w:val="clear" w:color="auto" w:fill="FFFFFF"/>
              </w:rPr>
              <w:t>。</w:t>
            </w:r>
          </w:p>
          <w:p>
            <w:pPr>
              <w:keepNext/>
              <w:autoSpaceDE w:val="0"/>
              <w:autoSpaceDN w:val="0"/>
              <w:adjustRightInd w:val="0"/>
              <w:snapToGrid w:val="0"/>
              <w:spacing w:line="360" w:lineRule="auto"/>
              <w:rPr>
                <w:rFonts w:hint="eastAsia" w:eastAsia="宋体"/>
                <w:color w:val="0000FF"/>
                <w:sz w:val="24"/>
                <w:highlight w:val="none"/>
                <w:shd w:val="clear" w:color="auto" w:fill="FFFFFF"/>
                <w:lang w:eastAsia="zh-CN"/>
              </w:rPr>
            </w:pPr>
            <w:r>
              <w:rPr>
                <w:rFonts w:hint="eastAsia"/>
                <w:color w:val="0000FF"/>
                <w:sz w:val="24"/>
                <w:highlight w:val="none"/>
                <w:shd w:val="clear" w:color="auto" w:fill="FFFFFF"/>
                <w:lang w:eastAsia="zh-CN"/>
              </w:rPr>
              <w:t>（</w:t>
            </w:r>
            <w:r>
              <w:rPr>
                <w:rFonts w:hint="eastAsia"/>
                <w:color w:val="0000FF"/>
                <w:sz w:val="24"/>
                <w:highlight w:val="none"/>
                <w:shd w:val="clear" w:color="auto" w:fill="FFFFFF"/>
                <w:lang w:val="en-US" w:eastAsia="zh-CN"/>
              </w:rPr>
              <w:t>3</w:t>
            </w:r>
            <w:r>
              <w:rPr>
                <w:rFonts w:hint="eastAsia"/>
                <w:color w:val="0000FF"/>
                <w:sz w:val="24"/>
                <w:highlight w:val="none"/>
                <w:shd w:val="clear" w:color="auto" w:fill="FFFFFF"/>
                <w:lang w:eastAsia="zh-CN"/>
              </w:rPr>
              <w:t>）</w:t>
            </w:r>
            <w:r>
              <w:rPr>
                <w:rFonts w:hint="eastAsia"/>
                <w:color w:val="0000FF"/>
                <w:sz w:val="24"/>
                <w:highlight w:val="none"/>
                <w:shd w:val="clear" w:color="auto" w:fill="FFFFFF"/>
              </w:rPr>
              <w:t>《</w:t>
            </w:r>
            <w:r>
              <w:rPr>
                <w:rFonts w:hint="eastAsia"/>
                <w:color w:val="0000FF"/>
                <w:sz w:val="24"/>
                <w:highlight w:val="none"/>
                <w:shd w:val="clear" w:color="auto" w:fill="FFFFFF"/>
                <w:lang w:val="en-US" w:eastAsia="zh-CN"/>
              </w:rPr>
              <w:t>江西省</w:t>
            </w:r>
            <w:r>
              <w:rPr>
                <w:rFonts w:hint="eastAsia"/>
                <w:color w:val="0000FF"/>
                <w:sz w:val="24"/>
                <w:highlight w:val="none"/>
                <w:shd w:val="clear" w:color="auto" w:fill="FFFFFF"/>
              </w:rPr>
              <w:t>庐山市华林镇总体规划（2017-203</w:t>
            </w:r>
            <w:r>
              <w:rPr>
                <w:rFonts w:hint="eastAsia"/>
                <w:color w:val="0000FF"/>
                <w:sz w:val="24"/>
                <w:highlight w:val="none"/>
                <w:shd w:val="clear" w:color="auto" w:fill="FFFFFF"/>
                <w:lang w:val="en-US" w:eastAsia="zh-CN"/>
              </w:rPr>
              <w:t>0</w:t>
            </w:r>
            <w:r>
              <w:rPr>
                <w:rFonts w:hint="eastAsia"/>
                <w:color w:val="0000FF"/>
                <w:sz w:val="24"/>
                <w:highlight w:val="none"/>
                <w:shd w:val="clear" w:color="auto" w:fill="FFFFFF"/>
              </w:rPr>
              <w:t>）》</w:t>
            </w:r>
            <w:r>
              <w:rPr>
                <w:rFonts w:hint="eastAsia"/>
                <w:color w:val="0000FF"/>
                <w:sz w:val="24"/>
                <w:highlight w:val="none"/>
                <w:shd w:val="clear" w:color="auto" w:fill="FFFFFF"/>
                <w:lang w:eastAsia="zh-CN"/>
              </w:rPr>
              <w:t>。</w:t>
            </w:r>
          </w:p>
          <w:p>
            <w:pPr>
              <w:keepNext/>
              <w:autoSpaceDE w:val="0"/>
              <w:autoSpaceDN w:val="0"/>
              <w:adjustRightInd w:val="0"/>
              <w:snapToGrid w:val="0"/>
              <w:spacing w:line="360" w:lineRule="auto"/>
              <w:rPr>
                <w:rFonts w:hint="default"/>
                <w:highlight w:val="none"/>
                <w:lang w:val="en-US" w:eastAsia="zh-CN"/>
              </w:rPr>
            </w:pPr>
            <w:r>
              <w:rPr>
                <w:rFonts w:hint="eastAsia"/>
                <w:color w:val="0000FF"/>
                <w:sz w:val="24"/>
                <w:highlight w:val="none"/>
                <w:shd w:val="clear" w:color="auto" w:fill="FFFFFF"/>
                <w:lang w:val="en-US" w:eastAsia="zh-CN"/>
              </w:rPr>
              <w:t>（4）《庐山市华林镇板岩加工优化升级示范基地总体规划》。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9" w:type="dxa"/>
            <w:vAlign w:val="center"/>
          </w:tcPr>
          <w:p>
            <w:pPr>
              <w:adjustRightInd w:val="0"/>
              <w:snapToGrid w:val="0"/>
              <w:jc w:val="center"/>
              <w:rPr>
                <w:rFonts w:ascii="宋体" w:hAnsi="宋体" w:cs="宋体"/>
                <w:b/>
                <w:bCs/>
                <w:sz w:val="24"/>
                <w:highlight w:val="none"/>
              </w:rPr>
            </w:pPr>
            <w:r>
              <w:rPr>
                <w:rFonts w:hint="eastAsia" w:ascii="宋体" w:hAnsi="宋体" w:cs="宋体"/>
                <w:b/>
                <w:bCs/>
                <w:sz w:val="24"/>
                <w:highlight w:val="none"/>
              </w:rPr>
              <w:t>规划环境影响</w:t>
            </w:r>
          </w:p>
          <w:p>
            <w:pPr>
              <w:adjustRightInd w:val="0"/>
              <w:snapToGrid w:val="0"/>
              <w:jc w:val="center"/>
              <w:rPr>
                <w:rFonts w:ascii="宋体" w:hAnsi="宋体" w:cs="宋体"/>
                <w:kern w:val="0"/>
                <w:sz w:val="24"/>
                <w:highlight w:val="none"/>
              </w:rPr>
            </w:pPr>
            <w:r>
              <w:rPr>
                <w:rFonts w:hint="eastAsia" w:ascii="宋体" w:hAnsi="宋体" w:cs="宋体"/>
                <w:b/>
                <w:bCs/>
                <w:sz w:val="24"/>
                <w:highlight w:val="none"/>
              </w:rPr>
              <w:t>评价情况</w:t>
            </w:r>
          </w:p>
        </w:tc>
        <w:tc>
          <w:tcPr>
            <w:tcW w:w="7959" w:type="dxa"/>
            <w:gridSpan w:val="4"/>
            <w:vAlign w:val="center"/>
          </w:tcPr>
          <w:p>
            <w:pPr>
              <w:autoSpaceDE w:val="0"/>
              <w:autoSpaceDN w:val="0"/>
              <w:adjustRightInd w:val="0"/>
              <w:snapToGrid w:val="0"/>
              <w:spacing w:line="360" w:lineRule="auto"/>
              <w:ind w:firstLine="480" w:firstLineChars="200"/>
              <w:rPr>
                <w:sz w:val="24"/>
                <w:highlight w:val="none"/>
              </w:rPr>
            </w:pPr>
            <w:r>
              <w:rPr>
                <w:rFonts w:hint="eastAsia"/>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09" w:type="dxa"/>
            <w:vAlign w:val="center"/>
          </w:tcPr>
          <w:p>
            <w:pPr>
              <w:adjustRightInd w:val="0"/>
              <w:snapToGrid w:val="0"/>
              <w:jc w:val="center"/>
              <w:rPr>
                <w:sz w:val="24"/>
                <w:highlight w:val="none"/>
                <w:lang w:val="zh-CN"/>
              </w:rPr>
            </w:pPr>
            <w:r>
              <w:rPr>
                <w:rFonts w:hint="eastAsia" w:ascii="宋体" w:hAnsi="宋体" w:cs="宋体"/>
                <w:b/>
                <w:bCs/>
                <w:sz w:val="24"/>
                <w:highlight w:val="none"/>
                <w:lang w:val="zh-CN"/>
              </w:rPr>
              <w:t>规划及规划环境影响评价符合性分析</w:t>
            </w:r>
          </w:p>
        </w:tc>
        <w:tc>
          <w:tcPr>
            <w:tcW w:w="7959" w:type="dxa"/>
            <w:gridSpan w:val="4"/>
            <w:vAlign w:val="center"/>
          </w:tcPr>
          <w:p>
            <w:pPr>
              <w:spacing w:line="360" w:lineRule="auto"/>
              <w:ind w:firstLine="481" w:firstLineChars="200"/>
              <w:rPr>
                <w:b/>
                <w:sz w:val="24"/>
                <w:highlight w:val="none"/>
              </w:rPr>
            </w:pPr>
            <w:r>
              <w:rPr>
                <w:b/>
                <w:sz w:val="24"/>
                <w:highlight w:val="none"/>
              </w:rPr>
              <w:t>1、与《</w:t>
            </w:r>
            <w:bookmarkStart w:id="4" w:name="OLE_LINK6"/>
            <w:bookmarkStart w:id="5" w:name="OLE_LINK5"/>
            <w:r>
              <w:rPr>
                <w:b/>
                <w:sz w:val="24"/>
                <w:highlight w:val="none"/>
              </w:rPr>
              <w:t>庐山市</w:t>
            </w:r>
            <w:bookmarkEnd w:id="4"/>
            <w:bookmarkEnd w:id="5"/>
            <w:r>
              <w:rPr>
                <w:b/>
                <w:sz w:val="24"/>
                <w:highlight w:val="none"/>
              </w:rPr>
              <w:t>国土空间总体规划（2021</w:t>
            </w:r>
            <w:r>
              <w:rPr>
                <w:rFonts w:hint="eastAsia"/>
                <w:b/>
                <w:sz w:val="24"/>
                <w:highlight w:val="none"/>
                <w:lang w:eastAsia="zh-CN"/>
              </w:rPr>
              <w:t>—</w:t>
            </w:r>
            <w:r>
              <w:rPr>
                <w:b/>
                <w:sz w:val="24"/>
                <w:highlight w:val="none"/>
              </w:rPr>
              <w:t>2035年）》</w:t>
            </w:r>
            <w:r>
              <w:rPr>
                <w:rFonts w:hint="eastAsia"/>
                <w:b/>
                <w:sz w:val="24"/>
                <w:highlight w:val="none"/>
              </w:rPr>
              <w:t>符合性</w:t>
            </w:r>
            <w:r>
              <w:rPr>
                <w:b/>
                <w:sz w:val="24"/>
                <w:highlight w:val="none"/>
              </w:rPr>
              <w:t>分析</w:t>
            </w:r>
          </w:p>
          <w:p>
            <w:pPr>
              <w:keepNext/>
              <w:autoSpaceDE w:val="0"/>
              <w:autoSpaceDN w:val="0"/>
              <w:adjustRightInd w:val="0"/>
              <w:snapToGrid w:val="0"/>
              <w:spacing w:line="360" w:lineRule="auto"/>
              <w:ind w:firstLine="480" w:firstLineChars="200"/>
              <w:rPr>
                <w:rFonts w:cs="宋体"/>
                <w:kern w:val="21"/>
                <w:sz w:val="24"/>
                <w:highlight w:val="none"/>
              </w:rPr>
            </w:pPr>
            <w:r>
              <w:rPr>
                <w:rFonts w:hint="eastAsia" w:cs="宋体"/>
                <w:kern w:val="21"/>
                <w:sz w:val="24"/>
                <w:highlight w:val="none"/>
              </w:rPr>
              <w:t>根据《庐山市国土空间总体规划（2021</w:t>
            </w:r>
            <w:r>
              <w:rPr>
                <w:rFonts w:hint="eastAsia" w:cs="宋体"/>
                <w:kern w:val="21"/>
                <w:sz w:val="24"/>
                <w:highlight w:val="none"/>
                <w:lang w:eastAsia="zh-CN"/>
              </w:rPr>
              <w:t>—</w:t>
            </w:r>
            <w:r>
              <w:rPr>
                <w:rFonts w:hint="eastAsia" w:cs="宋体"/>
                <w:kern w:val="21"/>
                <w:sz w:val="24"/>
                <w:highlight w:val="none"/>
              </w:rPr>
              <w:t>2035年）》，规划顺应庐山市山湖田林城的自然地理格局特色，维护生态基底以风景资源保护与创新利用推动转型发展，构筑“两屏八廊三区、双心两带多点”的</w:t>
            </w:r>
            <w:bookmarkStart w:id="6" w:name="OLE_LINK4"/>
            <w:bookmarkStart w:id="7" w:name="OLE_LINK3"/>
            <w:r>
              <w:rPr>
                <w:rFonts w:hint="eastAsia" w:cs="宋体"/>
                <w:kern w:val="21"/>
                <w:sz w:val="24"/>
                <w:highlight w:val="none"/>
              </w:rPr>
              <w:t>国土空间开发保护总体格局</w:t>
            </w:r>
            <w:bookmarkEnd w:id="6"/>
            <w:bookmarkEnd w:id="7"/>
            <w:r>
              <w:rPr>
                <w:rFonts w:hint="eastAsia" w:cs="宋体"/>
                <w:kern w:val="21"/>
                <w:sz w:val="24"/>
                <w:highlight w:val="none"/>
              </w:rPr>
              <w:t>。“两屏”指鄱阳湖和庐山两大生态区，一南一北、一山一湖 环绕城乡生活生产空间，起到生态屏障作用。“三区”指文化景观生态保护及旅游休闲区、基础农业及新型产业发展区、生态保护及研学旅游区。文化景观生态保护及旅游休闲区以自然山水旅游与生态保育功能为主，实行严格控制与保护；基础农业及新型产业发展区主要以城乡建设、产业发展等功能为主；生态保护及研学旅游区主要以候鸟观光及生态保育为主。</w:t>
            </w:r>
          </w:p>
          <w:p>
            <w:pPr>
              <w:keepNext/>
              <w:autoSpaceDE w:val="0"/>
              <w:autoSpaceDN w:val="0"/>
              <w:adjustRightInd w:val="0"/>
              <w:snapToGrid w:val="0"/>
              <w:spacing w:line="360" w:lineRule="auto"/>
              <w:ind w:firstLine="480" w:firstLineChars="200"/>
              <w:rPr>
                <w:rFonts w:cs="宋体"/>
                <w:kern w:val="21"/>
                <w:sz w:val="24"/>
                <w:highlight w:val="none"/>
              </w:rPr>
            </w:pPr>
            <w:r>
              <w:rPr>
                <w:rFonts w:hint="eastAsia" w:cs="宋体"/>
                <w:kern w:val="21"/>
                <w:sz w:val="24"/>
                <w:highlight w:val="none"/>
              </w:rPr>
              <w:t>本项目位于庐山市华林镇吉山村华林板岩加工园二期，属于规划的基础农业及新型产业发展区，蛋液加工项目属于农产品精深加工和制造业范畴，符合国土空间规划鼓励的产业发展方向，也有利于通过工业化手段带动当地农业增效和农民增收，契合庐山市推进现代农业产业园建设的规划目标，符合国土空间规划中基础农业及新型产业发展区产业发展功能定位。项目已通过庐山市国土空间规划委员会备案（备案号：庐国规委备字〔2025〕10号）（附件八）</w:t>
            </w:r>
            <w:r>
              <w:rPr>
                <w:rFonts w:hint="eastAsia" w:cs="宋体"/>
                <w:kern w:val="21"/>
                <w:sz w:val="24"/>
                <w:highlight w:val="none"/>
                <w:lang w:eastAsia="zh-CN"/>
              </w:rPr>
              <w:t>，</w:t>
            </w:r>
            <w:r>
              <w:rPr>
                <w:rFonts w:hint="eastAsia" w:cs="宋体"/>
                <w:kern w:val="21"/>
                <w:sz w:val="24"/>
                <w:highlight w:val="none"/>
              </w:rPr>
              <w:t>因此，本项目建设符合庐山市国土空间总体规划要求。</w:t>
            </w:r>
          </w:p>
          <w:p>
            <w:pPr>
              <w:keepNext/>
              <w:autoSpaceDE w:val="0"/>
              <w:autoSpaceDN w:val="0"/>
              <w:adjustRightInd w:val="0"/>
              <w:snapToGrid w:val="0"/>
              <w:spacing w:line="360" w:lineRule="auto"/>
              <w:ind w:firstLine="481" w:firstLineChars="200"/>
              <w:rPr>
                <w:b/>
                <w:sz w:val="24"/>
                <w:highlight w:val="none"/>
              </w:rPr>
            </w:pPr>
            <w:r>
              <w:rPr>
                <w:rFonts w:hint="eastAsia"/>
                <w:b/>
                <w:sz w:val="24"/>
                <w:highlight w:val="none"/>
              </w:rPr>
              <w:t>2</w:t>
            </w:r>
            <w:r>
              <w:rPr>
                <w:b/>
                <w:sz w:val="24"/>
                <w:highlight w:val="none"/>
              </w:rPr>
              <w:t>、与《庐山市华林镇现代农业产业园总体规划》</w:t>
            </w:r>
            <w:r>
              <w:rPr>
                <w:rFonts w:hint="eastAsia"/>
                <w:b/>
                <w:sz w:val="24"/>
                <w:highlight w:val="none"/>
              </w:rPr>
              <w:t>符合性</w:t>
            </w:r>
            <w:r>
              <w:rPr>
                <w:b/>
                <w:sz w:val="24"/>
                <w:highlight w:val="none"/>
              </w:rPr>
              <w:t>分析</w:t>
            </w:r>
          </w:p>
          <w:p>
            <w:pPr>
              <w:keepNext/>
              <w:autoSpaceDE w:val="0"/>
              <w:autoSpaceDN w:val="0"/>
              <w:adjustRightInd w:val="0"/>
              <w:snapToGrid w:val="0"/>
              <w:spacing w:line="360" w:lineRule="auto"/>
              <w:ind w:firstLine="480" w:firstLineChars="200"/>
              <w:rPr>
                <w:rFonts w:ascii="宋体" w:hAnsi="宋体" w:cs="宋体"/>
                <w:sz w:val="24"/>
                <w:highlight w:val="none"/>
              </w:rPr>
            </w:pPr>
            <w:r>
              <w:rPr>
                <w:rFonts w:hint="eastAsia" w:cs="宋体"/>
                <w:kern w:val="21"/>
                <w:sz w:val="24"/>
                <w:highlight w:val="none"/>
              </w:rPr>
              <w:t>根据</w:t>
            </w:r>
            <w:r>
              <w:rPr>
                <w:rFonts w:cs="宋体"/>
                <w:kern w:val="21"/>
                <w:sz w:val="24"/>
                <w:highlight w:val="none"/>
              </w:rPr>
              <w:t>《庐山市华林镇现代农业产业园总体规划》</w:t>
            </w:r>
            <w:r>
              <w:rPr>
                <w:rFonts w:hint="eastAsia" w:cs="宋体"/>
                <w:kern w:val="21"/>
                <w:sz w:val="24"/>
                <w:highlight w:val="none"/>
              </w:rPr>
              <w:t>，庐山市华林镇现代农业产业园的产业定位是“以中医药和庐山柚为双主导产业，柑橘、油茶、蛋鸡等作为配套产业”，</w:t>
            </w:r>
            <w:r>
              <w:rPr>
                <w:rFonts w:ascii="宋体" w:hAnsi="宋体" w:cs="宋体"/>
                <w:sz w:val="24"/>
                <w:highlight w:val="none"/>
              </w:rPr>
              <w:t>重点发展农业生产、农产品加工与三产融合，打造现代农业产业集群。</w:t>
            </w:r>
          </w:p>
          <w:p>
            <w:pPr>
              <w:keepNext/>
              <w:autoSpaceDE w:val="0"/>
              <w:autoSpaceDN w:val="0"/>
              <w:adjustRightInd w:val="0"/>
              <w:snapToGrid w:val="0"/>
              <w:spacing w:line="360" w:lineRule="auto"/>
              <w:ind w:firstLine="480" w:firstLineChars="200"/>
              <w:rPr>
                <w:rFonts w:cs="宋体"/>
                <w:kern w:val="21"/>
                <w:sz w:val="24"/>
                <w:highlight w:val="none"/>
              </w:rPr>
            </w:pPr>
            <w:r>
              <w:rPr>
                <w:rFonts w:hint="eastAsia" w:ascii="宋体" w:hAnsi="宋体" w:cs="宋体"/>
                <w:sz w:val="24"/>
                <w:highlight w:val="none"/>
              </w:rPr>
              <w:t>本项目以鲜鸡蛋为原料开展蛋品加工，是蛋鸡产业下游农产品加工项目，属于规划支持的蛋鸡配套产业链延伸项目，与规划产业定位一致，符合产业园的产业布局与发展导向。</w:t>
            </w:r>
            <w:r>
              <w:rPr>
                <w:rFonts w:hint="eastAsia" w:cs="宋体"/>
                <w:kern w:val="21"/>
                <w:sz w:val="24"/>
                <w:highlight w:val="none"/>
              </w:rPr>
              <w:t>项目选址在华林镇域内，符合总体规划的空间范围。项目通过蛋液加工实现一产养殖与二产加工联动，推动种养加一体化与三产融合发展，有利于完善产业园蛋鸡产业链条，符合华林镇现代农业产业园创建与高质量发展目标。</w:t>
            </w:r>
          </w:p>
          <w:p>
            <w:pPr>
              <w:keepNext/>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cs="宋体"/>
                <w:kern w:val="21"/>
                <w:sz w:val="24"/>
                <w:highlight w:val="none"/>
              </w:rPr>
              <w:t>因此，本项</w:t>
            </w:r>
            <w:r>
              <w:rPr>
                <w:rFonts w:hint="eastAsia" w:ascii="宋体" w:hAnsi="宋体" w:cs="宋体"/>
                <w:sz w:val="24"/>
                <w:highlight w:val="none"/>
              </w:rPr>
              <w:t>目建设符合</w:t>
            </w:r>
            <w:r>
              <w:rPr>
                <w:rFonts w:ascii="宋体" w:hAnsi="宋体" w:cs="宋体"/>
                <w:sz w:val="24"/>
                <w:highlight w:val="none"/>
              </w:rPr>
              <w:t>庐山市华林镇现代农业产业园总体规划</w:t>
            </w:r>
            <w:r>
              <w:rPr>
                <w:rFonts w:hint="eastAsia" w:ascii="宋体" w:hAnsi="宋体" w:cs="宋体"/>
                <w:sz w:val="24"/>
                <w:highlight w:val="none"/>
              </w:rPr>
              <w:t>要求。</w:t>
            </w:r>
          </w:p>
          <w:p>
            <w:pPr>
              <w:keepNext/>
              <w:autoSpaceDE w:val="0"/>
              <w:autoSpaceDN w:val="0"/>
              <w:adjustRightInd w:val="0"/>
              <w:snapToGrid w:val="0"/>
              <w:spacing w:line="360" w:lineRule="auto"/>
              <w:ind w:firstLine="481" w:firstLineChars="200"/>
              <w:rPr>
                <w:rFonts w:hint="eastAsia"/>
                <w:b/>
                <w:color w:val="0000FF"/>
                <w:sz w:val="24"/>
                <w:highlight w:val="none"/>
              </w:rPr>
            </w:pPr>
            <w:r>
              <w:rPr>
                <w:rFonts w:hint="eastAsia"/>
                <w:b/>
                <w:color w:val="0000FF"/>
                <w:sz w:val="24"/>
                <w:highlight w:val="none"/>
                <w:lang w:val="en-US" w:eastAsia="zh-CN"/>
              </w:rPr>
              <w:t>3</w:t>
            </w:r>
            <w:r>
              <w:rPr>
                <w:rFonts w:hint="eastAsia"/>
                <w:b/>
                <w:color w:val="0000FF"/>
                <w:sz w:val="24"/>
                <w:highlight w:val="none"/>
              </w:rPr>
              <w:t>、与《</w:t>
            </w:r>
            <w:r>
              <w:rPr>
                <w:rFonts w:hint="eastAsia"/>
                <w:b/>
                <w:color w:val="0000FF"/>
                <w:sz w:val="24"/>
                <w:highlight w:val="none"/>
                <w:lang w:val="en-US" w:eastAsia="zh-CN"/>
              </w:rPr>
              <w:t>江西省</w:t>
            </w:r>
            <w:r>
              <w:rPr>
                <w:rFonts w:hint="eastAsia"/>
                <w:b/>
                <w:color w:val="0000FF"/>
                <w:sz w:val="24"/>
                <w:highlight w:val="none"/>
              </w:rPr>
              <w:t>庐山市华林镇总体规划（2017-203</w:t>
            </w:r>
            <w:r>
              <w:rPr>
                <w:rFonts w:hint="eastAsia"/>
                <w:b/>
                <w:color w:val="0000FF"/>
                <w:sz w:val="24"/>
                <w:highlight w:val="none"/>
                <w:lang w:val="en-US" w:eastAsia="zh-CN"/>
              </w:rPr>
              <w:t>0</w:t>
            </w:r>
            <w:r>
              <w:rPr>
                <w:rFonts w:hint="eastAsia"/>
                <w:b/>
                <w:color w:val="0000FF"/>
                <w:sz w:val="24"/>
                <w:highlight w:val="none"/>
              </w:rPr>
              <w:t>）》相符性分析</w:t>
            </w:r>
          </w:p>
          <w:p>
            <w:pPr>
              <w:keepNext/>
              <w:autoSpaceDE w:val="0"/>
              <w:autoSpaceDN w:val="0"/>
              <w:adjustRightInd w:val="0"/>
              <w:snapToGri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华林镇总体规划的总体定位</w:t>
            </w:r>
            <w:r>
              <w:rPr>
                <w:rFonts w:hint="eastAsia" w:ascii="宋体" w:hAnsi="宋体" w:cs="宋体"/>
                <w:color w:val="0000FF"/>
                <w:sz w:val="24"/>
                <w:highlight w:val="none"/>
                <w:lang w:val="en-US" w:eastAsia="zh-CN"/>
              </w:rPr>
              <w:t>为</w:t>
            </w:r>
            <w:r>
              <w:rPr>
                <w:rFonts w:hint="eastAsia" w:ascii="宋体" w:hAnsi="宋体" w:cs="宋体"/>
                <w:color w:val="0000FF"/>
                <w:sz w:val="24"/>
                <w:highlight w:val="none"/>
              </w:rPr>
              <w:t>形成“农旅融合、生态宜居、工业集聚” 的华林镇国土空间新格局。</w:t>
            </w:r>
          </w:p>
          <w:p>
            <w:pPr>
              <w:keepNext/>
              <w:autoSpaceDE w:val="0"/>
              <w:autoSpaceDN w:val="0"/>
              <w:adjustRightInd w:val="0"/>
              <w:snapToGrid w:val="0"/>
              <w:spacing w:line="360" w:lineRule="auto"/>
              <w:ind w:firstLine="480" w:firstLineChars="200"/>
              <w:rPr>
                <w:rFonts w:hint="eastAsia" w:ascii="宋体" w:hAnsi="宋体" w:cs="宋体"/>
                <w:color w:val="0000FF"/>
                <w:sz w:val="24"/>
                <w:highlight w:val="none"/>
              </w:rPr>
            </w:pPr>
            <w:r>
              <w:rPr>
                <w:rFonts w:hint="eastAsia" w:ascii="宋体" w:hAnsi="宋体" w:cs="宋体"/>
                <w:color w:val="0000FF"/>
                <w:sz w:val="24"/>
                <w:highlight w:val="none"/>
              </w:rPr>
              <w:t xml:space="preserve"> </w:t>
            </w:r>
            <w:r>
              <w:rPr>
                <w:rFonts w:hint="eastAsia" w:ascii="宋体" w:hAnsi="宋体" w:cs="宋体"/>
                <w:color w:val="0000FF"/>
                <w:sz w:val="24"/>
                <w:highlight w:val="none"/>
                <w:lang w:val="en-US" w:eastAsia="zh-CN"/>
              </w:rPr>
              <w:t>本</w:t>
            </w:r>
            <w:r>
              <w:rPr>
                <w:rFonts w:hint="eastAsia" w:ascii="宋体" w:hAnsi="宋体" w:cs="宋体"/>
                <w:color w:val="0000FF"/>
                <w:sz w:val="24"/>
                <w:highlight w:val="none"/>
              </w:rPr>
              <w:t>项目</w:t>
            </w:r>
            <w:r>
              <w:rPr>
                <w:rFonts w:hint="eastAsia" w:ascii="宋体" w:hAnsi="宋体" w:cs="宋体"/>
                <w:color w:val="0000FF"/>
                <w:sz w:val="24"/>
                <w:highlight w:val="none"/>
                <w:lang w:val="en-US" w:eastAsia="zh-CN"/>
              </w:rPr>
              <w:t>选址</w:t>
            </w:r>
            <w:r>
              <w:rPr>
                <w:rFonts w:hint="eastAsia" w:ascii="宋体" w:hAnsi="宋体" w:cs="宋体"/>
                <w:color w:val="0000FF"/>
                <w:sz w:val="24"/>
                <w:highlight w:val="none"/>
              </w:rPr>
              <w:t>于华林板岩加工园二期，属于工业产业项目，契合华林镇工业集聚的发展导向，有助于推动镇域工业高质量发展。本项目依托华林板岩加工园现有基础设施和土地资源，在闲置地块上引入蛋液加工产业，体现了规划所倡导的内涵集约和高质量发展理念，符合镇域产业发展导向。</w:t>
            </w:r>
          </w:p>
          <w:p>
            <w:pPr>
              <w:keepNext/>
              <w:autoSpaceDE w:val="0"/>
              <w:autoSpaceDN w:val="0"/>
              <w:adjustRightInd w:val="0"/>
              <w:snapToGrid w:val="0"/>
              <w:spacing w:line="360" w:lineRule="auto"/>
              <w:ind w:firstLine="480" w:firstLineChars="200"/>
              <w:rPr>
                <w:rFonts w:cs="宋体"/>
                <w:color w:val="0000FF"/>
                <w:kern w:val="21"/>
                <w:sz w:val="24"/>
                <w:highlight w:val="none"/>
              </w:rPr>
            </w:pPr>
            <w:r>
              <w:rPr>
                <w:rFonts w:hint="eastAsia" w:ascii="宋体" w:hAnsi="宋体" w:cs="宋体"/>
                <w:color w:val="0000FF"/>
                <w:sz w:val="24"/>
                <w:highlight w:val="none"/>
              </w:rPr>
              <w:t>项目用地规划用途为工业用地，项目选址符合华林镇国土空间总体规划确定的功能分区和用地布局要求。</w:t>
            </w:r>
            <w:r>
              <w:rPr>
                <w:rFonts w:hint="eastAsia" w:cs="宋体"/>
                <w:color w:val="0000FF"/>
                <w:kern w:val="21"/>
                <w:sz w:val="24"/>
                <w:highlight w:val="none"/>
              </w:rPr>
              <w:t>项目已取得华林镇人民政府出具的规划符合性证明（附件九）。因此，本项目建设符合华林镇</w:t>
            </w:r>
            <w:r>
              <w:rPr>
                <w:rFonts w:hint="eastAsia" w:cs="宋体"/>
                <w:color w:val="0000FF"/>
                <w:kern w:val="21"/>
                <w:sz w:val="24"/>
                <w:highlight w:val="none"/>
                <w:lang w:val="en-US" w:eastAsia="zh-CN"/>
              </w:rPr>
              <w:t>总体</w:t>
            </w:r>
            <w:r>
              <w:rPr>
                <w:rFonts w:hint="eastAsia" w:cs="宋体"/>
                <w:color w:val="0000FF"/>
                <w:kern w:val="21"/>
                <w:sz w:val="24"/>
                <w:highlight w:val="none"/>
              </w:rPr>
              <w:t>规划要求。</w:t>
            </w:r>
          </w:p>
          <w:p>
            <w:pPr>
              <w:keepNext/>
              <w:autoSpaceDE w:val="0"/>
              <w:autoSpaceDN w:val="0"/>
              <w:adjustRightInd w:val="0"/>
              <w:snapToGrid w:val="0"/>
              <w:spacing w:line="360" w:lineRule="auto"/>
              <w:ind w:firstLine="481" w:firstLineChars="200"/>
              <w:rPr>
                <w:rFonts w:hint="eastAsia"/>
                <w:b/>
                <w:color w:val="0000FF"/>
                <w:sz w:val="24"/>
                <w:highlight w:val="none"/>
                <w:lang w:val="en-US" w:eastAsia="zh-CN"/>
              </w:rPr>
            </w:pPr>
            <w:r>
              <w:rPr>
                <w:rFonts w:hint="eastAsia"/>
                <w:b/>
                <w:color w:val="0000FF"/>
                <w:sz w:val="24"/>
                <w:highlight w:val="none"/>
                <w:lang w:val="en-US" w:eastAsia="zh-CN"/>
              </w:rPr>
              <w:t>4、与《庐山市华林镇板岩加工优化升级示范基地总体规划》相符性分析</w:t>
            </w:r>
          </w:p>
          <w:p>
            <w:pPr>
              <w:keepNext/>
              <w:autoSpaceDE w:val="0"/>
              <w:autoSpaceDN w:val="0"/>
              <w:adjustRightInd w:val="0"/>
              <w:snapToGrid w:val="0"/>
              <w:spacing w:line="360" w:lineRule="auto"/>
              <w:ind w:firstLine="480" w:firstLineChars="200"/>
              <w:rPr>
                <w:rFonts w:hint="default" w:ascii="Times New Roman" w:hAnsi="Times New Roman" w:cs="Times New Roman"/>
                <w:color w:val="0000FF"/>
                <w:sz w:val="24"/>
                <w:highlight w:val="none"/>
                <w:lang w:val="en-US" w:eastAsia="zh-CN"/>
              </w:rPr>
            </w:pPr>
            <w:r>
              <w:rPr>
                <w:rFonts w:hint="default" w:ascii="Times New Roman" w:hAnsi="Times New Roman" w:cs="Times New Roman"/>
                <w:color w:val="0000FF"/>
                <w:sz w:val="24"/>
                <w:highlight w:val="none"/>
                <w:lang w:val="en-US" w:eastAsia="zh-CN"/>
              </w:rPr>
              <w:t>华林板岩加工优化升级示范基地（即华林板岩加工园）是庐山市重点推动的产业集聚平台，按照生态园区标准，在原华林镇吉山青石加工集中区的基础上集中规划建设，基地规划总用地面积610亩，统一厂房标准和雨污分流收集设施，实行封闭式生产。</w:t>
            </w:r>
          </w:p>
          <w:p>
            <w:pPr>
              <w:keepNext/>
              <w:autoSpaceDE w:val="0"/>
              <w:autoSpaceDN w:val="0"/>
              <w:adjustRightInd w:val="0"/>
              <w:snapToGrid w:val="0"/>
              <w:spacing w:line="360" w:lineRule="auto"/>
              <w:ind w:firstLine="480" w:firstLineChars="200"/>
              <w:rPr>
                <w:rFonts w:hint="default" w:ascii="Times New Roman" w:hAnsi="Times New Roman" w:cs="Times New Roman"/>
                <w:color w:val="0000FF"/>
                <w:sz w:val="24"/>
                <w:highlight w:val="none"/>
                <w:lang w:val="en-US" w:eastAsia="zh-CN"/>
              </w:rPr>
            </w:pPr>
            <w:r>
              <w:rPr>
                <w:rFonts w:hint="default" w:ascii="Times New Roman" w:hAnsi="Times New Roman" w:cs="Times New Roman"/>
                <w:color w:val="0000FF"/>
                <w:sz w:val="24"/>
                <w:highlight w:val="none"/>
                <w:lang w:val="en-US" w:eastAsia="zh-CN"/>
              </w:rPr>
              <w:t xml:space="preserve"> 华林板岩加工园作为华林镇重要的工业发展平台，承载着推动镇域工业提质增效的产业功能。华林镇已明确将板岩加工园二期项目作为产业升级的重要载体，并积极引导现代化工厂项目落户。本项目即为园区引进的蛋液加工项目，与园区产业发展方向高度契合。</w:t>
            </w:r>
          </w:p>
          <w:p>
            <w:pPr>
              <w:keepNext/>
              <w:autoSpaceDE w:val="0"/>
              <w:autoSpaceDN w:val="0"/>
              <w:adjustRightInd w:val="0"/>
              <w:snapToGrid w:val="0"/>
              <w:spacing w:line="360" w:lineRule="auto"/>
              <w:ind w:firstLine="480" w:firstLineChars="200"/>
              <w:rPr>
                <w:rFonts w:hint="default" w:eastAsia="宋体"/>
                <w:highlight w:val="none"/>
                <w:lang w:val="en-US" w:eastAsia="zh-CN"/>
              </w:rPr>
            </w:pPr>
            <w:r>
              <w:rPr>
                <w:rFonts w:hint="default" w:ascii="Times New Roman" w:hAnsi="Times New Roman" w:cs="Times New Roman"/>
                <w:color w:val="0000FF"/>
                <w:sz w:val="24"/>
                <w:highlight w:val="none"/>
                <w:lang w:val="en-US" w:eastAsia="zh-CN"/>
              </w:rPr>
              <w:t xml:space="preserve"> 本项目为九江市庐山工业发展集团依托庐山市华林板岩加工园二期地块引进的蛋液加工项目。华林板岩加工园分两期建设，其中一期建筑已建成投用，二期地块目前为闲置状态。为提升园区集约发展水平，园区拟将二期地块作为独立厂区引入高端企业，并在厂区东侧增设次出入口与现有道路衔接，实现一期与二期各自形成独立的厂区及进出通道。本项目即为该独立厂区的拟建项目</w:t>
            </w:r>
            <w:r>
              <w:rPr>
                <w:rFonts w:hint="eastAsia" w:ascii="宋体" w:hAnsi="宋体" w:cs="宋体"/>
                <w:color w:val="0000FF"/>
                <w:sz w:val="24"/>
                <w:highlight w:val="none"/>
                <w:lang w:val="en-US" w:eastAsia="zh-CN"/>
              </w:rPr>
              <w:t>，实现了存量土地的盘活利用及园区空间的优化布局，与园区总体规划的集约发展定位相契</w:t>
            </w:r>
            <w:r>
              <w:rPr>
                <w:rFonts w:hint="eastAsia"/>
                <w:color w:val="0000FF"/>
                <w:highlight w:val="none"/>
                <w:lang w:val="en-US" w:eastAsia="zh-CN"/>
              </w:rPr>
              <w:t>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09" w:type="dxa"/>
            <w:vAlign w:val="center"/>
          </w:tcPr>
          <w:p>
            <w:pPr>
              <w:autoSpaceDE w:val="0"/>
              <w:autoSpaceDN w:val="0"/>
              <w:adjustRightInd w:val="0"/>
              <w:snapToGrid w:val="0"/>
              <w:jc w:val="center"/>
              <w:rPr>
                <w:rFonts w:ascii="宋体" w:hAnsi="宋体" w:cs="宋体"/>
                <w:b/>
                <w:bCs/>
                <w:sz w:val="24"/>
                <w:highlight w:val="none"/>
                <w:lang w:val="zh-CN"/>
              </w:rPr>
            </w:pPr>
            <w:r>
              <w:rPr>
                <w:rFonts w:hint="eastAsia" w:ascii="宋体" w:hAnsi="宋体" w:cs="宋体"/>
                <w:b/>
                <w:bCs/>
                <w:kern w:val="0"/>
                <w:sz w:val="24"/>
                <w:highlight w:val="none"/>
              </w:rPr>
              <w:t>其他符合性分析</w:t>
            </w:r>
          </w:p>
        </w:tc>
        <w:tc>
          <w:tcPr>
            <w:tcW w:w="7959" w:type="dxa"/>
            <w:gridSpan w:val="4"/>
            <w:vAlign w:val="center"/>
          </w:tcPr>
          <w:p>
            <w:pPr>
              <w:keepNext/>
              <w:keepLines/>
              <w:spacing w:line="360" w:lineRule="auto"/>
              <w:ind w:firstLine="481" w:firstLineChars="200"/>
              <w:rPr>
                <w:b/>
                <w:bCs/>
                <w:kern w:val="44"/>
                <w:sz w:val="24"/>
                <w:highlight w:val="none"/>
              </w:rPr>
            </w:pPr>
            <w:r>
              <w:rPr>
                <w:rFonts w:hint="eastAsia"/>
                <w:b/>
                <w:bCs/>
                <w:kern w:val="44"/>
                <w:sz w:val="24"/>
                <w:highlight w:val="none"/>
              </w:rPr>
              <w:t>1</w:t>
            </w:r>
            <w:r>
              <w:rPr>
                <w:b/>
                <w:bCs/>
                <w:kern w:val="44"/>
                <w:sz w:val="24"/>
                <w:highlight w:val="none"/>
              </w:rPr>
              <w:t>、产业政策符合性分析</w:t>
            </w:r>
          </w:p>
          <w:p>
            <w:pPr>
              <w:pStyle w:val="51"/>
              <w:adjustRightInd w:val="0"/>
              <w:spacing w:line="360" w:lineRule="auto"/>
              <w:ind w:firstLine="480" w:firstLineChars="200"/>
              <w:jc w:val="both"/>
              <w:rPr>
                <w:rFonts w:ascii="Times New Roman" w:cs="Times New Roman"/>
                <w:color w:val="auto"/>
                <w:highlight w:val="none"/>
              </w:rPr>
            </w:pPr>
            <w:r>
              <w:rPr>
                <w:rFonts w:hint="eastAsia" w:ascii="Times New Roman" w:cs="Times New Roman"/>
                <w:color w:val="auto"/>
                <w:highlight w:val="none"/>
              </w:rPr>
              <w:t>根据国民经济行业分类（GB/T 4754-2017），本项目属于C1393蛋品加工，对照《产业结构调整指导目录（2024年本）》，本项目属于目录中的鼓励类“一、农林牧渔业-8.农产品仓储运输：农林牧渔产品储运、保鲜、加工与综合利用 ”；对照</w:t>
            </w:r>
            <w:r>
              <w:rPr>
                <w:rFonts w:ascii="Times New Roman" w:cs="Times New Roman"/>
                <w:color w:val="auto"/>
                <w:highlight w:val="none"/>
              </w:rPr>
              <w:t>《江西省发展改革委关于印发江西省第二批重点生态功能区产业准入负面清单的通知》</w:t>
            </w:r>
            <w:r>
              <w:rPr>
                <w:rFonts w:hint="eastAsia" w:ascii="Times New Roman" w:cs="Times New Roman"/>
                <w:color w:val="auto"/>
                <w:highlight w:val="none"/>
              </w:rPr>
              <w:t>（赣发改规划〔2018〕112号）中“庐山市重点生态功能区产业准入负面清单”，本项目不属于“限制类”或“禁止类”，同时，庐山市发展和改革委员会已对本项目进行备案（附件二）。</w:t>
            </w:r>
          </w:p>
          <w:p>
            <w:pPr>
              <w:pStyle w:val="51"/>
              <w:adjustRightInd w:val="0"/>
              <w:spacing w:line="360" w:lineRule="auto"/>
              <w:ind w:firstLine="480" w:firstLineChars="200"/>
              <w:jc w:val="both"/>
              <w:rPr>
                <w:rFonts w:ascii="Times New Roman" w:cs="Times New Roman"/>
                <w:color w:val="auto"/>
                <w:highlight w:val="none"/>
              </w:rPr>
            </w:pPr>
            <w:r>
              <w:rPr>
                <w:rFonts w:hint="eastAsia" w:ascii="Times New Roman" w:cs="Times New Roman"/>
                <w:color w:val="auto"/>
                <w:highlight w:val="none"/>
              </w:rPr>
              <w:t>综上所述，本项目建设符合国家、地方产业政策要求。</w:t>
            </w:r>
          </w:p>
          <w:p>
            <w:pPr>
              <w:pStyle w:val="51"/>
              <w:adjustRightInd w:val="0"/>
              <w:spacing w:line="360" w:lineRule="auto"/>
              <w:ind w:firstLine="481" w:firstLineChars="200"/>
              <w:rPr>
                <w:rFonts w:ascii="Times New Roman" w:cs="Times New Roman"/>
                <w:b/>
                <w:bCs/>
                <w:color w:val="auto"/>
                <w:kern w:val="44"/>
                <w:highlight w:val="none"/>
              </w:rPr>
            </w:pPr>
            <w:r>
              <w:rPr>
                <w:rFonts w:hint="eastAsia" w:ascii="Times New Roman" w:cs="Times New Roman"/>
                <w:b/>
                <w:bCs/>
                <w:color w:val="auto"/>
                <w:kern w:val="44"/>
                <w:highlight w:val="none"/>
              </w:rPr>
              <w:t>2、选址可行性分析</w:t>
            </w:r>
          </w:p>
          <w:p>
            <w:pPr>
              <w:pStyle w:val="51"/>
              <w:adjustRightInd w:val="0"/>
              <w:spacing w:line="360" w:lineRule="auto"/>
              <w:ind w:firstLine="480" w:firstLineChars="200"/>
              <w:rPr>
                <w:rFonts w:ascii="Times New Roman" w:cs="Times New Roman"/>
                <w:color w:val="auto"/>
                <w:highlight w:val="none"/>
              </w:rPr>
            </w:pPr>
            <w:r>
              <w:rPr>
                <w:rFonts w:ascii="Times New Roman" w:cs="Times New Roman"/>
                <w:color w:val="auto"/>
                <w:highlight w:val="none"/>
              </w:rPr>
              <w:t>项目位于庐山市华林镇吉山村华林板岩加工园</w:t>
            </w:r>
            <w:r>
              <w:rPr>
                <w:rFonts w:hint="eastAsia" w:ascii="Times New Roman" w:cs="Times New Roman"/>
                <w:color w:val="auto"/>
                <w:highlight w:val="none"/>
              </w:rPr>
              <w:t>二期</w:t>
            </w:r>
            <w:r>
              <w:rPr>
                <w:rFonts w:ascii="Times New Roman" w:cs="Times New Roman"/>
                <w:color w:val="auto"/>
                <w:highlight w:val="none"/>
              </w:rPr>
              <w:t>，根据建设单位提供的</w:t>
            </w:r>
            <w:r>
              <w:rPr>
                <w:rFonts w:hint="eastAsia" w:ascii="Times New Roman" w:cs="Times New Roman"/>
                <w:color w:val="auto"/>
                <w:highlight w:val="none"/>
              </w:rPr>
              <w:t>建设用地</w:t>
            </w:r>
            <w:r>
              <w:rPr>
                <w:rFonts w:ascii="Times New Roman" w:cs="Times New Roman"/>
                <w:color w:val="auto"/>
                <w:highlight w:val="none"/>
              </w:rPr>
              <w:t>规划许可证，用地性质为</w:t>
            </w:r>
            <w:r>
              <w:rPr>
                <w:rFonts w:hint="eastAsia" w:ascii="Times New Roman" w:cs="Times New Roman"/>
                <w:color w:val="auto"/>
                <w:highlight w:val="none"/>
              </w:rPr>
              <w:t>二类</w:t>
            </w:r>
            <w:r>
              <w:rPr>
                <w:rFonts w:ascii="Times New Roman" w:cs="Times New Roman"/>
                <w:color w:val="auto"/>
                <w:highlight w:val="none"/>
              </w:rPr>
              <w:t>工业用地。</w:t>
            </w:r>
          </w:p>
          <w:p>
            <w:pPr>
              <w:pStyle w:val="51"/>
              <w:adjustRightInd w:val="0"/>
              <w:spacing w:line="360" w:lineRule="auto"/>
              <w:ind w:firstLine="480" w:firstLineChars="200"/>
              <w:rPr>
                <w:rFonts w:ascii="Times New Roman" w:cs="Times New Roman"/>
                <w:color w:val="auto"/>
                <w:highlight w:val="none"/>
              </w:rPr>
            </w:pPr>
            <w:r>
              <w:rPr>
                <w:rFonts w:hint="eastAsia" w:ascii="Times New Roman" w:cs="Times New Roman"/>
                <w:color w:val="auto"/>
                <w:highlight w:val="none"/>
              </w:rPr>
              <w:t>项目选址处</w:t>
            </w:r>
            <w:r>
              <w:rPr>
                <w:rFonts w:ascii="Times New Roman" w:cs="Times New Roman"/>
                <w:color w:val="auto"/>
                <w:highlight w:val="none"/>
              </w:rPr>
              <w:t>不属于生活饮用水源地和地下水补给区、风景名胜区、温泉疗养区、水产养殖区、基本农田保护区、自然保护区等需要特殊保护区域。项目所在区域水环境、环境空气、声环境质量良好，对项目污染因子有环境容量。项目</w:t>
            </w:r>
            <w:r>
              <w:rPr>
                <w:rFonts w:hint="eastAsia" w:ascii="Times New Roman" w:cs="Times New Roman"/>
                <w:color w:val="auto"/>
                <w:highlight w:val="none"/>
              </w:rPr>
              <w:t>污水处理站设置的</w:t>
            </w:r>
            <w:r>
              <w:rPr>
                <w:rFonts w:ascii="Times New Roman" w:cs="Times New Roman"/>
                <w:color w:val="auto"/>
                <w:highlight w:val="none"/>
              </w:rPr>
              <w:t>50米卫生防护距离内无居民、学校等环境敏感目标，</w:t>
            </w:r>
            <w:r>
              <w:rPr>
                <w:rFonts w:hint="eastAsia" w:ascii="Times New Roman" w:cs="Times New Roman"/>
                <w:color w:val="0000FF"/>
                <w:highlight w:val="none"/>
                <w:lang w:val="en-US" w:eastAsia="zh-CN"/>
              </w:rPr>
              <w:t>距离项目厂界最近的敏感点为项目南面70米处的上头张。</w:t>
            </w:r>
            <w:r>
              <w:rPr>
                <w:rFonts w:ascii="Times New Roman" w:cs="Times New Roman"/>
                <w:color w:val="auto"/>
                <w:highlight w:val="none"/>
              </w:rPr>
              <w:t>在落实各项污染防治措施的前提下，本项目各污染物均能达标排放，对周边环境影响较小</w:t>
            </w:r>
            <w:r>
              <w:rPr>
                <w:rFonts w:hint="eastAsia" w:ascii="Times New Roman" w:cs="Times New Roman"/>
                <w:color w:val="auto"/>
                <w:highlight w:val="none"/>
              </w:rPr>
              <w:t>。</w:t>
            </w:r>
          </w:p>
          <w:p>
            <w:pPr>
              <w:pStyle w:val="51"/>
              <w:adjustRightInd w:val="0"/>
              <w:spacing w:line="360" w:lineRule="auto"/>
              <w:ind w:firstLine="480" w:firstLineChars="200"/>
              <w:rPr>
                <w:rFonts w:ascii="Times New Roman" w:cs="Times New Roman"/>
                <w:color w:val="0000FF"/>
                <w:highlight w:val="none"/>
              </w:rPr>
            </w:pPr>
            <w:r>
              <w:rPr>
                <w:rFonts w:ascii="Times New Roman" w:cs="Times New Roman"/>
                <w:color w:val="0000FF"/>
                <w:highlight w:val="none"/>
              </w:rPr>
              <w:t>本项目</w:t>
            </w:r>
            <w:r>
              <w:rPr>
                <w:rFonts w:hint="eastAsia" w:ascii="Times New Roman" w:cs="Times New Roman"/>
                <w:color w:val="0000FF"/>
                <w:highlight w:val="none"/>
              </w:rPr>
              <w:t>北侧、东侧、南侧均为空地，周边无集中居民区、学校、医院等环境敏感目标。项目生产车间西北侧约30m处为九江锦联体育器材有限公司，西南侧约80m处为九江赛迪体育发展有限公司</w:t>
            </w:r>
            <w:r>
              <w:rPr>
                <w:rFonts w:hint="eastAsia" w:ascii="Times New Roman" w:cs="Times New Roman"/>
                <w:color w:val="0000FF"/>
                <w:highlight w:val="none"/>
                <w:lang w:eastAsia="zh-CN"/>
              </w:rPr>
              <w:t>，</w:t>
            </w:r>
            <w:r>
              <w:rPr>
                <w:rFonts w:hint="eastAsia" w:ascii="Times New Roman" w:cs="Times New Roman"/>
                <w:color w:val="0000FF"/>
                <w:highlight w:val="none"/>
                <w:lang w:val="en-US" w:eastAsia="zh-CN"/>
              </w:rPr>
              <w:t>西侧80m为湖北伯爵体育用品有限公司</w:t>
            </w:r>
            <w:r>
              <w:rPr>
                <w:rFonts w:hint="eastAsia" w:ascii="Times New Roman" w:cs="Times New Roman"/>
                <w:color w:val="0000FF"/>
                <w:highlight w:val="none"/>
              </w:rPr>
              <w:t>，上述企业主要从事台球杆及台球相关配套件的生产加工，生产车间均为标准化工业厂房。周边企业在生产过程中产生的粉尘等废气已配套除尘设施进行处理，并经标准化厂房的墙体隔离后排放，</w:t>
            </w:r>
            <w:r>
              <w:rPr>
                <w:rFonts w:ascii="Segoe UI" w:hAnsi="Segoe UI" w:eastAsia="Segoe UI" w:cs="Segoe UI"/>
                <w:color w:val="0000FF"/>
                <w:highlight w:val="none"/>
                <w:shd w:val="clear" w:color="auto" w:fill="FFFFFF"/>
              </w:rPr>
              <w:t>对周边环境的影响较小。本项目位于周边企业的常年主导</w:t>
            </w:r>
            <w:r>
              <w:rPr>
                <w:rFonts w:hint="eastAsia" w:ascii="Segoe UI" w:hAnsi="Segoe UI" w:cs="Segoe UI"/>
                <w:color w:val="0000FF"/>
                <w:highlight w:val="none"/>
                <w:shd w:val="clear" w:color="auto" w:fill="FFFFFF"/>
                <w:lang w:val="en-US" w:eastAsia="zh-CN"/>
              </w:rPr>
              <w:t>风向</w:t>
            </w:r>
            <w:r>
              <w:rPr>
                <w:rFonts w:ascii="Segoe UI" w:hAnsi="Segoe UI" w:eastAsia="Segoe UI" w:cs="Segoe UI"/>
                <w:color w:val="0000FF"/>
                <w:highlight w:val="none"/>
                <w:shd w:val="clear" w:color="auto" w:fill="FFFFFF"/>
              </w:rPr>
              <w:t>上风向，从源头上减少了外来粉尘随气流进入</w:t>
            </w:r>
            <w:r>
              <w:rPr>
                <w:rFonts w:hint="eastAsia" w:ascii="Segoe UI" w:hAnsi="Segoe UI" w:cs="Segoe UI"/>
                <w:color w:val="0000FF"/>
                <w:highlight w:val="none"/>
                <w:shd w:val="clear" w:color="auto" w:fill="FFFFFF"/>
              </w:rPr>
              <w:t>生产车间</w:t>
            </w:r>
            <w:r>
              <w:rPr>
                <w:rFonts w:ascii="Segoe UI" w:hAnsi="Segoe UI" w:eastAsia="Segoe UI" w:cs="Segoe UI"/>
                <w:color w:val="0000FF"/>
                <w:highlight w:val="none"/>
                <w:shd w:val="clear" w:color="auto" w:fill="FFFFFF"/>
              </w:rPr>
              <w:t>的可能。同时，本项目生产车间采用密闭式洁净车间设计，确保车间内部空气环境满足蛋液加工的卫生要求。项目与周边企业之间规划设置绿化带作为天然屏障，进一步起到降尘、阻隔和缓冲作用。</w:t>
            </w:r>
          </w:p>
          <w:p>
            <w:pPr>
              <w:pStyle w:val="51"/>
              <w:adjustRightInd w:val="0"/>
              <w:spacing w:line="360" w:lineRule="auto"/>
              <w:ind w:firstLine="480" w:firstLineChars="200"/>
              <w:rPr>
                <w:rFonts w:ascii="Times New Roman" w:cs="Times New Roman"/>
                <w:color w:val="auto"/>
                <w:highlight w:val="none"/>
              </w:rPr>
            </w:pPr>
            <w:r>
              <w:rPr>
                <w:rFonts w:ascii="Times New Roman" w:cs="Times New Roman"/>
                <w:color w:val="auto"/>
                <w:highlight w:val="none"/>
              </w:rPr>
              <w:t>综上，在周边企业废气达标排放、本项目</w:t>
            </w:r>
            <w:r>
              <w:rPr>
                <w:rFonts w:hint="eastAsia" w:ascii="Times New Roman" w:cs="Times New Roman"/>
                <w:color w:val="auto"/>
                <w:highlight w:val="none"/>
              </w:rPr>
              <w:t>厂区合理布局，</w:t>
            </w:r>
            <w:r>
              <w:rPr>
                <w:rFonts w:ascii="Times New Roman" w:cs="Times New Roman"/>
                <w:color w:val="auto"/>
                <w:highlight w:val="none"/>
              </w:rPr>
              <w:t>采取有效防护措施的前提下，周边企业产生的粉尘对项目蛋液加工生产环境的影响较小，项目选址符合相关标准要求，选址合理。</w:t>
            </w:r>
          </w:p>
          <w:p>
            <w:pPr>
              <w:pStyle w:val="51"/>
              <w:adjustRightInd w:val="0"/>
              <w:spacing w:line="360" w:lineRule="auto"/>
              <w:ind w:firstLine="481" w:firstLineChars="200"/>
              <w:rPr>
                <w:rFonts w:ascii="Times New Roman" w:cs="Times New Roman"/>
                <w:b/>
                <w:bCs/>
                <w:color w:val="auto"/>
                <w:highlight w:val="none"/>
              </w:rPr>
            </w:pPr>
            <w:r>
              <w:rPr>
                <w:rFonts w:hint="eastAsia" w:ascii="Times New Roman" w:cs="Times New Roman"/>
                <w:b/>
                <w:bCs/>
                <w:color w:val="auto"/>
                <w:kern w:val="44"/>
                <w:highlight w:val="none"/>
              </w:rPr>
              <w:t>3</w:t>
            </w:r>
            <w:r>
              <w:rPr>
                <w:rFonts w:ascii="Times New Roman" w:cs="Times New Roman"/>
                <w:b/>
                <w:bCs/>
                <w:color w:val="auto"/>
                <w:highlight w:val="none"/>
              </w:rPr>
              <w:t>、</w:t>
            </w:r>
            <w:r>
              <w:rPr>
                <w:rFonts w:hint="eastAsia" w:ascii="Times New Roman" w:cs="Times New Roman"/>
                <w:b/>
                <w:bCs/>
                <w:color w:val="auto"/>
                <w:highlight w:val="none"/>
                <w:lang w:val="en-US" w:eastAsia="zh-CN"/>
              </w:rPr>
              <w:t>与九江市生态环境分区管控要求相符</w:t>
            </w:r>
            <w:r>
              <w:rPr>
                <w:rFonts w:ascii="Times New Roman" w:cs="Times New Roman"/>
                <w:b/>
                <w:bCs/>
                <w:color w:val="auto"/>
                <w:highlight w:val="none"/>
              </w:rPr>
              <w:t>性分析</w:t>
            </w:r>
          </w:p>
          <w:p>
            <w:pPr>
              <w:pStyle w:val="115"/>
              <w:adjustRightInd/>
              <w:snapToGrid/>
              <w:ind w:firstLine="480"/>
              <w:rPr>
                <w:kern w:val="21"/>
                <w:highlight w:val="none"/>
              </w:rPr>
            </w:pPr>
            <w:r>
              <w:rPr>
                <w:kern w:val="21"/>
                <w:highlight w:val="none"/>
              </w:rPr>
              <w:t>（1）生态保护红线</w:t>
            </w:r>
          </w:p>
          <w:p>
            <w:pPr>
              <w:pStyle w:val="115"/>
              <w:adjustRightInd/>
              <w:snapToGrid/>
              <w:ind w:firstLine="480"/>
              <w:rPr>
                <w:kern w:val="21"/>
                <w:highlight w:val="none"/>
              </w:rPr>
            </w:pPr>
            <w:r>
              <w:rPr>
                <w:kern w:val="21"/>
                <w:highlight w:val="none"/>
              </w:rPr>
              <w:t>本项目用地性质为</w:t>
            </w:r>
            <w:r>
              <w:rPr>
                <w:rFonts w:hint="eastAsia"/>
                <w:kern w:val="21"/>
                <w:highlight w:val="none"/>
              </w:rPr>
              <w:t>二类</w:t>
            </w:r>
            <w:r>
              <w:rPr>
                <w:kern w:val="21"/>
                <w:highlight w:val="none"/>
              </w:rPr>
              <w:t>工业用地，不在当地饮用水源、风景名胜区、自然保护区等生态保护区内，满足生态保护红线要求。</w:t>
            </w:r>
          </w:p>
          <w:p>
            <w:pPr>
              <w:pStyle w:val="115"/>
              <w:adjustRightInd/>
              <w:snapToGrid/>
              <w:ind w:firstLine="480"/>
              <w:rPr>
                <w:kern w:val="21"/>
                <w:highlight w:val="none"/>
              </w:rPr>
            </w:pPr>
            <w:r>
              <w:rPr>
                <w:kern w:val="21"/>
                <w:highlight w:val="none"/>
              </w:rPr>
              <w:t>（2）环境质量底线</w:t>
            </w:r>
          </w:p>
          <w:p>
            <w:pPr>
              <w:pStyle w:val="115"/>
              <w:adjustRightInd/>
              <w:snapToGrid/>
              <w:ind w:firstLine="480"/>
              <w:rPr>
                <w:kern w:val="21"/>
                <w:highlight w:val="none"/>
              </w:rPr>
            </w:pPr>
            <w:r>
              <w:rPr>
                <w:kern w:val="21"/>
                <w:highlight w:val="none"/>
              </w:rPr>
              <w:t>环境质量底线为：</w:t>
            </w:r>
            <w:r>
              <w:rPr>
                <w:rFonts w:hint="eastAsia"/>
                <w:kern w:val="21"/>
                <w:highlight w:val="none"/>
              </w:rPr>
              <w:t>项目所在地</w:t>
            </w:r>
            <w:r>
              <w:rPr>
                <w:kern w:val="21"/>
                <w:highlight w:val="none"/>
              </w:rPr>
              <w:t>环境空气</w:t>
            </w:r>
            <w:r>
              <w:rPr>
                <w:rFonts w:hint="eastAsia"/>
                <w:kern w:val="21"/>
                <w:highlight w:val="none"/>
              </w:rPr>
              <w:t>满足</w:t>
            </w:r>
            <w:r>
              <w:rPr>
                <w:kern w:val="21"/>
                <w:highlight w:val="none"/>
              </w:rPr>
              <w:t>《环境空气质量标准》（GB3095-20</w:t>
            </w:r>
            <w:r>
              <w:rPr>
                <w:rFonts w:hint="eastAsia"/>
                <w:kern w:val="21"/>
                <w:highlight w:val="none"/>
              </w:rPr>
              <w:t>26</w:t>
            </w:r>
            <w:r>
              <w:rPr>
                <w:kern w:val="21"/>
                <w:highlight w:val="none"/>
              </w:rPr>
              <w:t>）</w:t>
            </w:r>
            <w:r>
              <w:rPr>
                <w:rFonts w:hint="eastAsia"/>
                <w:highlight w:val="none"/>
              </w:rPr>
              <w:t>过渡阶段</w:t>
            </w:r>
            <w:r>
              <w:rPr>
                <w:kern w:val="21"/>
                <w:highlight w:val="none"/>
              </w:rPr>
              <w:t>二级标准</w:t>
            </w:r>
            <w:r>
              <w:rPr>
                <w:rFonts w:hint="eastAsia"/>
                <w:kern w:val="21"/>
                <w:highlight w:val="none"/>
              </w:rPr>
              <w:t>；地表</w:t>
            </w:r>
            <w:r>
              <w:rPr>
                <w:kern w:val="21"/>
                <w:highlight w:val="none"/>
              </w:rPr>
              <w:t>水环境</w:t>
            </w:r>
            <w:r>
              <w:rPr>
                <w:rFonts w:hint="eastAsia"/>
                <w:kern w:val="21"/>
                <w:highlight w:val="none"/>
              </w:rPr>
              <w:t>满足</w:t>
            </w:r>
            <w:r>
              <w:rPr>
                <w:kern w:val="21"/>
                <w:highlight w:val="none"/>
              </w:rPr>
              <w:t>《地表水环境质量标准》（GB3838-2002）中的Ⅲ类标准</w:t>
            </w:r>
            <w:r>
              <w:rPr>
                <w:rFonts w:hint="eastAsia"/>
                <w:kern w:val="21"/>
                <w:highlight w:val="none"/>
              </w:rPr>
              <w:t>；声环境满足</w:t>
            </w:r>
            <w:r>
              <w:rPr>
                <w:kern w:val="21"/>
                <w:highlight w:val="none"/>
              </w:rPr>
              <w:t>《声环境质量标准》（GB3096-2008）中的</w:t>
            </w:r>
            <w:r>
              <w:rPr>
                <w:rFonts w:hint="eastAsia"/>
                <w:kern w:val="21"/>
                <w:highlight w:val="none"/>
              </w:rPr>
              <w:t>3类标准</w:t>
            </w:r>
            <w:r>
              <w:rPr>
                <w:kern w:val="21"/>
                <w:highlight w:val="none"/>
              </w:rPr>
              <w:t>。</w:t>
            </w:r>
          </w:p>
          <w:p>
            <w:pPr>
              <w:pStyle w:val="115"/>
              <w:adjustRightInd/>
              <w:snapToGrid/>
              <w:ind w:firstLine="480"/>
              <w:rPr>
                <w:kern w:val="21"/>
                <w:highlight w:val="none"/>
              </w:rPr>
            </w:pPr>
            <w:r>
              <w:rPr>
                <w:kern w:val="21"/>
                <w:highlight w:val="none"/>
              </w:rPr>
              <w:t>废气、废水</w:t>
            </w:r>
            <w:r>
              <w:rPr>
                <w:rFonts w:hint="eastAsia"/>
                <w:kern w:val="21"/>
                <w:highlight w:val="none"/>
              </w:rPr>
              <w:t>、噪声</w:t>
            </w:r>
            <w:r>
              <w:rPr>
                <w:kern w:val="21"/>
                <w:highlight w:val="none"/>
              </w:rPr>
              <w:t>治理后能做到达标排放，固体废物可做到无害化处置。采取本环评提出的相关防治措施后，排放的污染物不会突破区域环境质量底线。</w:t>
            </w:r>
          </w:p>
          <w:p>
            <w:pPr>
              <w:pStyle w:val="115"/>
              <w:adjustRightInd/>
              <w:snapToGrid/>
              <w:ind w:firstLine="480"/>
              <w:rPr>
                <w:kern w:val="21"/>
                <w:highlight w:val="none"/>
              </w:rPr>
            </w:pPr>
            <w:r>
              <w:rPr>
                <w:kern w:val="21"/>
                <w:highlight w:val="none"/>
              </w:rPr>
              <w:t>（3）资源利用上线</w:t>
            </w:r>
          </w:p>
          <w:p>
            <w:pPr>
              <w:pStyle w:val="96"/>
              <w:ind w:firstLine="480"/>
              <w:rPr>
                <w:highlight w:val="none"/>
              </w:rPr>
            </w:pPr>
            <w:r>
              <w:rPr>
                <w:highlight w:val="none"/>
              </w:rPr>
              <w:t>本项目用水来自市政供水管网，用电来自市政供电。建成运行后通过内部管理、设备选择、原辅材料的选用和管理、废物回收利用、污染治理等多方面采取合理可行的防治措施，以</w:t>
            </w:r>
            <w:r>
              <w:rPr>
                <w:rFonts w:hint="eastAsia"/>
                <w:highlight w:val="none"/>
              </w:rPr>
              <w:t>“节能、降耗、减污”</w:t>
            </w:r>
            <w:r>
              <w:rPr>
                <w:highlight w:val="none"/>
              </w:rPr>
              <w:t>为目标，</w:t>
            </w:r>
            <w:r>
              <w:rPr>
                <w:rFonts w:hint="eastAsia"/>
                <w:highlight w:val="none"/>
                <w:lang w:eastAsia="zh-CN"/>
              </w:rPr>
              <w:t>有效地控制</w:t>
            </w:r>
            <w:r>
              <w:rPr>
                <w:highlight w:val="none"/>
              </w:rPr>
              <w:t>污染。水、电等资源利用不会突破区域的资源利用上线。</w:t>
            </w:r>
          </w:p>
          <w:p>
            <w:pPr>
              <w:pStyle w:val="51"/>
              <w:spacing w:line="360" w:lineRule="auto"/>
              <w:ind w:firstLine="480" w:firstLineChars="200"/>
              <w:jc w:val="both"/>
              <w:rPr>
                <w:rFonts w:ascii="Times New Roman" w:cs="Times New Roman"/>
                <w:color w:val="auto"/>
                <w:kern w:val="0"/>
                <w:highlight w:val="none"/>
                <w:lang w:val="zh-CN"/>
              </w:rPr>
            </w:pPr>
            <w:r>
              <w:rPr>
                <w:rFonts w:ascii="Times New Roman" w:cs="Times New Roman"/>
                <w:color w:val="auto"/>
                <w:kern w:val="21"/>
                <w:highlight w:val="none"/>
              </w:rPr>
              <w:t>（4）</w:t>
            </w:r>
            <w:r>
              <w:rPr>
                <w:rFonts w:hint="eastAsia"/>
                <w:color w:val="auto"/>
                <w:highlight w:val="none"/>
              </w:rPr>
              <w:t>生态环境准入清单</w:t>
            </w:r>
          </w:p>
          <w:p>
            <w:pPr>
              <w:pStyle w:val="96"/>
              <w:ind w:firstLine="480"/>
              <w:rPr>
                <w:highlight w:val="none"/>
              </w:rPr>
            </w:pPr>
            <w:r>
              <w:rPr>
                <w:rFonts w:hint="eastAsia"/>
                <w:highlight w:val="none"/>
              </w:rPr>
              <w:t>项目位于庐山市华林镇吉山村华林板岩加工园二期，经查询江西省生态环境分区管控信息平台，本项目位置在江西省九江市庐山市重点管控单元1管控分区内（详见附图十、附图十二）。根据《九江市生态环境总体准入要求动态更新变化情况说明》及《九江市环境管控单元生态环境准入清单》，本项目的符合性分析见表1-2</w:t>
            </w:r>
            <w:r>
              <w:rPr>
                <w:rFonts w:hint="eastAsia"/>
                <w:highlight w:val="none"/>
                <w:lang w:eastAsia="zh-CN"/>
              </w:rPr>
              <w:t>～</w:t>
            </w:r>
            <w:r>
              <w:rPr>
                <w:rFonts w:hint="eastAsia"/>
                <w:highlight w:val="none"/>
              </w:rPr>
              <w:t>表1-3。</w:t>
            </w:r>
          </w:p>
          <w:p>
            <w:pPr>
              <w:widowControl/>
              <w:adjustRightInd w:val="0"/>
              <w:snapToGrid w:val="0"/>
              <w:jc w:val="center"/>
              <w:rPr>
                <w:b/>
                <w:kern w:val="0"/>
                <w:highlight w:val="none"/>
              </w:rPr>
            </w:pPr>
            <w:r>
              <w:rPr>
                <w:b/>
                <w:kern w:val="0"/>
                <w:highlight w:val="none"/>
              </w:rPr>
              <w:t>表1</w:t>
            </w:r>
            <w:r>
              <w:rPr>
                <w:rFonts w:hint="eastAsia"/>
                <w:b/>
                <w:kern w:val="0"/>
                <w:highlight w:val="none"/>
              </w:rPr>
              <w:t>-2</w:t>
            </w:r>
            <w:r>
              <w:rPr>
                <w:b/>
                <w:kern w:val="0"/>
                <w:highlight w:val="none"/>
              </w:rPr>
              <w:t xml:space="preserve"> </w:t>
            </w:r>
            <w:r>
              <w:rPr>
                <w:rFonts w:hint="eastAsia"/>
                <w:b/>
                <w:kern w:val="0"/>
                <w:highlight w:val="none"/>
              </w:rPr>
              <w:t xml:space="preserve"> </w:t>
            </w:r>
            <w:r>
              <w:rPr>
                <w:b/>
                <w:kern w:val="0"/>
                <w:highlight w:val="none"/>
              </w:rPr>
              <w:t>项目与</w:t>
            </w:r>
            <w:r>
              <w:rPr>
                <w:rFonts w:hint="eastAsia"/>
                <w:b/>
                <w:kern w:val="0"/>
                <w:highlight w:val="none"/>
              </w:rPr>
              <w:t>《九江市生态环境总体准入要求动态更新变化情况说明》</w:t>
            </w:r>
            <w:r>
              <w:rPr>
                <w:b/>
                <w:kern w:val="0"/>
                <w:highlight w:val="none"/>
              </w:rPr>
              <w:t>符合性</w:t>
            </w:r>
            <w:r>
              <w:rPr>
                <w:rFonts w:hint="eastAsia"/>
                <w:b/>
                <w:kern w:val="0"/>
                <w:highlight w:val="none"/>
              </w:rPr>
              <w:t>分析</w:t>
            </w:r>
          </w:p>
          <w:tbl>
            <w:tblPr>
              <w:tblStyle w:val="105"/>
              <w:tblW w:w="4996"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93"/>
              <w:gridCol w:w="777"/>
              <w:gridCol w:w="4032"/>
              <w:gridCol w:w="223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448" w:type="pct"/>
                  <w:tcBorders>
                    <w:tl2br w:val="nil"/>
                    <w:tr2bl w:val="nil"/>
                  </w:tcBorders>
                  <w:vAlign w:val="center"/>
                </w:tcPr>
                <w:p>
                  <w:pPr>
                    <w:adjustRightInd w:val="0"/>
                    <w:snapToGrid w:val="0"/>
                    <w:jc w:val="center"/>
                    <w:rPr>
                      <w:b/>
                      <w:bCs/>
                      <w:spacing w:val="-2"/>
                      <w:szCs w:val="21"/>
                      <w:highlight w:val="none"/>
                    </w:rPr>
                  </w:pPr>
                  <w:r>
                    <w:rPr>
                      <w:b/>
                      <w:bCs/>
                      <w:spacing w:val="-2"/>
                      <w:szCs w:val="21"/>
                      <w:highlight w:val="none"/>
                    </w:rPr>
                    <w:t>单元</w:t>
                  </w:r>
                </w:p>
                <w:p>
                  <w:pPr>
                    <w:adjustRightInd w:val="0"/>
                    <w:snapToGrid w:val="0"/>
                    <w:jc w:val="center"/>
                    <w:rPr>
                      <w:b/>
                      <w:bCs/>
                      <w:szCs w:val="21"/>
                      <w:highlight w:val="none"/>
                    </w:rPr>
                  </w:pPr>
                  <w:r>
                    <w:rPr>
                      <w:b/>
                      <w:bCs/>
                      <w:spacing w:val="-2"/>
                      <w:szCs w:val="21"/>
                      <w:highlight w:val="none"/>
                    </w:rPr>
                    <w:t>类</w:t>
                  </w:r>
                  <w:r>
                    <w:rPr>
                      <w:b/>
                      <w:bCs/>
                      <w:spacing w:val="-1"/>
                      <w:szCs w:val="21"/>
                      <w:highlight w:val="none"/>
                    </w:rPr>
                    <w:t>别</w:t>
                  </w:r>
                </w:p>
              </w:tc>
              <w:tc>
                <w:tcPr>
                  <w:tcW w:w="502" w:type="pct"/>
                  <w:tcBorders>
                    <w:tl2br w:val="nil"/>
                    <w:tr2bl w:val="nil"/>
                  </w:tcBorders>
                  <w:vAlign w:val="center"/>
                </w:tcPr>
                <w:p>
                  <w:pPr>
                    <w:adjustRightInd w:val="0"/>
                    <w:snapToGrid w:val="0"/>
                    <w:jc w:val="center"/>
                    <w:rPr>
                      <w:b/>
                      <w:bCs/>
                      <w:szCs w:val="21"/>
                      <w:highlight w:val="none"/>
                    </w:rPr>
                  </w:pPr>
                  <w:r>
                    <w:rPr>
                      <w:b/>
                      <w:bCs/>
                      <w:spacing w:val="-4"/>
                      <w:szCs w:val="21"/>
                      <w:highlight w:val="none"/>
                    </w:rPr>
                    <w:t>维</w:t>
                  </w:r>
                  <w:r>
                    <w:rPr>
                      <w:b/>
                      <w:bCs/>
                      <w:spacing w:val="-2"/>
                      <w:szCs w:val="21"/>
                      <w:highlight w:val="none"/>
                    </w:rPr>
                    <w:t>度</w:t>
                  </w:r>
                </w:p>
              </w:tc>
              <w:tc>
                <w:tcPr>
                  <w:tcW w:w="2605" w:type="pct"/>
                  <w:tcBorders>
                    <w:tl2br w:val="nil"/>
                    <w:tr2bl w:val="nil"/>
                  </w:tcBorders>
                  <w:vAlign w:val="center"/>
                </w:tcPr>
                <w:p>
                  <w:pPr>
                    <w:adjustRightInd w:val="0"/>
                    <w:snapToGrid w:val="0"/>
                    <w:jc w:val="center"/>
                    <w:rPr>
                      <w:b/>
                      <w:bCs/>
                      <w:spacing w:val="-1"/>
                      <w:szCs w:val="21"/>
                      <w:highlight w:val="none"/>
                    </w:rPr>
                  </w:pPr>
                  <w:r>
                    <w:rPr>
                      <w:rFonts w:hint="eastAsia"/>
                      <w:b/>
                      <w:bCs/>
                      <w:spacing w:val="-1"/>
                      <w:szCs w:val="21"/>
                      <w:highlight w:val="none"/>
                    </w:rPr>
                    <w:t>生态</w:t>
                  </w:r>
                  <w:r>
                    <w:rPr>
                      <w:b/>
                      <w:bCs/>
                      <w:spacing w:val="-1"/>
                      <w:szCs w:val="21"/>
                      <w:highlight w:val="none"/>
                    </w:rPr>
                    <w:t>准入要求</w:t>
                  </w:r>
                </w:p>
              </w:tc>
              <w:tc>
                <w:tcPr>
                  <w:tcW w:w="1444" w:type="pct"/>
                  <w:tcBorders>
                    <w:tl2br w:val="nil"/>
                    <w:tr2bl w:val="nil"/>
                  </w:tcBorders>
                  <w:vAlign w:val="center"/>
                </w:tcPr>
                <w:p>
                  <w:pPr>
                    <w:adjustRightInd w:val="0"/>
                    <w:snapToGrid w:val="0"/>
                    <w:jc w:val="center"/>
                    <w:rPr>
                      <w:b/>
                      <w:bCs/>
                      <w:spacing w:val="-1"/>
                      <w:szCs w:val="21"/>
                      <w:highlight w:val="none"/>
                    </w:rPr>
                  </w:pPr>
                  <w:r>
                    <w:rPr>
                      <w:rFonts w:hint="eastAsia" w:ascii="宋体" w:hAnsi="宋体" w:cs="宋体"/>
                      <w:b/>
                      <w:bCs/>
                      <w:szCs w:val="21"/>
                      <w:highlight w:val="none"/>
                    </w:rPr>
                    <w:t>符合性分析</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restart"/>
                  <w:tcBorders>
                    <w:tl2br w:val="nil"/>
                    <w:tr2bl w:val="nil"/>
                  </w:tcBorders>
                  <w:vAlign w:val="center"/>
                </w:tcPr>
                <w:p>
                  <w:pPr>
                    <w:adjustRightInd w:val="0"/>
                    <w:snapToGrid w:val="0"/>
                    <w:jc w:val="center"/>
                    <w:rPr>
                      <w:szCs w:val="21"/>
                      <w:highlight w:val="none"/>
                    </w:rPr>
                  </w:pPr>
                  <w:r>
                    <w:rPr>
                      <w:spacing w:val="-3"/>
                      <w:szCs w:val="21"/>
                      <w:highlight w:val="none"/>
                    </w:rPr>
                    <w:t>重</w:t>
                  </w:r>
                  <w:r>
                    <w:rPr>
                      <w:spacing w:val="-2"/>
                      <w:szCs w:val="21"/>
                      <w:highlight w:val="none"/>
                    </w:rPr>
                    <w:t>点管控单</w:t>
                  </w:r>
                  <w:r>
                    <w:rPr>
                      <w:szCs w:val="21"/>
                      <w:highlight w:val="none"/>
                    </w:rPr>
                    <w:t>元</w:t>
                  </w:r>
                </w:p>
              </w:tc>
              <w:tc>
                <w:tcPr>
                  <w:tcW w:w="502" w:type="pct"/>
                  <w:vMerge w:val="restart"/>
                  <w:tcBorders>
                    <w:tl2br w:val="nil"/>
                    <w:tr2bl w:val="nil"/>
                  </w:tcBorders>
                  <w:vAlign w:val="center"/>
                </w:tcPr>
                <w:p>
                  <w:pPr>
                    <w:adjustRightInd w:val="0"/>
                    <w:snapToGrid w:val="0"/>
                    <w:jc w:val="center"/>
                    <w:rPr>
                      <w:szCs w:val="21"/>
                      <w:highlight w:val="none"/>
                    </w:rPr>
                  </w:pPr>
                  <w:r>
                    <w:rPr>
                      <w:spacing w:val="-5"/>
                      <w:szCs w:val="21"/>
                      <w:highlight w:val="none"/>
                    </w:rPr>
                    <w:t>空</w:t>
                  </w:r>
                  <w:r>
                    <w:rPr>
                      <w:spacing w:val="-3"/>
                      <w:szCs w:val="21"/>
                      <w:highlight w:val="none"/>
                    </w:rPr>
                    <w:t>间布局约</w:t>
                  </w:r>
                  <w:r>
                    <w:rPr>
                      <w:szCs w:val="21"/>
                      <w:highlight w:val="none"/>
                    </w:rPr>
                    <w:t>束</w:t>
                  </w: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强化燃煤锅炉废气精细管控，不再审批35蒸吨/小时以下燃煤锅炉，不再新增燃煤导热油炉，鼓励现有燃煤锅炉、导热油炉改为清洁能源。</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w:t>
                  </w:r>
                  <w:r>
                    <w:rPr>
                      <w:rFonts w:hint="eastAsia"/>
                      <w:spacing w:val="-2"/>
                      <w:szCs w:val="21"/>
                      <w:highlight w:val="none"/>
                    </w:rPr>
                    <w:t>锅炉为生物质锅炉，</w:t>
                  </w:r>
                  <w:r>
                    <w:rPr>
                      <w:spacing w:val="-2"/>
                      <w:szCs w:val="21"/>
                      <w:highlight w:val="none"/>
                    </w:rPr>
                    <w:t>不涉及燃煤锅炉、燃煤导热油炉。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禁止新、扩建不符合国家产业布局规划的石化、现代煤化工项目和不符合国家产能置换要求的严重产能过剩项目。禁止新建、扩建不符合要求的高耗能高排放项目。</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项目不属于石化、现代煤化工项目和不符合国家产能置换要求的严重产能过剩项目。项目不属于高耗能高排放项目。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长江干流九江段、修河干流及鄱阳湖岸线1公里范围内禁止新建化工、造纸、印染、制革、冶炼等重污染项目。</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项目不在长江干流九江段、修河干流及鄱阳湖岸线1公里范围内，不属于化工、造纸、印染、制革、冶炼等重污染项目。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禁止在长江干支流、重要湖泊岸线一公里范围内新建、扩建化工园区和化工项目。</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项目不在长江干支流、重要湖泊岸线一公里范围内，不属于化工园区和化工项目。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禁止在城市湖泊水域范围内建设除防洪、改善水生态环境、跨湖桥梁、湖底隧道之外的建筑物、构筑物。</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项目不在城市湖泊水域范围内。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vAlign w:val="center"/>
                </w:tcPr>
                <w:p>
                  <w:pPr>
                    <w:adjustRightInd w:val="0"/>
                    <w:snapToGrid w:val="0"/>
                    <w:rPr>
                      <w:szCs w:val="21"/>
                      <w:highlight w:val="none"/>
                    </w:rPr>
                  </w:pPr>
                  <w:r>
                    <w:rPr>
                      <w:szCs w:val="21"/>
                      <w:highlight w:val="none"/>
                    </w:rPr>
                    <w:t>禁止在合规园区外新建、扩建钢铁、石化、化工、焦化、建材、有色、制浆造纸等高污染项目。</w:t>
                  </w:r>
                </w:p>
              </w:tc>
              <w:tc>
                <w:tcPr>
                  <w:tcW w:w="1444" w:type="pct"/>
                  <w:tcBorders>
                    <w:tl2br w:val="nil"/>
                    <w:tr2bl w:val="nil"/>
                  </w:tcBorders>
                  <w:vAlign w:val="center"/>
                </w:tcPr>
                <w:p>
                  <w:pPr>
                    <w:adjustRightInd w:val="0"/>
                    <w:snapToGrid w:val="0"/>
                    <w:textAlignment w:val="center"/>
                    <w:rPr>
                      <w:spacing w:val="-2"/>
                      <w:szCs w:val="21"/>
                      <w:highlight w:val="none"/>
                    </w:rPr>
                  </w:pPr>
                  <w:r>
                    <w:rPr>
                      <w:spacing w:val="-2"/>
                      <w:szCs w:val="21"/>
                      <w:highlight w:val="none"/>
                    </w:rPr>
                    <w:t>项目</w:t>
                  </w:r>
                  <w:r>
                    <w:rPr>
                      <w:rFonts w:hint="eastAsia"/>
                      <w:spacing w:val="-2"/>
                      <w:szCs w:val="21"/>
                      <w:highlight w:val="none"/>
                    </w:rPr>
                    <w:t>为</w:t>
                  </w:r>
                  <w:r>
                    <w:rPr>
                      <w:spacing w:val="-2"/>
                      <w:szCs w:val="21"/>
                      <w:highlight w:val="none"/>
                    </w:rPr>
                    <w:t>蛋品加工</w:t>
                  </w:r>
                  <w:r>
                    <w:rPr>
                      <w:rFonts w:hint="eastAsia"/>
                      <w:spacing w:val="-2"/>
                      <w:szCs w:val="21"/>
                      <w:highlight w:val="none"/>
                    </w:rPr>
                    <w:t>项目</w:t>
                  </w:r>
                  <w:r>
                    <w:rPr>
                      <w:spacing w:val="-2"/>
                      <w:szCs w:val="21"/>
                      <w:highlight w:val="none"/>
                    </w:rPr>
                    <w:t>，不属于钢铁、石化、化工、焦化、建材、有色、制浆造纸等高污染项目。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vAlign w:val="center"/>
                </w:tcPr>
                <w:p>
                  <w:pPr>
                    <w:adjustRightInd w:val="0"/>
                    <w:snapToGrid w:val="0"/>
                    <w:rPr>
                      <w:szCs w:val="21"/>
                      <w:highlight w:val="none"/>
                    </w:rPr>
                  </w:pPr>
                  <w:r>
                    <w:rPr>
                      <w:szCs w:val="21"/>
                      <w:highlight w:val="none"/>
                    </w:rPr>
                    <w:t>对不符合产业政策要求、以及环境风险、安全隐患突出而又无法搬迁或转型企业，依法实施关停。</w:t>
                  </w:r>
                </w:p>
              </w:tc>
              <w:tc>
                <w:tcPr>
                  <w:tcW w:w="1444" w:type="pct"/>
                  <w:tcBorders>
                    <w:tl2br w:val="nil"/>
                    <w:tr2bl w:val="nil"/>
                  </w:tcBorders>
                  <w:vAlign w:val="center"/>
                </w:tcPr>
                <w:p>
                  <w:pPr>
                    <w:adjustRightInd w:val="0"/>
                    <w:snapToGrid w:val="0"/>
                    <w:textAlignment w:val="center"/>
                    <w:rPr>
                      <w:spacing w:val="-2"/>
                      <w:szCs w:val="21"/>
                      <w:highlight w:val="none"/>
                    </w:rPr>
                  </w:pPr>
                  <w:r>
                    <w:rPr>
                      <w:spacing w:val="-2"/>
                      <w:szCs w:val="21"/>
                      <w:highlight w:val="none"/>
                    </w:rPr>
                    <w:t>项目符合产业政策要求。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vAlign w:val="center"/>
                </w:tcPr>
                <w:p>
                  <w:pPr>
                    <w:adjustRightInd w:val="0"/>
                    <w:snapToGrid w:val="0"/>
                    <w:rPr>
                      <w:szCs w:val="21"/>
                      <w:highlight w:val="none"/>
                    </w:rPr>
                  </w:pPr>
                  <w:r>
                    <w:rPr>
                      <w:szCs w:val="21"/>
                      <w:highlight w:val="none"/>
                    </w:rPr>
                    <w:t>城市建成区内的现有污染较重或严重影响环境的企业应有序搬迁改造或依法关闭。</w:t>
                  </w:r>
                </w:p>
              </w:tc>
              <w:tc>
                <w:tcPr>
                  <w:tcW w:w="1444" w:type="pct"/>
                  <w:tcBorders>
                    <w:tl2br w:val="nil"/>
                    <w:tr2bl w:val="nil"/>
                  </w:tcBorders>
                  <w:vAlign w:val="center"/>
                </w:tcPr>
                <w:p>
                  <w:pPr>
                    <w:adjustRightInd w:val="0"/>
                    <w:snapToGrid w:val="0"/>
                    <w:textAlignment w:val="center"/>
                    <w:rPr>
                      <w:spacing w:val="-2"/>
                      <w:szCs w:val="21"/>
                      <w:highlight w:val="none"/>
                    </w:rPr>
                  </w:pPr>
                  <w:r>
                    <w:rPr>
                      <w:spacing w:val="-2"/>
                      <w:szCs w:val="21"/>
                      <w:highlight w:val="none"/>
                    </w:rPr>
                    <w:t>项目不属于高污染企业。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restart"/>
                  <w:tcBorders>
                    <w:tl2br w:val="nil"/>
                    <w:tr2bl w:val="nil"/>
                  </w:tcBorders>
                  <w:vAlign w:val="center"/>
                </w:tcPr>
                <w:p>
                  <w:pPr>
                    <w:adjustRightInd w:val="0"/>
                    <w:snapToGrid w:val="0"/>
                    <w:jc w:val="center"/>
                    <w:rPr>
                      <w:szCs w:val="21"/>
                      <w:highlight w:val="none"/>
                    </w:rPr>
                  </w:pPr>
                  <w:r>
                    <w:rPr>
                      <w:spacing w:val="-4"/>
                      <w:szCs w:val="21"/>
                      <w:highlight w:val="none"/>
                    </w:rPr>
                    <w:t>污</w:t>
                  </w:r>
                  <w:r>
                    <w:rPr>
                      <w:spacing w:val="-2"/>
                      <w:szCs w:val="21"/>
                      <w:highlight w:val="none"/>
                    </w:rPr>
                    <w:t>染物排放</w:t>
                  </w:r>
                  <w:r>
                    <w:rPr>
                      <w:spacing w:val="-5"/>
                      <w:szCs w:val="21"/>
                      <w:highlight w:val="none"/>
                    </w:rPr>
                    <w:t>管</w:t>
                  </w:r>
                  <w:r>
                    <w:rPr>
                      <w:spacing w:val="-3"/>
                      <w:szCs w:val="21"/>
                      <w:highlight w:val="none"/>
                    </w:rPr>
                    <w:t>控</w:t>
                  </w:r>
                </w:p>
              </w:tc>
              <w:tc>
                <w:tcPr>
                  <w:tcW w:w="2605" w:type="pct"/>
                  <w:tcBorders>
                    <w:tl2br w:val="nil"/>
                    <w:tr2bl w:val="nil"/>
                  </w:tcBorders>
                  <w:vAlign w:val="center"/>
                </w:tcPr>
                <w:p>
                  <w:pPr>
                    <w:adjustRightInd w:val="0"/>
                    <w:snapToGrid w:val="0"/>
                    <w:rPr>
                      <w:szCs w:val="21"/>
                      <w:highlight w:val="none"/>
                    </w:rPr>
                  </w:pPr>
                  <w:r>
                    <w:rPr>
                      <w:szCs w:val="21"/>
                      <w:highlight w:val="none"/>
                    </w:rPr>
                    <w:t>“十四五”期间，全市氮氧化物、挥发性有机物、化学需氧量和氨氮等主要污染物减排量分别为4098吨、2035吨、10031吨和658吨。</w:t>
                  </w:r>
                </w:p>
              </w:tc>
              <w:tc>
                <w:tcPr>
                  <w:tcW w:w="1444" w:type="pct"/>
                  <w:tcBorders>
                    <w:tl2br w:val="nil"/>
                    <w:tr2bl w:val="nil"/>
                  </w:tcBorders>
                  <w:vAlign w:val="center"/>
                </w:tcPr>
                <w:p>
                  <w:pPr>
                    <w:adjustRightInd w:val="0"/>
                    <w:snapToGrid w:val="0"/>
                    <w:textAlignment w:val="center"/>
                    <w:rPr>
                      <w:spacing w:val="-2"/>
                      <w:szCs w:val="21"/>
                      <w:highlight w:val="none"/>
                    </w:rPr>
                  </w:pPr>
                  <w:r>
                    <w:rPr>
                      <w:spacing w:val="-2"/>
                      <w:szCs w:val="21"/>
                      <w:highlight w:val="none"/>
                    </w:rPr>
                    <w:t>项目有少量的化学需氧量、氨氮</w:t>
                  </w:r>
                  <w:r>
                    <w:rPr>
                      <w:rFonts w:hint="eastAsia"/>
                      <w:spacing w:val="-2"/>
                      <w:szCs w:val="21"/>
                      <w:highlight w:val="none"/>
                    </w:rPr>
                    <w:t>、氮氧化物</w:t>
                  </w:r>
                  <w:r>
                    <w:rPr>
                      <w:spacing w:val="-2"/>
                      <w:szCs w:val="21"/>
                      <w:highlight w:val="none"/>
                    </w:rPr>
                    <w:t>排放，满足总量控制指标要求。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vAlign w:val="center"/>
                </w:tcPr>
                <w:p>
                  <w:pPr>
                    <w:adjustRightInd w:val="0"/>
                    <w:snapToGrid w:val="0"/>
                    <w:rPr>
                      <w:szCs w:val="21"/>
                      <w:highlight w:val="none"/>
                    </w:rPr>
                  </w:pPr>
                  <w:r>
                    <w:rPr>
                      <w:szCs w:val="21"/>
                      <w:highlight w:val="none"/>
                    </w:rPr>
                    <w:t>造纸、焦化、氮肥、有色金属、印染、农副食品加工、原料药制造、制革、农药、电镀等重点行业建设项目新建、改建、扩建实施主要水污染排放总量等量或减量置换。</w:t>
                  </w:r>
                </w:p>
              </w:tc>
              <w:tc>
                <w:tcPr>
                  <w:tcW w:w="1444" w:type="pct"/>
                  <w:tcBorders>
                    <w:tl2br w:val="nil"/>
                    <w:tr2bl w:val="nil"/>
                  </w:tcBorders>
                  <w:vAlign w:val="center"/>
                </w:tcPr>
                <w:p>
                  <w:pPr>
                    <w:adjustRightInd w:val="0"/>
                    <w:snapToGrid w:val="0"/>
                    <w:rPr>
                      <w:spacing w:val="-2"/>
                      <w:szCs w:val="21"/>
                      <w:highlight w:val="none"/>
                    </w:rPr>
                  </w:pPr>
                  <w:r>
                    <w:rPr>
                      <w:spacing w:val="-2"/>
                      <w:szCs w:val="21"/>
                      <w:highlight w:val="none"/>
                    </w:rPr>
                    <w:t>本项目属于农副食品加工，</w:t>
                  </w:r>
                  <w:r>
                    <w:rPr>
                      <w:rFonts w:hint="eastAsia"/>
                      <w:spacing w:val="-2"/>
                      <w:szCs w:val="21"/>
                      <w:highlight w:val="none"/>
                    </w:rPr>
                    <w:t>项目废水经处理后用于农田灌溉，不直接外排地表水体，无需申请总量。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vAlign w:val="center"/>
                </w:tcPr>
                <w:p>
                  <w:pPr>
                    <w:adjustRightInd w:val="0"/>
                    <w:snapToGrid w:val="0"/>
                    <w:rPr>
                      <w:szCs w:val="21"/>
                      <w:highlight w:val="none"/>
                    </w:rPr>
                  </w:pPr>
                  <w:r>
                    <w:rPr>
                      <w:szCs w:val="21"/>
                      <w:highlight w:val="none"/>
                    </w:rPr>
                    <w:t>到2025年，单位生产总值二氧化碳排放确保完成省下达的指标。</w:t>
                  </w:r>
                </w:p>
              </w:tc>
              <w:tc>
                <w:tcPr>
                  <w:tcW w:w="1444" w:type="pct"/>
                  <w:tcBorders>
                    <w:tl2br w:val="nil"/>
                    <w:tr2bl w:val="nil"/>
                  </w:tcBorders>
                  <w:vAlign w:val="center"/>
                </w:tcPr>
                <w:p>
                  <w:pPr>
                    <w:adjustRightInd w:val="0"/>
                    <w:snapToGrid w:val="0"/>
                    <w:jc w:val="center"/>
                    <w:rPr>
                      <w:spacing w:val="-2"/>
                      <w:szCs w:val="21"/>
                      <w:highlight w:val="none"/>
                    </w:rPr>
                  </w:pPr>
                  <w:r>
                    <w:rPr>
                      <w:rFonts w:hint="eastAsia"/>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推进重点重金属减排，加强重金属污染综合治理，推进重点行业企业废水总铊治理。</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项目不涉及重金属排放。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持续提升工业园区污水收集处理水平，推进园区污水处理设施一级A提标改造。推进污泥减量化资源化无害化处置。</w:t>
                  </w:r>
                </w:p>
              </w:tc>
              <w:tc>
                <w:tcPr>
                  <w:tcW w:w="1444" w:type="pct"/>
                  <w:tcBorders>
                    <w:tl2br w:val="nil"/>
                    <w:tr2bl w:val="nil"/>
                  </w:tcBorders>
                  <w:shd w:val="clear" w:color="auto" w:fill="auto"/>
                  <w:vAlign w:val="center"/>
                </w:tcPr>
                <w:p>
                  <w:pPr>
                    <w:adjustRightInd w:val="0"/>
                    <w:snapToGrid w:val="0"/>
                    <w:jc w:val="center"/>
                    <w:textAlignment w:val="center"/>
                    <w:rPr>
                      <w:spacing w:val="-2"/>
                      <w:szCs w:val="21"/>
                      <w:highlight w:val="none"/>
                    </w:rPr>
                  </w:pP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对长江干流及鄱阳湖区从严审批产生有毒有害污染物的新建和改扩建项目，新建、改建、扩建重点行业项目实行主要水污染物排放等量或减量置换，严控新增污染物排放量。</w:t>
                  </w:r>
                </w:p>
              </w:tc>
              <w:tc>
                <w:tcPr>
                  <w:tcW w:w="1444" w:type="pct"/>
                  <w:tcBorders>
                    <w:tl2br w:val="nil"/>
                    <w:tr2bl w:val="nil"/>
                  </w:tcBorders>
                  <w:shd w:val="clear" w:color="auto" w:fill="auto"/>
                  <w:vAlign w:val="center"/>
                </w:tcPr>
                <w:p>
                  <w:pPr>
                    <w:adjustRightInd w:val="0"/>
                    <w:snapToGrid w:val="0"/>
                    <w:jc w:val="left"/>
                    <w:textAlignment w:val="center"/>
                    <w:rPr>
                      <w:spacing w:val="-2"/>
                      <w:szCs w:val="21"/>
                      <w:highlight w:val="none"/>
                    </w:rPr>
                  </w:pPr>
                  <w:r>
                    <w:rPr>
                      <w:spacing w:val="-2"/>
                      <w:szCs w:val="21"/>
                      <w:highlight w:val="none"/>
                    </w:rPr>
                    <w:t>项目不属于产生有毒有害污染物的项目。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大力推进挥发性有机物和氮氧化物源头协同减排，加强消耗臭氧层物质和氢氟碳化物环境管理，推进企业升级改造和区域环境综合整治。实施溶剂型工业涂料等清洁原料替代。</w:t>
                  </w:r>
                </w:p>
              </w:tc>
              <w:tc>
                <w:tcPr>
                  <w:tcW w:w="1444" w:type="pct"/>
                  <w:tcBorders>
                    <w:tl2br w:val="nil"/>
                    <w:tr2bl w:val="nil"/>
                  </w:tcBorders>
                  <w:shd w:val="clear" w:color="auto" w:fill="auto"/>
                  <w:vAlign w:val="center"/>
                </w:tcPr>
                <w:p>
                  <w:pPr>
                    <w:adjustRightInd w:val="0"/>
                    <w:snapToGrid w:val="0"/>
                    <w:jc w:val="left"/>
                    <w:textAlignment w:val="center"/>
                    <w:rPr>
                      <w:spacing w:val="-2"/>
                      <w:szCs w:val="21"/>
                      <w:highlight w:val="none"/>
                    </w:rPr>
                  </w:pPr>
                  <w:r>
                    <w:rPr>
                      <w:rFonts w:hint="eastAsia"/>
                      <w:spacing w:val="-2"/>
                      <w:szCs w:val="21"/>
                      <w:highlight w:val="none"/>
                    </w:rPr>
                    <w:t>项目氮氧化物可达标排放，无挥发性有机物排放</w:t>
                  </w: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restart"/>
                  <w:tcBorders>
                    <w:tl2br w:val="nil"/>
                    <w:tr2bl w:val="nil"/>
                  </w:tcBorders>
                  <w:vAlign w:val="center"/>
                </w:tcPr>
                <w:p>
                  <w:pPr>
                    <w:adjustRightInd w:val="0"/>
                    <w:snapToGrid w:val="0"/>
                    <w:jc w:val="center"/>
                    <w:rPr>
                      <w:szCs w:val="21"/>
                      <w:highlight w:val="none"/>
                    </w:rPr>
                  </w:pPr>
                  <w:r>
                    <w:rPr>
                      <w:spacing w:val="-2"/>
                      <w:szCs w:val="21"/>
                      <w:highlight w:val="none"/>
                    </w:rPr>
                    <w:t>环境风险防</w:t>
                  </w:r>
                  <w:r>
                    <w:rPr>
                      <w:szCs w:val="21"/>
                      <w:highlight w:val="none"/>
                    </w:rPr>
                    <w:t>控</w:t>
                  </w: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继续加强九江与南昌、九江与黄冈区域大气污染联防联控机制。</w:t>
                  </w:r>
                </w:p>
              </w:tc>
              <w:tc>
                <w:tcPr>
                  <w:tcW w:w="1444" w:type="pct"/>
                  <w:tcBorders>
                    <w:tl2br w:val="nil"/>
                    <w:tr2bl w:val="nil"/>
                  </w:tcBorders>
                  <w:shd w:val="clear" w:color="auto" w:fill="auto"/>
                  <w:vAlign w:val="center"/>
                </w:tcPr>
                <w:p>
                  <w:pPr>
                    <w:adjustRightInd w:val="0"/>
                    <w:snapToGrid w:val="0"/>
                    <w:jc w:val="center"/>
                    <w:textAlignment w:val="center"/>
                    <w:rPr>
                      <w:spacing w:val="-2"/>
                      <w:szCs w:val="21"/>
                      <w:highlight w:val="none"/>
                    </w:rPr>
                  </w:pP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加强区域污染天气监测预警体系建设，完善细颗粒物和臭氧污染天气预警应急启动、响应和解除机制。</w:t>
                  </w:r>
                </w:p>
              </w:tc>
              <w:tc>
                <w:tcPr>
                  <w:tcW w:w="1444" w:type="pct"/>
                  <w:tcBorders>
                    <w:tl2br w:val="nil"/>
                    <w:tr2bl w:val="nil"/>
                  </w:tcBorders>
                  <w:shd w:val="clear" w:color="auto" w:fill="auto"/>
                  <w:vAlign w:val="center"/>
                </w:tcPr>
                <w:p>
                  <w:pPr>
                    <w:adjustRightInd w:val="0"/>
                    <w:snapToGrid w:val="0"/>
                    <w:jc w:val="center"/>
                    <w:textAlignment w:val="center"/>
                    <w:rPr>
                      <w:spacing w:val="-2"/>
                      <w:szCs w:val="21"/>
                      <w:highlight w:val="none"/>
                    </w:rPr>
                  </w:pP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在居民集中区、医院和学校附近、重要水源涵养生态功能区等环境风险防控重点区域，禁止新建或扩建易引发环境风险的项目。</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w:t>
                  </w:r>
                  <w:r>
                    <w:rPr>
                      <w:rFonts w:hint="eastAsia"/>
                      <w:spacing w:val="-2"/>
                      <w:szCs w:val="21"/>
                      <w:highlight w:val="none"/>
                    </w:rPr>
                    <w:t>最近的</w:t>
                  </w:r>
                  <w:r>
                    <w:rPr>
                      <w:spacing w:val="-2"/>
                      <w:szCs w:val="21"/>
                      <w:highlight w:val="none"/>
                    </w:rPr>
                    <w:t>居民集中居住点</w:t>
                  </w:r>
                  <w:r>
                    <w:rPr>
                      <w:rFonts w:hint="eastAsia"/>
                      <w:spacing w:val="-2"/>
                      <w:szCs w:val="21"/>
                      <w:highlight w:val="none"/>
                    </w:rPr>
                    <w:t>为南侧160m的上头张</w:t>
                  </w:r>
                  <w:r>
                    <w:rPr>
                      <w:spacing w:val="-2"/>
                      <w:szCs w:val="21"/>
                      <w:highlight w:val="none"/>
                    </w:rPr>
                    <w:t>，项目不属于引发环境风险的项目。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定期开展涉磷行业生态环境安全隐患排查，强化湖区环境安全风险防控，提升鄱阳湖滨湖地区联防联控突发水污染事件能力。</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w:t>
                  </w:r>
                  <w:r>
                    <w:rPr>
                      <w:rFonts w:hint="eastAsia"/>
                      <w:szCs w:val="21"/>
                      <w:highlight w:val="none"/>
                    </w:rPr>
                    <w:t>废水中磷含量较低，且</w:t>
                  </w:r>
                  <w:r>
                    <w:rPr>
                      <w:rFonts w:hint="eastAsia"/>
                      <w:spacing w:val="-2"/>
                      <w:szCs w:val="21"/>
                      <w:highlight w:val="none"/>
                    </w:rPr>
                    <w:t>不属于</w:t>
                  </w:r>
                  <w:r>
                    <w:rPr>
                      <w:szCs w:val="21"/>
                      <w:highlight w:val="none"/>
                    </w:rPr>
                    <w:t>涉磷行业</w:t>
                  </w: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禁止在长江干流岸线三公里范围内和重要支流岸线一公里范围内新建、改建、扩建尾矿库、冶炼渣库和磷石膏库，以提升安全、生态环境保护水平为目的的改建除外。</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项目不属于尾矿库、冶炼渣库和磷石膏库</w:t>
                  </w:r>
                  <w:r>
                    <w:rPr>
                      <w:rFonts w:hint="eastAsia"/>
                      <w:spacing w:val="-2"/>
                      <w:szCs w:val="21"/>
                      <w:highlight w:val="none"/>
                    </w:rPr>
                    <w:t>建设项目</w:t>
                  </w: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restart"/>
                  <w:tcBorders>
                    <w:tl2br w:val="nil"/>
                    <w:tr2bl w:val="nil"/>
                  </w:tcBorders>
                  <w:vAlign w:val="center"/>
                </w:tcPr>
                <w:p>
                  <w:pPr>
                    <w:adjustRightInd w:val="0"/>
                    <w:snapToGrid w:val="0"/>
                    <w:jc w:val="center"/>
                    <w:rPr>
                      <w:szCs w:val="21"/>
                      <w:highlight w:val="none"/>
                    </w:rPr>
                  </w:pPr>
                  <w:r>
                    <w:rPr>
                      <w:spacing w:val="-4"/>
                      <w:szCs w:val="21"/>
                      <w:highlight w:val="none"/>
                    </w:rPr>
                    <w:t>资源利用效率</w:t>
                  </w:r>
                  <w:r>
                    <w:rPr>
                      <w:spacing w:val="-2"/>
                      <w:szCs w:val="21"/>
                      <w:highlight w:val="none"/>
                    </w:rPr>
                    <w:t>要求</w:t>
                  </w: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2025年九江市用水总量指标为23.41亿立方米，万元国内生产总值用水量比2020年下降17%，万元工业增加值用水量比2020年下降16%；“十四五”时期，规模以上万元工业单位增加值用水量下降18%。</w:t>
                  </w:r>
                </w:p>
              </w:tc>
              <w:tc>
                <w:tcPr>
                  <w:tcW w:w="1444" w:type="pct"/>
                  <w:tcBorders>
                    <w:tl2br w:val="nil"/>
                    <w:tr2bl w:val="nil"/>
                  </w:tcBorders>
                  <w:shd w:val="clear" w:color="auto" w:fill="auto"/>
                  <w:vAlign w:val="center"/>
                </w:tcPr>
                <w:p>
                  <w:pPr>
                    <w:adjustRightInd w:val="0"/>
                    <w:snapToGrid w:val="0"/>
                    <w:jc w:val="center"/>
                    <w:textAlignment w:val="center"/>
                    <w:rPr>
                      <w:spacing w:val="-2"/>
                      <w:szCs w:val="21"/>
                      <w:highlight w:val="none"/>
                    </w:rPr>
                  </w:pPr>
                  <w:r>
                    <w:rPr>
                      <w:rFonts w:hint="eastAsia"/>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pacing w:val="-4"/>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在城市公共供水管网供水规模能满足用水需要的地区，不得新增开采地下水，原有的自备水井应当限期封闭，经依法批准开采的矿泉水、地热水除外。</w:t>
                  </w:r>
                </w:p>
              </w:tc>
              <w:tc>
                <w:tcPr>
                  <w:tcW w:w="1444" w:type="pct"/>
                  <w:tcBorders>
                    <w:tl2br w:val="nil"/>
                    <w:tr2bl w:val="nil"/>
                  </w:tcBorders>
                  <w:shd w:val="clear" w:color="auto" w:fill="auto"/>
                  <w:vAlign w:val="center"/>
                </w:tcPr>
                <w:p>
                  <w:pPr>
                    <w:adjustRightInd w:val="0"/>
                    <w:snapToGrid w:val="0"/>
                    <w:textAlignment w:val="center"/>
                    <w:rPr>
                      <w:spacing w:val="-2"/>
                      <w:szCs w:val="21"/>
                      <w:highlight w:val="none"/>
                    </w:rPr>
                  </w:pPr>
                  <w:r>
                    <w:rPr>
                      <w:spacing w:val="-2"/>
                      <w:szCs w:val="21"/>
                      <w:highlight w:val="none"/>
                    </w:rPr>
                    <w:t>项目不涉及地下水开采。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pacing w:val="-4"/>
                      <w:szCs w:val="21"/>
                      <w:highlight w:val="none"/>
                    </w:rPr>
                  </w:pPr>
                </w:p>
              </w:tc>
              <w:tc>
                <w:tcPr>
                  <w:tcW w:w="2605" w:type="pct"/>
                  <w:tcBorders>
                    <w:tl2br w:val="nil"/>
                    <w:tr2bl w:val="nil"/>
                  </w:tcBorders>
                  <w:shd w:val="clear" w:color="auto" w:fill="auto"/>
                  <w:vAlign w:val="center"/>
                </w:tcPr>
                <w:p>
                  <w:pPr>
                    <w:adjustRightInd w:val="0"/>
                    <w:snapToGrid w:val="0"/>
                    <w:rPr>
                      <w:szCs w:val="21"/>
                      <w:highlight w:val="none"/>
                    </w:rPr>
                  </w:pPr>
                  <w:r>
                    <w:rPr>
                      <w:szCs w:val="21"/>
                      <w:highlight w:val="none"/>
                    </w:rPr>
                    <w:t>到2025年，全市单位生产总值能耗消耗比2020年下降15%。</w:t>
                  </w:r>
                </w:p>
              </w:tc>
              <w:tc>
                <w:tcPr>
                  <w:tcW w:w="1444" w:type="pct"/>
                  <w:tcBorders>
                    <w:tl2br w:val="nil"/>
                    <w:tr2bl w:val="nil"/>
                  </w:tcBorders>
                  <w:shd w:val="clear" w:color="auto" w:fill="auto"/>
                  <w:vAlign w:val="center"/>
                </w:tcPr>
                <w:p>
                  <w:pPr>
                    <w:adjustRightInd w:val="0"/>
                    <w:snapToGrid w:val="0"/>
                    <w:jc w:val="center"/>
                    <w:textAlignment w:val="center"/>
                    <w:rPr>
                      <w:spacing w:val="-2"/>
                      <w:szCs w:val="21"/>
                      <w:highlight w:val="none"/>
                    </w:rPr>
                  </w:pPr>
                  <w:r>
                    <w:rPr>
                      <w:spacing w:val="-2"/>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8" w:type="pct"/>
                  <w:vMerge w:val="continue"/>
                  <w:tcBorders>
                    <w:tl2br w:val="nil"/>
                    <w:tr2bl w:val="nil"/>
                  </w:tcBorders>
                  <w:vAlign w:val="center"/>
                </w:tcPr>
                <w:p>
                  <w:pPr>
                    <w:adjustRightInd w:val="0"/>
                    <w:snapToGrid w:val="0"/>
                    <w:jc w:val="center"/>
                    <w:rPr>
                      <w:szCs w:val="21"/>
                      <w:highlight w:val="none"/>
                    </w:rPr>
                  </w:pPr>
                </w:p>
              </w:tc>
              <w:tc>
                <w:tcPr>
                  <w:tcW w:w="502" w:type="pct"/>
                  <w:vMerge w:val="continue"/>
                  <w:tcBorders>
                    <w:tl2br w:val="nil"/>
                    <w:tr2bl w:val="nil"/>
                  </w:tcBorders>
                  <w:vAlign w:val="center"/>
                </w:tcPr>
                <w:p>
                  <w:pPr>
                    <w:adjustRightInd w:val="0"/>
                    <w:snapToGrid w:val="0"/>
                    <w:jc w:val="center"/>
                    <w:rPr>
                      <w:spacing w:val="-4"/>
                      <w:szCs w:val="21"/>
                      <w:highlight w:val="none"/>
                    </w:rPr>
                  </w:pPr>
                </w:p>
              </w:tc>
              <w:tc>
                <w:tcPr>
                  <w:tcW w:w="2605" w:type="pct"/>
                  <w:tcBorders>
                    <w:tl2br w:val="nil"/>
                    <w:tr2bl w:val="nil"/>
                  </w:tcBorders>
                  <w:vAlign w:val="center"/>
                </w:tcPr>
                <w:p>
                  <w:pPr>
                    <w:adjustRightInd w:val="0"/>
                    <w:snapToGrid w:val="0"/>
                    <w:rPr>
                      <w:szCs w:val="21"/>
                      <w:highlight w:val="none"/>
                    </w:rPr>
                  </w:pPr>
                  <w:r>
                    <w:rPr>
                      <w:szCs w:val="21"/>
                      <w:highlight w:val="none"/>
                    </w:rPr>
                    <w:t>禁止在禁燃区内新建、扩建、改建使用高污染燃料的项目，禁燃区的所有锅炉要按照使用规定全部淘汰或改造到位。</w:t>
                  </w:r>
                </w:p>
              </w:tc>
              <w:tc>
                <w:tcPr>
                  <w:tcW w:w="1444" w:type="pct"/>
                  <w:tcBorders>
                    <w:tl2br w:val="nil"/>
                    <w:tr2bl w:val="nil"/>
                  </w:tcBorders>
                  <w:vAlign w:val="center"/>
                </w:tcPr>
                <w:p>
                  <w:pPr>
                    <w:adjustRightInd w:val="0"/>
                    <w:snapToGrid w:val="0"/>
                    <w:rPr>
                      <w:spacing w:val="-2"/>
                      <w:szCs w:val="21"/>
                      <w:highlight w:val="none"/>
                    </w:rPr>
                  </w:pPr>
                  <w:r>
                    <w:rPr>
                      <w:szCs w:val="21"/>
                      <w:highlight w:val="none"/>
                    </w:rPr>
                    <w:t>本项目不</w:t>
                  </w:r>
                  <w:r>
                    <w:rPr>
                      <w:rFonts w:hint="eastAsia"/>
                      <w:szCs w:val="21"/>
                      <w:highlight w:val="none"/>
                    </w:rPr>
                    <w:t>位于</w:t>
                  </w:r>
                  <w:r>
                    <w:rPr>
                      <w:kern w:val="0"/>
                      <w:szCs w:val="21"/>
                      <w:highlight w:val="none"/>
                      <w:lang w:bidi="ar"/>
                    </w:rPr>
                    <w:t>禁燃区</w:t>
                  </w:r>
                </w:p>
              </w:tc>
            </w:tr>
          </w:tbl>
          <w:p>
            <w:pPr>
              <w:tabs>
                <w:tab w:val="left" w:pos="7821"/>
              </w:tabs>
              <w:spacing w:before="120" w:beforeLines="50" w:line="360" w:lineRule="auto"/>
              <w:jc w:val="center"/>
              <w:rPr>
                <w:b/>
                <w:kern w:val="0"/>
                <w:highlight w:val="none"/>
              </w:rPr>
            </w:pPr>
            <w:r>
              <w:rPr>
                <w:b/>
                <w:kern w:val="0"/>
                <w:highlight w:val="none"/>
              </w:rPr>
              <w:t>表</w:t>
            </w:r>
            <w:r>
              <w:rPr>
                <w:rFonts w:hint="eastAsia"/>
                <w:b/>
                <w:kern w:val="0"/>
                <w:highlight w:val="none"/>
              </w:rPr>
              <w:t>1-3  与九江市环境管控单元生态环境准入清单</w:t>
            </w:r>
            <w:r>
              <w:rPr>
                <w:b/>
                <w:kern w:val="0"/>
                <w:highlight w:val="none"/>
              </w:rPr>
              <w:t>符合性分析</w:t>
            </w:r>
          </w:p>
          <w:tbl>
            <w:tblPr>
              <w:tblStyle w:val="4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751"/>
              <w:gridCol w:w="2559"/>
              <w:gridCol w:w="283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vAlign w:val="center"/>
                </w:tcPr>
                <w:p>
                  <w:pPr>
                    <w:jc w:val="center"/>
                    <w:rPr>
                      <w:szCs w:val="21"/>
                      <w:highlight w:val="none"/>
                    </w:rPr>
                  </w:pPr>
                  <w:r>
                    <w:rPr>
                      <w:rFonts w:hint="eastAsia"/>
                      <w:szCs w:val="21"/>
                      <w:highlight w:val="none"/>
                    </w:rPr>
                    <w:t>环境管控单元编码</w:t>
                  </w:r>
                </w:p>
              </w:tc>
              <w:tc>
                <w:tcPr>
                  <w:tcW w:w="3485" w:type="pct"/>
                  <w:gridSpan w:val="2"/>
                  <w:tcBorders>
                    <w:tl2br w:val="nil"/>
                    <w:tr2bl w:val="nil"/>
                  </w:tcBorders>
                  <w:vAlign w:val="center"/>
                </w:tcPr>
                <w:p>
                  <w:pPr>
                    <w:jc w:val="center"/>
                    <w:rPr>
                      <w:szCs w:val="21"/>
                      <w:highlight w:val="none"/>
                    </w:rPr>
                  </w:pPr>
                  <w:r>
                    <w:rPr>
                      <w:rFonts w:hint="eastAsia"/>
                      <w:szCs w:val="21"/>
                      <w:highlight w:val="none"/>
                    </w:rPr>
                    <w:t>ZH36048320001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vAlign w:val="center"/>
                </w:tcPr>
                <w:p>
                  <w:pPr>
                    <w:jc w:val="center"/>
                    <w:rPr>
                      <w:szCs w:val="21"/>
                      <w:highlight w:val="none"/>
                    </w:rPr>
                  </w:pPr>
                  <w:r>
                    <w:rPr>
                      <w:rFonts w:hint="eastAsia"/>
                      <w:szCs w:val="21"/>
                      <w:highlight w:val="none"/>
                    </w:rPr>
                    <w:t>环境管控单元名称</w:t>
                  </w:r>
                </w:p>
              </w:tc>
              <w:tc>
                <w:tcPr>
                  <w:tcW w:w="3485" w:type="pct"/>
                  <w:gridSpan w:val="2"/>
                  <w:tcBorders>
                    <w:tl2br w:val="nil"/>
                    <w:tr2bl w:val="nil"/>
                  </w:tcBorders>
                  <w:vAlign w:val="center"/>
                </w:tcPr>
                <w:p>
                  <w:pPr>
                    <w:jc w:val="center"/>
                    <w:rPr>
                      <w:szCs w:val="21"/>
                      <w:highlight w:val="none"/>
                    </w:rPr>
                  </w:pPr>
                  <w:r>
                    <w:rPr>
                      <w:rFonts w:hint="eastAsia"/>
                      <w:szCs w:val="21"/>
                      <w:highlight w:val="none"/>
                    </w:rPr>
                    <w:t>江西省九江市庐山市重点管控单元1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vAlign w:val="center"/>
                </w:tcPr>
                <w:p>
                  <w:pPr>
                    <w:pStyle w:val="129"/>
                    <w:adjustRightInd w:val="0"/>
                    <w:snapToGrid w:val="0"/>
                    <w:spacing w:before="0" w:beforeAutospacing="0" w:after="0" w:afterAutospacing="0" w:line="288" w:lineRule="auto"/>
                    <w:ind w:firstLine="0" w:firstLineChars="0"/>
                    <w:jc w:val="center"/>
                    <w:rPr>
                      <w:color w:val="auto"/>
                      <w:highlight w:val="none"/>
                    </w:rPr>
                  </w:pPr>
                  <w:r>
                    <w:rPr>
                      <w:rFonts w:hint="eastAsia" w:eastAsia="宋体" w:cs="宋体"/>
                      <w:color w:val="auto"/>
                      <w:sz w:val="21"/>
                      <w:szCs w:val="21"/>
                      <w:highlight w:val="none"/>
                    </w:rPr>
                    <w:t>地理位置</w:t>
                  </w:r>
                </w:p>
              </w:tc>
              <w:tc>
                <w:tcPr>
                  <w:tcW w:w="3485" w:type="pct"/>
                  <w:gridSpan w:val="2"/>
                  <w:tcBorders>
                    <w:tl2br w:val="nil"/>
                    <w:tr2bl w:val="nil"/>
                  </w:tcBorders>
                  <w:vAlign w:val="center"/>
                </w:tcPr>
                <w:p>
                  <w:pPr>
                    <w:jc w:val="center"/>
                    <w:rPr>
                      <w:highlight w:val="none"/>
                    </w:rPr>
                  </w:pPr>
                  <w:r>
                    <w:rPr>
                      <w:rFonts w:hint="eastAsia" w:ascii="宋体" w:hAnsi="宋体" w:cs="宋体"/>
                      <w:szCs w:val="21"/>
                      <w:highlight w:val="none"/>
                    </w:rPr>
                    <w:t>江西省九江市庐山市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514" w:type="pct"/>
                  <w:gridSpan w:val="2"/>
                  <w:tcBorders>
                    <w:tl2br w:val="nil"/>
                    <w:tr2bl w:val="nil"/>
                  </w:tcBorders>
                  <w:vAlign w:val="center"/>
                </w:tcPr>
                <w:p>
                  <w:pPr>
                    <w:pStyle w:val="129"/>
                    <w:adjustRightInd w:val="0"/>
                    <w:snapToGrid w:val="0"/>
                    <w:spacing w:before="0" w:beforeAutospacing="0" w:after="0" w:afterAutospacing="0" w:line="288" w:lineRule="auto"/>
                    <w:ind w:firstLine="0" w:firstLineChars="0"/>
                    <w:jc w:val="center"/>
                    <w:rPr>
                      <w:rFonts w:eastAsia="宋体"/>
                      <w:color w:val="auto"/>
                      <w:highlight w:val="none"/>
                    </w:rPr>
                  </w:pPr>
                  <w:r>
                    <w:rPr>
                      <w:rFonts w:hint="eastAsia" w:eastAsia="宋体" w:cs="宋体"/>
                      <w:color w:val="auto"/>
                      <w:sz w:val="21"/>
                      <w:szCs w:val="21"/>
                      <w:highlight w:val="none"/>
                    </w:rPr>
                    <w:t>单元范围</w:t>
                  </w:r>
                </w:p>
              </w:tc>
              <w:tc>
                <w:tcPr>
                  <w:tcW w:w="3485" w:type="pct"/>
                  <w:gridSpan w:val="2"/>
                  <w:tcBorders>
                    <w:tl2br w:val="nil"/>
                    <w:tr2bl w:val="nil"/>
                  </w:tcBorders>
                  <w:vAlign w:val="center"/>
                </w:tcPr>
                <w:p>
                  <w:pPr>
                    <w:jc w:val="center"/>
                    <w:rPr>
                      <w:highlight w:val="none"/>
                    </w:rPr>
                  </w:pPr>
                  <w:r>
                    <w:rPr>
                      <w:rFonts w:hint="eastAsia" w:ascii="宋体" w:hAnsi="宋体" w:cs="宋体"/>
                      <w:szCs w:val="21"/>
                      <w:highlight w:val="none"/>
                    </w:rPr>
                    <w:t>主要为城镇建设区域和集中居住区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vAlign w:val="center"/>
                </w:tcPr>
                <w:p>
                  <w:pPr>
                    <w:pStyle w:val="129"/>
                    <w:adjustRightInd w:val="0"/>
                    <w:snapToGrid w:val="0"/>
                    <w:spacing w:before="0" w:beforeAutospacing="0" w:after="0" w:afterAutospacing="0" w:line="288" w:lineRule="auto"/>
                    <w:ind w:firstLine="0" w:firstLineChars="0"/>
                    <w:jc w:val="center"/>
                    <w:rPr>
                      <w:color w:val="auto"/>
                      <w:highlight w:val="none"/>
                    </w:rPr>
                  </w:pPr>
                  <w:r>
                    <w:rPr>
                      <w:rFonts w:hint="eastAsia" w:eastAsia="宋体" w:cs="宋体"/>
                      <w:color w:val="auto"/>
                      <w:sz w:val="21"/>
                      <w:szCs w:val="21"/>
                      <w:highlight w:val="none"/>
                    </w:rPr>
                    <w:t>单元特征</w:t>
                  </w:r>
                </w:p>
              </w:tc>
              <w:tc>
                <w:tcPr>
                  <w:tcW w:w="3485" w:type="pct"/>
                  <w:gridSpan w:val="2"/>
                  <w:tcBorders>
                    <w:tl2br w:val="nil"/>
                    <w:tr2bl w:val="nil"/>
                  </w:tcBorders>
                  <w:vAlign w:val="center"/>
                </w:tcPr>
                <w:p>
                  <w:pPr>
                    <w:widowControl/>
                    <w:textAlignment w:val="center"/>
                    <w:rPr>
                      <w:highlight w:val="none"/>
                    </w:rPr>
                  </w:pPr>
                  <w:r>
                    <w:rPr>
                      <w:rFonts w:hint="eastAsia" w:ascii="宋体" w:hAnsi="宋体" w:cs="宋体"/>
                      <w:szCs w:val="21"/>
                      <w:highlight w:val="none"/>
                    </w:rPr>
                    <w:t>主要涉及城镇重点区域和受体敏感区；涉及岸线为优先保护岸线。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vAlign w:val="center"/>
                </w:tcPr>
                <w:p>
                  <w:pPr>
                    <w:pStyle w:val="129"/>
                    <w:adjustRightInd w:val="0"/>
                    <w:snapToGrid w:val="0"/>
                    <w:spacing w:before="0" w:beforeAutospacing="0" w:after="0" w:afterAutospacing="0" w:line="288" w:lineRule="auto"/>
                    <w:ind w:firstLine="0" w:firstLineChars="0"/>
                    <w:jc w:val="center"/>
                    <w:rPr>
                      <w:color w:val="auto"/>
                      <w:highlight w:val="none"/>
                    </w:rPr>
                  </w:pPr>
                  <w:r>
                    <w:rPr>
                      <w:rFonts w:hint="eastAsia" w:eastAsia="宋体" w:cs="宋体"/>
                      <w:b/>
                      <w:bCs/>
                      <w:color w:val="auto"/>
                      <w:sz w:val="21"/>
                      <w:szCs w:val="21"/>
                      <w:highlight w:val="none"/>
                    </w:rPr>
                    <w:t>分类</w:t>
                  </w:r>
                </w:p>
              </w:tc>
              <w:tc>
                <w:tcPr>
                  <w:tcW w:w="1653" w:type="pct"/>
                  <w:tcBorders>
                    <w:tl2br w:val="nil"/>
                    <w:tr2bl w:val="nil"/>
                  </w:tcBorders>
                  <w:vAlign w:val="center"/>
                </w:tcPr>
                <w:p>
                  <w:pPr>
                    <w:pStyle w:val="129"/>
                    <w:adjustRightInd w:val="0"/>
                    <w:snapToGrid w:val="0"/>
                    <w:spacing w:before="0" w:beforeAutospacing="0" w:after="0" w:afterAutospacing="0" w:line="288" w:lineRule="auto"/>
                    <w:ind w:firstLine="0" w:firstLineChars="0"/>
                    <w:jc w:val="center"/>
                    <w:rPr>
                      <w:rFonts w:ascii="Times New Roman" w:hAnsi="Times New Roman" w:eastAsia="宋体"/>
                      <w:color w:val="auto"/>
                      <w:sz w:val="21"/>
                      <w:szCs w:val="21"/>
                      <w:highlight w:val="none"/>
                    </w:rPr>
                  </w:pPr>
                  <w:r>
                    <w:rPr>
                      <w:rFonts w:hint="eastAsia" w:eastAsia="宋体" w:cs="宋体"/>
                      <w:b/>
                      <w:bCs/>
                      <w:color w:val="auto"/>
                      <w:sz w:val="21"/>
                      <w:szCs w:val="21"/>
                      <w:highlight w:val="none"/>
                    </w:rPr>
                    <w:t>规划要求</w:t>
                  </w:r>
                </w:p>
              </w:tc>
              <w:tc>
                <w:tcPr>
                  <w:tcW w:w="1832" w:type="pct"/>
                  <w:tcBorders>
                    <w:tl2br w:val="nil"/>
                    <w:tr2bl w:val="nil"/>
                  </w:tcBorders>
                  <w:vAlign w:val="center"/>
                </w:tcPr>
                <w:p>
                  <w:pPr>
                    <w:pStyle w:val="129"/>
                    <w:adjustRightInd w:val="0"/>
                    <w:snapToGrid w:val="0"/>
                    <w:spacing w:before="0" w:beforeAutospacing="0" w:after="0" w:afterAutospacing="0" w:line="288" w:lineRule="auto"/>
                    <w:ind w:firstLine="0" w:firstLineChars="0"/>
                    <w:jc w:val="center"/>
                    <w:rPr>
                      <w:rFonts w:ascii="Times New Roman" w:hAnsi="Times New Roman" w:eastAsia="宋体"/>
                      <w:color w:val="auto"/>
                      <w:highlight w:val="none"/>
                    </w:rPr>
                  </w:pPr>
                  <w:r>
                    <w:rPr>
                      <w:rFonts w:hint="eastAsia" w:eastAsia="宋体" w:cs="宋体"/>
                      <w:b/>
                      <w:bCs/>
                      <w:color w:val="auto"/>
                      <w:sz w:val="21"/>
                      <w:szCs w:val="21"/>
                      <w:highlight w:val="none"/>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restart"/>
                  <w:tcBorders>
                    <w:tl2br w:val="nil"/>
                    <w:tr2bl w:val="nil"/>
                  </w:tcBorders>
                  <w:vAlign w:val="center"/>
                </w:tcPr>
                <w:p>
                  <w:pPr>
                    <w:jc w:val="center"/>
                    <w:rPr>
                      <w:highlight w:val="none"/>
                    </w:rPr>
                  </w:pPr>
                  <w:r>
                    <w:rPr>
                      <w:rFonts w:hint="eastAsia"/>
                      <w:highlight w:val="none"/>
                    </w:rPr>
                    <w:t>空间</w:t>
                  </w:r>
                  <w:r>
                    <w:rPr>
                      <w:highlight w:val="none"/>
                    </w:rPr>
                    <w:t>布局约束</w:t>
                  </w:r>
                </w:p>
              </w:tc>
              <w:tc>
                <w:tcPr>
                  <w:tcW w:w="1130" w:type="pct"/>
                  <w:tcBorders>
                    <w:tl2br w:val="nil"/>
                    <w:tr2bl w:val="nil"/>
                  </w:tcBorders>
                  <w:vAlign w:val="center"/>
                </w:tcPr>
                <w:p>
                  <w:pPr>
                    <w:tabs>
                      <w:tab w:val="left" w:pos="346"/>
                    </w:tabs>
                    <w:autoSpaceDE w:val="0"/>
                    <w:autoSpaceDN w:val="0"/>
                    <w:adjustRightInd w:val="0"/>
                    <w:rPr>
                      <w:highlight w:val="none"/>
                    </w:rPr>
                  </w:pPr>
                  <w:r>
                    <w:rPr>
                      <w:rFonts w:hint="eastAsia"/>
                      <w:highlight w:val="none"/>
                    </w:rPr>
                    <w:t>禁止开发建设活动的要求</w:t>
                  </w:r>
                </w:p>
              </w:tc>
              <w:tc>
                <w:tcPr>
                  <w:tcW w:w="1653" w:type="pct"/>
                  <w:tcBorders>
                    <w:tl2br w:val="nil"/>
                    <w:tr2bl w:val="nil"/>
                  </w:tcBorders>
                  <w:vAlign w:val="center"/>
                </w:tcPr>
                <w:p>
                  <w:pPr>
                    <w:autoSpaceDE w:val="0"/>
                    <w:autoSpaceDN w:val="0"/>
                    <w:adjustRightInd w:val="0"/>
                    <w:snapToGrid w:val="0"/>
                    <w:jc w:val="center"/>
                    <w:textAlignment w:val="baseline"/>
                    <w:rPr>
                      <w:highlight w:val="none"/>
                    </w:rPr>
                  </w:pPr>
                  <w:r>
                    <w:rPr>
                      <w:rFonts w:hint="eastAsia"/>
                      <w:highlight w:val="none"/>
                    </w:rPr>
                    <w:t>按饮用水源保护区相关管理规定执行。</w:t>
                  </w:r>
                </w:p>
              </w:tc>
              <w:tc>
                <w:tcPr>
                  <w:tcW w:w="1832" w:type="pct"/>
                  <w:tcBorders>
                    <w:tl2br w:val="nil"/>
                    <w:tr2bl w:val="nil"/>
                  </w:tcBorders>
                  <w:vAlign w:val="center"/>
                </w:tcPr>
                <w:p>
                  <w:pPr>
                    <w:autoSpaceDE w:val="0"/>
                    <w:autoSpaceDN w:val="0"/>
                    <w:adjustRightInd w:val="0"/>
                    <w:snapToGrid w:val="0"/>
                    <w:jc w:val="center"/>
                    <w:textAlignment w:val="baseline"/>
                    <w:rPr>
                      <w:highlight w:val="none"/>
                    </w:rPr>
                  </w:pPr>
                  <w:r>
                    <w:rPr>
                      <w:rFonts w:hint="eastAsia"/>
                      <w:bCs/>
                      <w:szCs w:val="21"/>
                      <w:highlight w:val="none"/>
                    </w:rPr>
                    <w:t>本项目不涉及饮用水源保护区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rFonts w:hint="eastAsia"/>
                      <w:highlight w:val="none"/>
                    </w:rPr>
                    <w:t>限制开发建设活动的要求</w:t>
                  </w:r>
                </w:p>
              </w:tc>
              <w:tc>
                <w:tcPr>
                  <w:tcW w:w="1653" w:type="pct"/>
                  <w:tcBorders>
                    <w:tl2br w:val="nil"/>
                    <w:tr2bl w:val="nil"/>
                  </w:tcBorders>
                  <w:vAlign w:val="center"/>
                </w:tcPr>
                <w:p>
                  <w:pPr>
                    <w:autoSpaceDE w:val="0"/>
                    <w:autoSpaceDN w:val="0"/>
                    <w:adjustRightInd w:val="0"/>
                    <w:snapToGrid w:val="0"/>
                    <w:textAlignment w:val="baseline"/>
                    <w:rPr>
                      <w:highlight w:val="none"/>
                    </w:rPr>
                  </w:pPr>
                  <w:r>
                    <w:rPr>
                      <w:rFonts w:hint="eastAsia"/>
                      <w:highlight w:val="none"/>
                    </w:rPr>
                    <w:t>限制引入含磷废水排放量大的项目。</w:t>
                  </w:r>
                </w:p>
              </w:tc>
              <w:tc>
                <w:tcPr>
                  <w:tcW w:w="1832" w:type="pct"/>
                  <w:tcBorders>
                    <w:tl2br w:val="nil"/>
                    <w:tr2bl w:val="nil"/>
                  </w:tcBorders>
                  <w:vAlign w:val="center"/>
                </w:tcPr>
                <w:p>
                  <w:pPr>
                    <w:autoSpaceDE w:val="0"/>
                    <w:autoSpaceDN w:val="0"/>
                    <w:adjustRightInd w:val="0"/>
                    <w:snapToGrid w:val="0"/>
                    <w:textAlignment w:val="baseline"/>
                    <w:rPr>
                      <w:highlight w:val="none"/>
                    </w:rPr>
                  </w:pPr>
                  <w:r>
                    <w:rPr>
                      <w:rFonts w:hint="eastAsia"/>
                      <w:szCs w:val="21"/>
                      <w:highlight w:val="none"/>
                    </w:rPr>
                    <w:t>项目废水中</w:t>
                  </w:r>
                  <w:r>
                    <w:rPr>
                      <w:rFonts w:hint="eastAsia"/>
                      <w:highlight w:val="none"/>
                    </w:rPr>
                    <w:t>含磷量较低</w:t>
                  </w:r>
                  <w:r>
                    <w:rPr>
                      <w:rFonts w:hint="eastAsia"/>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rFonts w:hint="eastAsia"/>
                      <w:highlight w:val="none"/>
                    </w:rPr>
                    <w:t>允许开发建设活动的要求</w:t>
                  </w:r>
                </w:p>
              </w:tc>
              <w:tc>
                <w:tcPr>
                  <w:tcW w:w="1653" w:type="pct"/>
                  <w:tcBorders>
                    <w:tl2br w:val="nil"/>
                    <w:tr2bl w:val="nil"/>
                  </w:tcBorders>
                  <w:vAlign w:val="center"/>
                </w:tcPr>
                <w:p>
                  <w:pPr>
                    <w:autoSpaceDE w:val="0"/>
                    <w:autoSpaceDN w:val="0"/>
                    <w:adjustRightInd w:val="0"/>
                    <w:snapToGrid w:val="0"/>
                    <w:jc w:val="center"/>
                    <w:textAlignment w:val="baseline"/>
                    <w:rPr>
                      <w:highlight w:val="none"/>
                    </w:rPr>
                  </w:pPr>
                  <w:r>
                    <w:rPr>
                      <w:rFonts w:hint="eastAsia"/>
                      <w:highlight w:val="none"/>
                    </w:rPr>
                    <w:t>涉及河湖（含水库）管理范围的按照相关法律法规执行。</w:t>
                  </w:r>
                </w:p>
              </w:tc>
              <w:tc>
                <w:tcPr>
                  <w:tcW w:w="1832" w:type="pct"/>
                  <w:tcBorders>
                    <w:tl2br w:val="nil"/>
                    <w:tr2bl w:val="nil"/>
                  </w:tcBorders>
                  <w:vAlign w:val="center"/>
                </w:tcPr>
                <w:p>
                  <w:pPr>
                    <w:autoSpaceDE w:val="0"/>
                    <w:autoSpaceDN w:val="0"/>
                    <w:adjustRightInd w:val="0"/>
                    <w:snapToGrid w:val="0"/>
                    <w:jc w:val="center"/>
                    <w:textAlignment w:val="baseline"/>
                    <w:rPr>
                      <w:highlight w:val="none"/>
                    </w:rPr>
                  </w:pPr>
                  <w:r>
                    <w:rPr>
                      <w:rFonts w:hint="eastAsia"/>
                      <w:bCs/>
                      <w:szCs w:val="21"/>
                      <w:highlight w:val="none"/>
                    </w:rPr>
                    <w:t>本项目不涉及</w:t>
                  </w:r>
                  <w:r>
                    <w:rPr>
                      <w:rFonts w:hint="eastAsia"/>
                      <w:highlight w:val="none"/>
                    </w:rPr>
                    <w:t>河湖（含水库）管理范围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rFonts w:hint="eastAsia"/>
                      <w:highlight w:val="none"/>
                    </w:rPr>
                    <w:t>不符合空间布局要求活动的退出要求</w:t>
                  </w:r>
                </w:p>
              </w:tc>
              <w:tc>
                <w:tcPr>
                  <w:tcW w:w="1653" w:type="pct"/>
                  <w:tcBorders>
                    <w:tl2br w:val="nil"/>
                    <w:tr2bl w:val="nil"/>
                  </w:tcBorders>
                  <w:vAlign w:val="center"/>
                </w:tcPr>
                <w:p>
                  <w:pPr>
                    <w:autoSpaceDE w:val="0"/>
                    <w:autoSpaceDN w:val="0"/>
                    <w:adjustRightInd w:val="0"/>
                    <w:snapToGrid w:val="0"/>
                    <w:textAlignment w:val="baseline"/>
                    <w:rPr>
                      <w:highlight w:val="none"/>
                    </w:rPr>
                  </w:pPr>
                  <w:r>
                    <w:rPr>
                      <w:rFonts w:hint="eastAsia"/>
                      <w:highlight w:val="none"/>
                    </w:rPr>
                    <w:t>岸线优先保护区范围内不符合要求设施或项目，逐步退出。</w:t>
                  </w:r>
                </w:p>
              </w:tc>
              <w:tc>
                <w:tcPr>
                  <w:tcW w:w="1832" w:type="pct"/>
                  <w:tcBorders>
                    <w:tl2br w:val="nil"/>
                    <w:tr2bl w:val="nil"/>
                  </w:tcBorders>
                  <w:vAlign w:val="center"/>
                </w:tcPr>
                <w:p>
                  <w:pPr>
                    <w:autoSpaceDE w:val="0"/>
                    <w:autoSpaceDN w:val="0"/>
                    <w:adjustRightInd w:val="0"/>
                    <w:snapToGrid w:val="0"/>
                    <w:textAlignment w:val="baseline"/>
                    <w:rPr>
                      <w:highlight w:val="none"/>
                    </w:rPr>
                  </w:pPr>
                  <w:r>
                    <w:rPr>
                      <w:highlight w:val="none"/>
                    </w:rPr>
                    <w:t>项目属于新建项目，项目污染物排放达标</w:t>
                  </w: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rFonts w:hint="eastAsia"/>
                      <w:highlight w:val="none"/>
                    </w:rPr>
                    <w:t>其他空间布局约束要求</w:t>
                  </w:r>
                </w:p>
              </w:tc>
              <w:tc>
                <w:tcPr>
                  <w:tcW w:w="1653" w:type="pct"/>
                  <w:tcBorders>
                    <w:tl2br w:val="nil"/>
                    <w:tr2bl w:val="nil"/>
                  </w:tcBorders>
                  <w:vAlign w:val="center"/>
                </w:tcPr>
                <w:p>
                  <w:pPr>
                    <w:autoSpaceDE w:val="0"/>
                    <w:autoSpaceDN w:val="0"/>
                    <w:adjustRightInd w:val="0"/>
                    <w:snapToGrid w:val="0"/>
                    <w:jc w:val="center"/>
                    <w:textAlignment w:val="baseline"/>
                    <w:rPr>
                      <w:highlight w:val="none"/>
                    </w:rPr>
                  </w:pPr>
                  <w:r>
                    <w:rPr>
                      <w:rFonts w:hint="eastAsia"/>
                      <w:highlight w:val="none"/>
                    </w:rPr>
                    <w:t>无</w:t>
                  </w:r>
                </w:p>
              </w:tc>
              <w:tc>
                <w:tcPr>
                  <w:tcW w:w="1832"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83" w:type="pct"/>
                  <w:vMerge w:val="restart"/>
                  <w:tcBorders>
                    <w:tl2br w:val="nil"/>
                    <w:tr2bl w:val="nil"/>
                  </w:tcBorders>
                  <w:vAlign w:val="center"/>
                </w:tcPr>
                <w:p>
                  <w:pPr>
                    <w:jc w:val="center"/>
                    <w:rPr>
                      <w:highlight w:val="none"/>
                    </w:rPr>
                  </w:pPr>
                  <w:r>
                    <w:rPr>
                      <w:rFonts w:hint="eastAsia"/>
                      <w:highlight w:val="none"/>
                    </w:rPr>
                    <w:t>污染物</w:t>
                  </w:r>
                  <w:r>
                    <w:rPr>
                      <w:highlight w:val="none"/>
                    </w:rPr>
                    <w:t>排放管</w:t>
                  </w:r>
                  <w:r>
                    <w:rPr>
                      <w:rFonts w:hint="eastAsia"/>
                      <w:highlight w:val="none"/>
                    </w:rPr>
                    <w:t>控</w:t>
                  </w:r>
                </w:p>
              </w:tc>
              <w:tc>
                <w:tcPr>
                  <w:tcW w:w="1130" w:type="pct"/>
                  <w:tcBorders>
                    <w:tl2br w:val="nil"/>
                    <w:tr2bl w:val="nil"/>
                  </w:tcBorders>
                  <w:vAlign w:val="center"/>
                </w:tcPr>
                <w:p>
                  <w:pPr>
                    <w:autoSpaceDE w:val="0"/>
                    <w:autoSpaceDN w:val="0"/>
                    <w:adjustRightInd w:val="0"/>
                    <w:rPr>
                      <w:highlight w:val="none"/>
                    </w:rPr>
                  </w:pPr>
                  <w:r>
                    <w:rPr>
                      <w:szCs w:val="21"/>
                      <w:highlight w:val="none"/>
                    </w:rPr>
                    <w:t>现有源提标升级改造</w:t>
                  </w:r>
                </w:p>
              </w:tc>
              <w:tc>
                <w:tcPr>
                  <w:tcW w:w="1653" w:type="pct"/>
                  <w:tcBorders>
                    <w:tl2br w:val="nil"/>
                    <w:tr2bl w:val="nil"/>
                  </w:tcBorders>
                  <w:vAlign w:val="center"/>
                </w:tcPr>
                <w:p>
                  <w:pPr>
                    <w:autoSpaceDE w:val="0"/>
                    <w:autoSpaceDN w:val="0"/>
                    <w:adjustRightInd w:val="0"/>
                    <w:snapToGrid w:val="0"/>
                    <w:textAlignment w:val="baseline"/>
                    <w:rPr>
                      <w:bCs/>
                      <w:szCs w:val="21"/>
                      <w:highlight w:val="none"/>
                    </w:rPr>
                  </w:pPr>
                  <w:r>
                    <w:rPr>
                      <w:bCs/>
                      <w:szCs w:val="21"/>
                      <w:highlight w:val="none"/>
                    </w:rPr>
                    <w:t>城市建成区生活污水需集中收集，其尾水排放应逐步达到一级A标准</w:t>
                  </w:r>
                  <w:r>
                    <w:rPr>
                      <w:rFonts w:hint="eastAsia"/>
                      <w:bCs/>
                      <w:szCs w:val="21"/>
                      <w:highlight w:val="none"/>
                    </w:rPr>
                    <w:t>。</w:t>
                  </w:r>
                </w:p>
              </w:tc>
              <w:tc>
                <w:tcPr>
                  <w:tcW w:w="1832" w:type="pct"/>
                  <w:tcBorders>
                    <w:tl2br w:val="nil"/>
                    <w:tr2bl w:val="nil"/>
                  </w:tcBorders>
                  <w:vAlign w:val="center"/>
                </w:tcPr>
                <w:p>
                  <w:pPr>
                    <w:autoSpaceDE w:val="0"/>
                    <w:autoSpaceDN w:val="0"/>
                    <w:adjustRightInd w:val="0"/>
                    <w:snapToGrid w:val="0"/>
                    <w:textAlignment w:val="baseline"/>
                    <w:rPr>
                      <w:bCs/>
                      <w:szCs w:val="21"/>
                      <w:highlight w:val="none"/>
                    </w:rPr>
                  </w:pPr>
                  <w:r>
                    <w:rPr>
                      <w:rFonts w:hint="eastAsia"/>
                      <w:highlight w:val="none"/>
                    </w:rPr>
                    <w:t>建设单位不属于现有</w:t>
                  </w:r>
                  <w:r>
                    <w:rPr>
                      <w:highlight w:val="none"/>
                    </w:rPr>
                    <w:t>企业</w:t>
                  </w:r>
                  <w:r>
                    <w:rPr>
                      <w:rFonts w:hint="eastAsia"/>
                      <w:highlight w:val="none"/>
                    </w:rPr>
                    <w:t>，</w:t>
                  </w:r>
                  <w:r>
                    <w:rPr>
                      <w:highlight w:val="none"/>
                    </w:rPr>
                    <w:t>项目</w:t>
                  </w:r>
                  <w:r>
                    <w:rPr>
                      <w:rFonts w:hint="eastAsia"/>
                      <w:highlight w:val="none"/>
                      <w:lang w:eastAsia="zh-CN"/>
                    </w:rPr>
                    <w:t>污水</w:t>
                  </w:r>
                  <w:r>
                    <w:rPr>
                      <w:rFonts w:hint="eastAsia"/>
                      <w:highlight w:val="none"/>
                    </w:rPr>
                    <w:t>处理站</w:t>
                  </w:r>
                  <w:r>
                    <w:rPr>
                      <w:highlight w:val="none"/>
                    </w:rPr>
                    <w:t>处理</w:t>
                  </w:r>
                  <w:r>
                    <w:rPr>
                      <w:rFonts w:hint="eastAsia"/>
                      <w:highlight w:val="none"/>
                    </w:rPr>
                    <w:t>达到《城镇污水处理厂污染物排放标准》（GB18918-2002）表1中一级A标准，其中pH值从严执行6~8.5</w:t>
                  </w:r>
                  <w:r>
                    <w:rPr>
                      <w:rFonts w:hint="eastAsia"/>
                      <w:spacing w:val="-2"/>
                      <w:szCs w:val="21"/>
                      <w:highlight w:val="none"/>
                    </w:rPr>
                    <w:t>后用于农田灌溉</w:t>
                  </w: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新增源等量或倍量替代</w:t>
                  </w:r>
                </w:p>
              </w:tc>
              <w:tc>
                <w:tcPr>
                  <w:tcW w:w="1653"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无</w:t>
                  </w:r>
                </w:p>
              </w:tc>
              <w:tc>
                <w:tcPr>
                  <w:tcW w:w="1832"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widowControl/>
                    <w:textAlignment w:val="center"/>
                    <w:rPr>
                      <w:highlight w:val="none"/>
                    </w:rPr>
                  </w:pPr>
                  <w:r>
                    <w:rPr>
                      <w:rFonts w:ascii="宋体" w:hAnsi="宋体" w:cs="宋体"/>
                      <w:kern w:val="0"/>
                      <w:szCs w:val="21"/>
                      <w:highlight w:val="none"/>
                      <w:lang w:bidi="ar"/>
                    </w:rPr>
                    <w:t>新增源排放标准限值</w:t>
                  </w:r>
                </w:p>
              </w:tc>
              <w:tc>
                <w:tcPr>
                  <w:tcW w:w="1653"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无</w:t>
                  </w:r>
                </w:p>
              </w:tc>
              <w:tc>
                <w:tcPr>
                  <w:tcW w:w="1832"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widowControl/>
                    <w:textAlignment w:val="center"/>
                    <w:rPr>
                      <w:highlight w:val="none"/>
                    </w:rPr>
                  </w:pPr>
                  <w:r>
                    <w:rPr>
                      <w:rFonts w:ascii="宋体" w:hAnsi="宋体" w:cs="宋体"/>
                      <w:kern w:val="0"/>
                      <w:szCs w:val="21"/>
                      <w:highlight w:val="none"/>
                      <w:lang w:bidi="ar"/>
                    </w:rPr>
                    <w:t>污染物排放绩效水平准入要求</w:t>
                  </w:r>
                </w:p>
              </w:tc>
              <w:tc>
                <w:tcPr>
                  <w:tcW w:w="1653"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无</w:t>
                  </w:r>
                </w:p>
              </w:tc>
              <w:tc>
                <w:tcPr>
                  <w:tcW w:w="1832"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widowControl/>
                    <w:textAlignment w:val="center"/>
                    <w:rPr>
                      <w:rFonts w:ascii="宋体" w:hAnsi="宋体" w:cs="宋体"/>
                      <w:kern w:val="0"/>
                      <w:szCs w:val="21"/>
                      <w:highlight w:val="none"/>
                      <w:lang w:bidi="ar"/>
                    </w:rPr>
                  </w:pPr>
                  <w:r>
                    <w:rPr>
                      <w:rFonts w:ascii="宋体" w:hAnsi="宋体" w:cs="宋体"/>
                      <w:kern w:val="0"/>
                      <w:szCs w:val="21"/>
                      <w:highlight w:val="none"/>
                      <w:lang w:bidi="ar"/>
                    </w:rPr>
                    <w:t>其他污染物排放管控要求</w:t>
                  </w:r>
                </w:p>
              </w:tc>
              <w:tc>
                <w:tcPr>
                  <w:tcW w:w="1653"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无</w:t>
                  </w:r>
                </w:p>
              </w:tc>
              <w:tc>
                <w:tcPr>
                  <w:tcW w:w="1832" w:type="pct"/>
                  <w:tcBorders>
                    <w:tl2br w:val="nil"/>
                    <w:tr2bl w:val="nil"/>
                  </w:tcBorders>
                  <w:vAlign w:val="center"/>
                </w:tcPr>
                <w:p>
                  <w:pPr>
                    <w:autoSpaceDE w:val="0"/>
                    <w:autoSpaceDN w:val="0"/>
                    <w:adjustRightInd w:val="0"/>
                    <w:snapToGrid w:val="0"/>
                    <w:jc w:val="center"/>
                    <w:textAlignment w:val="baseline"/>
                    <w:rPr>
                      <w:bCs/>
                      <w:szCs w:val="21"/>
                      <w:highlight w:val="none"/>
                    </w:rPr>
                  </w:pPr>
                  <w:r>
                    <w:rPr>
                      <w:rFonts w:hint="eastAsia"/>
                      <w:bCs/>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restart"/>
                  <w:tcBorders>
                    <w:tl2br w:val="nil"/>
                    <w:tr2bl w:val="nil"/>
                  </w:tcBorders>
                  <w:vAlign w:val="center"/>
                </w:tcPr>
                <w:p>
                  <w:pPr>
                    <w:jc w:val="center"/>
                    <w:rPr>
                      <w:highlight w:val="none"/>
                    </w:rPr>
                  </w:pPr>
                  <w:r>
                    <w:rPr>
                      <w:rFonts w:hint="eastAsia"/>
                      <w:highlight w:val="none"/>
                    </w:rPr>
                    <w:t>环境</w:t>
                  </w:r>
                  <w:r>
                    <w:rPr>
                      <w:highlight w:val="none"/>
                    </w:rPr>
                    <w:t>风险防范</w:t>
                  </w:r>
                </w:p>
              </w:tc>
              <w:tc>
                <w:tcPr>
                  <w:tcW w:w="1130" w:type="pct"/>
                  <w:tcBorders>
                    <w:tl2br w:val="nil"/>
                    <w:tr2bl w:val="nil"/>
                  </w:tcBorders>
                  <w:vAlign w:val="center"/>
                </w:tcPr>
                <w:p>
                  <w:pPr>
                    <w:widowControl/>
                    <w:textAlignment w:val="center"/>
                    <w:rPr>
                      <w:highlight w:val="none"/>
                    </w:rPr>
                  </w:pPr>
                  <w:r>
                    <w:rPr>
                      <w:rFonts w:hint="eastAsia" w:ascii="宋体" w:hAnsi="宋体" w:cs="宋体"/>
                      <w:kern w:val="0"/>
                      <w:szCs w:val="21"/>
                      <w:highlight w:val="none"/>
                      <w:lang w:bidi="ar"/>
                    </w:rPr>
                    <w:t>严格管控类农用地环境风险防控要求</w:t>
                  </w:r>
                </w:p>
              </w:tc>
              <w:tc>
                <w:tcPr>
                  <w:tcW w:w="1653" w:type="pct"/>
                  <w:tcBorders>
                    <w:tl2br w:val="nil"/>
                    <w:tr2bl w:val="nil"/>
                  </w:tcBorders>
                  <w:vAlign w:val="center"/>
                </w:tcPr>
                <w:p>
                  <w:pPr>
                    <w:widowControl/>
                    <w:jc w:val="center"/>
                    <w:rPr>
                      <w:highlight w:val="none"/>
                    </w:rPr>
                  </w:pPr>
                  <w:r>
                    <w:rPr>
                      <w:kern w:val="0"/>
                      <w:szCs w:val="21"/>
                      <w:highlight w:val="none"/>
                    </w:rPr>
                    <w:t>严格管控农用地，不得在污染地块种植食用农产品。</w:t>
                  </w:r>
                </w:p>
              </w:tc>
              <w:tc>
                <w:tcPr>
                  <w:tcW w:w="1832" w:type="pct"/>
                  <w:tcBorders>
                    <w:tl2br w:val="nil"/>
                    <w:tr2bl w:val="nil"/>
                  </w:tcBorders>
                  <w:vAlign w:val="center"/>
                </w:tcPr>
                <w:p>
                  <w:pPr>
                    <w:jc w:val="center"/>
                    <w:rPr>
                      <w:highlight w:val="none"/>
                    </w:rPr>
                  </w:pPr>
                  <w:r>
                    <w:rPr>
                      <w:rFonts w:hint="eastAsia"/>
                      <w:highlight w:val="none"/>
                    </w:rPr>
                    <w:t>本项目用地为二类工业用地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widowControl/>
                    <w:textAlignment w:val="center"/>
                    <w:rPr>
                      <w:highlight w:val="none"/>
                    </w:rPr>
                  </w:pPr>
                  <w:r>
                    <w:rPr>
                      <w:rFonts w:hint="eastAsia" w:ascii="宋体" w:hAnsi="宋体" w:cs="宋体"/>
                      <w:kern w:val="0"/>
                      <w:szCs w:val="21"/>
                      <w:highlight w:val="none"/>
                      <w:lang w:bidi="ar"/>
                    </w:rPr>
                    <w:t>安全利用类农用地环境风险防控要求</w:t>
                  </w:r>
                </w:p>
              </w:tc>
              <w:tc>
                <w:tcPr>
                  <w:tcW w:w="1653" w:type="pct"/>
                  <w:tcBorders>
                    <w:tl2br w:val="nil"/>
                    <w:tr2bl w:val="nil"/>
                  </w:tcBorders>
                  <w:vAlign w:val="center"/>
                </w:tcPr>
                <w:p>
                  <w:pPr>
                    <w:widowControl/>
                    <w:jc w:val="center"/>
                    <w:rPr>
                      <w:highlight w:val="none"/>
                    </w:rPr>
                  </w:pPr>
                  <w:r>
                    <w:rPr>
                      <w:kern w:val="0"/>
                      <w:szCs w:val="21"/>
                      <w:highlight w:val="none"/>
                    </w:rPr>
                    <w:t>安全利用类农用地，应制定替代种植、轮耕休耕等安全利用方案，降低农产品超标风险。</w:t>
                  </w:r>
                </w:p>
              </w:tc>
              <w:tc>
                <w:tcPr>
                  <w:tcW w:w="1832" w:type="pct"/>
                  <w:tcBorders>
                    <w:tl2br w:val="nil"/>
                    <w:tr2bl w:val="nil"/>
                  </w:tcBorders>
                  <w:vAlign w:val="center"/>
                </w:tcPr>
                <w:p>
                  <w:pPr>
                    <w:jc w:val="center"/>
                    <w:rPr>
                      <w:highlight w:val="none"/>
                    </w:rPr>
                  </w:pPr>
                  <w:r>
                    <w:rPr>
                      <w:rFonts w:hint="eastAsia"/>
                      <w:highlight w:val="none"/>
                    </w:rPr>
                    <w:t>本项目用地为二类工业用地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widowControl/>
                    <w:textAlignment w:val="center"/>
                    <w:rPr>
                      <w:highlight w:val="none"/>
                    </w:rPr>
                  </w:pPr>
                  <w:r>
                    <w:rPr>
                      <w:rFonts w:hint="eastAsia" w:ascii="宋体" w:hAnsi="宋体" w:cs="宋体"/>
                      <w:kern w:val="0"/>
                      <w:szCs w:val="21"/>
                      <w:highlight w:val="none"/>
                      <w:lang w:bidi="ar"/>
                    </w:rPr>
                    <w:t>污染地块（建设用地）环境风险防控要求</w:t>
                  </w:r>
                </w:p>
              </w:tc>
              <w:tc>
                <w:tcPr>
                  <w:tcW w:w="1653" w:type="pct"/>
                  <w:tcBorders>
                    <w:tl2br w:val="nil"/>
                    <w:tr2bl w:val="nil"/>
                  </w:tcBorders>
                  <w:vAlign w:val="center"/>
                </w:tcPr>
                <w:p>
                  <w:pPr>
                    <w:widowControl/>
                    <w:textAlignment w:val="center"/>
                    <w:rPr>
                      <w:highlight w:val="none"/>
                    </w:rPr>
                  </w:pPr>
                  <w:r>
                    <w:rPr>
                      <w:rFonts w:hint="eastAsia" w:ascii="宋体" w:hAnsi="宋体" w:cs="宋体"/>
                      <w:kern w:val="0"/>
                      <w:szCs w:val="21"/>
                      <w:highlight w:val="none"/>
                      <w:lang w:bidi="ar"/>
                    </w:rPr>
                    <w:t>已污染地块，应当依法开展土壤污染状况调查、治理与修复，符合相应用地土壤环境质量要求后，方可进入用地程序。</w:t>
                  </w:r>
                </w:p>
              </w:tc>
              <w:tc>
                <w:tcPr>
                  <w:tcW w:w="1832" w:type="pct"/>
                  <w:tcBorders>
                    <w:tl2br w:val="nil"/>
                    <w:tr2bl w:val="nil"/>
                  </w:tcBorders>
                  <w:vAlign w:val="center"/>
                </w:tcPr>
                <w:p>
                  <w:pPr>
                    <w:rPr>
                      <w:highlight w:val="none"/>
                    </w:rPr>
                  </w:pPr>
                  <w:r>
                    <w:rPr>
                      <w:rFonts w:hint="eastAsia"/>
                      <w:highlight w:val="none"/>
                    </w:rPr>
                    <w:t>本项目为新建项目，项目用地性质为二类工业用地，现状为空地，不属于污染地块。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园区风险防控体系要求</w:t>
                  </w:r>
                </w:p>
              </w:tc>
              <w:tc>
                <w:tcPr>
                  <w:tcW w:w="1653" w:type="pct"/>
                  <w:tcBorders>
                    <w:tl2br w:val="nil"/>
                    <w:tr2bl w:val="nil"/>
                  </w:tcBorders>
                  <w:vAlign w:val="center"/>
                </w:tcPr>
                <w:p>
                  <w:pPr>
                    <w:widowControl/>
                    <w:jc w:val="center"/>
                    <w:textAlignment w:val="center"/>
                    <w:rPr>
                      <w:highlight w:val="none"/>
                    </w:rPr>
                  </w:pPr>
                  <w:r>
                    <w:rPr>
                      <w:kern w:val="0"/>
                      <w:highlight w:val="none"/>
                      <w:lang w:bidi="ar"/>
                    </w:rPr>
                    <w:t>无</w:t>
                  </w:r>
                </w:p>
              </w:tc>
              <w:tc>
                <w:tcPr>
                  <w:tcW w:w="1832" w:type="pct"/>
                  <w:tcBorders>
                    <w:tl2br w:val="nil"/>
                    <w:tr2bl w:val="nil"/>
                  </w:tcBorders>
                  <w:vAlign w:val="center"/>
                </w:tcPr>
                <w:p>
                  <w:pPr>
                    <w:jc w:val="center"/>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企业环境风险防控要求</w:t>
                  </w:r>
                </w:p>
              </w:tc>
              <w:tc>
                <w:tcPr>
                  <w:tcW w:w="1653" w:type="pct"/>
                  <w:tcBorders>
                    <w:tl2br w:val="nil"/>
                    <w:tr2bl w:val="nil"/>
                  </w:tcBorders>
                  <w:vAlign w:val="center"/>
                </w:tcPr>
                <w:p>
                  <w:pPr>
                    <w:widowControl/>
                    <w:jc w:val="center"/>
                    <w:textAlignment w:val="center"/>
                    <w:rPr>
                      <w:highlight w:val="none"/>
                    </w:rPr>
                  </w:pPr>
                  <w:r>
                    <w:rPr>
                      <w:kern w:val="0"/>
                      <w:highlight w:val="none"/>
                      <w:lang w:bidi="ar"/>
                    </w:rPr>
                    <w:t>无</w:t>
                  </w:r>
                </w:p>
              </w:tc>
              <w:tc>
                <w:tcPr>
                  <w:tcW w:w="1832" w:type="pct"/>
                  <w:tcBorders>
                    <w:tl2br w:val="nil"/>
                    <w:tr2bl w:val="nil"/>
                  </w:tcBorders>
                  <w:vAlign w:val="center"/>
                </w:tcPr>
                <w:p>
                  <w:pPr>
                    <w:jc w:val="center"/>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其他环境风险防控要求</w:t>
                  </w:r>
                </w:p>
              </w:tc>
              <w:tc>
                <w:tcPr>
                  <w:tcW w:w="1653" w:type="pct"/>
                  <w:tcBorders>
                    <w:tl2br w:val="nil"/>
                    <w:tr2bl w:val="nil"/>
                  </w:tcBorders>
                  <w:vAlign w:val="center"/>
                </w:tcPr>
                <w:p>
                  <w:pPr>
                    <w:widowControl/>
                    <w:jc w:val="center"/>
                    <w:textAlignment w:val="center"/>
                    <w:rPr>
                      <w:highlight w:val="none"/>
                    </w:rPr>
                  </w:pPr>
                  <w:r>
                    <w:rPr>
                      <w:kern w:val="0"/>
                      <w:highlight w:val="none"/>
                      <w:lang w:bidi="ar"/>
                    </w:rPr>
                    <w:t>无</w:t>
                  </w:r>
                </w:p>
              </w:tc>
              <w:tc>
                <w:tcPr>
                  <w:tcW w:w="1832" w:type="pct"/>
                  <w:tcBorders>
                    <w:tl2br w:val="nil"/>
                    <w:tr2bl w:val="nil"/>
                  </w:tcBorders>
                  <w:vAlign w:val="center"/>
                </w:tcPr>
                <w:p>
                  <w:pPr>
                    <w:jc w:val="center"/>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vMerge w:val="restart"/>
                  <w:tcBorders>
                    <w:tl2br w:val="nil"/>
                    <w:tr2bl w:val="nil"/>
                  </w:tcBorders>
                  <w:vAlign w:val="center"/>
                </w:tcPr>
                <w:p>
                  <w:pPr>
                    <w:jc w:val="center"/>
                    <w:rPr>
                      <w:highlight w:val="none"/>
                    </w:rPr>
                  </w:pPr>
                  <w:r>
                    <w:rPr>
                      <w:rFonts w:hint="eastAsia"/>
                      <w:highlight w:val="none"/>
                    </w:rPr>
                    <w:t>资源</w:t>
                  </w:r>
                  <w:r>
                    <w:rPr>
                      <w:highlight w:val="none"/>
                    </w:rPr>
                    <w:t>利用效率</w:t>
                  </w:r>
                  <w:r>
                    <w:rPr>
                      <w:rFonts w:hint="eastAsia"/>
                      <w:highlight w:val="none"/>
                    </w:rPr>
                    <w:t>要求</w:t>
                  </w:r>
                </w:p>
              </w:tc>
              <w:tc>
                <w:tcPr>
                  <w:tcW w:w="1130" w:type="pct"/>
                  <w:tcBorders>
                    <w:tl2br w:val="nil"/>
                    <w:tr2bl w:val="nil"/>
                  </w:tcBorders>
                  <w:vAlign w:val="center"/>
                </w:tcPr>
                <w:p>
                  <w:pPr>
                    <w:autoSpaceDE w:val="0"/>
                    <w:autoSpaceDN w:val="0"/>
                    <w:adjustRightInd w:val="0"/>
                    <w:rPr>
                      <w:highlight w:val="none"/>
                    </w:rPr>
                  </w:pPr>
                  <w:r>
                    <w:rPr>
                      <w:szCs w:val="21"/>
                      <w:highlight w:val="none"/>
                    </w:rPr>
                    <w:t>水资源利用效率要求</w:t>
                  </w:r>
                </w:p>
              </w:tc>
              <w:tc>
                <w:tcPr>
                  <w:tcW w:w="1653" w:type="pct"/>
                  <w:tcBorders>
                    <w:tl2br w:val="nil"/>
                    <w:tr2bl w:val="nil"/>
                  </w:tcBorders>
                  <w:vAlign w:val="center"/>
                </w:tcPr>
                <w:p>
                  <w:pPr>
                    <w:widowControl/>
                    <w:jc w:val="center"/>
                    <w:textAlignment w:val="center"/>
                    <w:rPr>
                      <w:highlight w:val="none"/>
                    </w:rPr>
                  </w:pPr>
                  <w:r>
                    <w:rPr>
                      <w:kern w:val="0"/>
                      <w:highlight w:val="none"/>
                      <w:lang w:bidi="ar"/>
                    </w:rPr>
                    <w:t>无</w:t>
                  </w:r>
                </w:p>
              </w:tc>
              <w:tc>
                <w:tcPr>
                  <w:tcW w:w="1832" w:type="pct"/>
                  <w:tcBorders>
                    <w:tl2br w:val="nil"/>
                    <w:tr2bl w:val="nil"/>
                  </w:tcBorders>
                  <w:vAlign w:val="center"/>
                </w:tcPr>
                <w:p>
                  <w:pPr>
                    <w:jc w:val="center"/>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地下水开采要求</w:t>
                  </w:r>
                </w:p>
              </w:tc>
              <w:tc>
                <w:tcPr>
                  <w:tcW w:w="1653" w:type="pct"/>
                  <w:tcBorders>
                    <w:tl2br w:val="nil"/>
                    <w:tr2bl w:val="nil"/>
                  </w:tcBorders>
                  <w:vAlign w:val="center"/>
                </w:tcPr>
                <w:p>
                  <w:pPr>
                    <w:widowControl/>
                    <w:textAlignment w:val="center"/>
                    <w:rPr>
                      <w:highlight w:val="none"/>
                    </w:rPr>
                  </w:pPr>
                  <w:r>
                    <w:rPr>
                      <w:kern w:val="0"/>
                      <w:highlight w:val="none"/>
                      <w:lang w:bidi="ar"/>
                    </w:rPr>
                    <w:t>按江西省水资源条例执行</w:t>
                  </w:r>
                  <w:r>
                    <w:rPr>
                      <w:rFonts w:hint="eastAsia"/>
                      <w:kern w:val="0"/>
                      <w:highlight w:val="none"/>
                      <w:lang w:bidi="ar"/>
                    </w:rPr>
                    <w:t>。</w:t>
                  </w:r>
                </w:p>
              </w:tc>
              <w:tc>
                <w:tcPr>
                  <w:tcW w:w="1832" w:type="pct"/>
                  <w:tcBorders>
                    <w:tl2br w:val="nil"/>
                    <w:tr2bl w:val="nil"/>
                  </w:tcBorders>
                  <w:vAlign w:val="center"/>
                </w:tcPr>
                <w:p>
                  <w:pPr>
                    <w:rPr>
                      <w:highlight w:val="none"/>
                    </w:rPr>
                  </w:pPr>
                  <w:r>
                    <w:rPr>
                      <w:rFonts w:hint="eastAsia"/>
                      <w:highlight w:val="none"/>
                    </w:rPr>
                    <w:t>项目不涉及</w:t>
                  </w:r>
                  <w:r>
                    <w:rPr>
                      <w:highlight w:val="none"/>
                    </w:rPr>
                    <w:t>地下水开采</w:t>
                  </w: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能源利用效率要求</w:t>
                  </w:r>
                </w:p>
              </w:tc>
              <w:tc>
                <w:tcPr>
                  <w:tcW w:w="1653" w:type="pct"/>
                  <w:tcBorders>
                    <w:tl2br w:val="nil"/>
                    <w:tr2bl w:val="nil"/>
                  </w:tcBorders>
                  <w:vAlign w:val="center"/>
                </w:tcPr>
                <w:p>
                  <w:pPr>
                    <w:autoSpaceDE w:val="0"/>
                    <w:autoSpaceDN w:val="0"/>
                    <w:adjustRightInd w:val="0"/>
                    <w:rPr>
                      <w:highlight w:val="none"/>
                    </w:rPr>
                  </w:pPr>
                  <w:r>
                    <w:rPr>
                      <w:rFonts w:hint="eastAsia"/>
                      <w:szCs w:val="21"/>
                      <w:highlight w:val="none"/>
                    </w:rPr>
                    <w:t>无</w:t>
                  </w:r>
                </w:p>
              </w:tc>
              <w:tc>
                <w:tcPr>
                  <w:tcW w:w="1832" w:type="pct"/>
                  <w:tcBorders>
                    <w:tl2br w:val="nil"/>
                    <w:tr2bl w:val="nil"/>
                  </w:tcBorders>
                  <w:vAlign w:val="center"/>
                </w:tcPr>
                <w:p>
                  <w:pPr>
                    <w:jc w:val="center"/>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jc w:val="center"/>
                    <w:rPr>
                      <w:highlight w:val="none"/>
                    </w:rPr>
                  </w:pPr>
                </w:p>
              </w:tc>
              <w:tc>
                <w:tcPr>
                  <w:tcW w:w="1130" w:type="pct"/>
                  <w:tcBorders>
                    <w:tl2br w:val="nil"/>
                    <w:tr2bl w:val="nil"/>
                  </w:tcBorders>
                  <w:vAlign w:val="center"/>
                </w:tcPr>
                <w:p>
                  <w:pPr>
                    <w:autoSpaceDE w:val="0"/>
                    <w:autoSpaceDN w:val="0"/>
                    <w:adjustRightInd w:val="0"/>
                    <w:rPr>
                      <w:highlight w:val="none"/>
                    </w:rPr>
                  </w:pPr>
                  <w:r>
                    <w:rPr>
                      <w:szCs w:val="21"/>
                      <w:highlight w:val="none"/>
                    </w:rPr>
                    <w:t>其他资源利用效率要求</w:t>
                  </w:r>
                </w:p>
              </w:tc>
              <w:tc>
                <w:tcPr>
                  <w:tcW w:w="1653" w:type="pct"/>
                  <w:tcBorders>
                    <w:tl2br w:val="nil"/>
                    <w:tr2bl w:val="nil"/>
                  </w:tcBorders>
                  <w:vAlign w:val="center"/>
                </w:tcPr>
                <w:p>
                  <w:pPr>
                    <w:autoSpaceDE w:val="0"/>
                    <w:autoSpaceDN w:val="0"/>
                    <w:adjustRightInd w:val="0"/>
                    <w:rPr>
                      <w:highlight w:val="none"/>
                    </w:rPr>
                  </w:pPr>
                  <w:r>
                    <w:rPr>
                      <w:rFonts w:hint="eastAsia"/>
                      <w:szCs w:val="21"/>
                      <w:highlight w:val="none"/>
                    </w:rPr>
                    <w:t>重点管控岸线按开发利用岸线管理要求执行。</w:t>
                  </w:r>
                </w:p>
              </w:tc>
              <w:tc>
                <w:tcPr>
                  <w:tcW w:w="1832" w:type="pct"/>
                  <w:tcBorders>
                    <w:tl2br w:val="nil"/>
                    <w:tr2bl w:val="nil"/>
                  </w:tcBorders>
                  <w:vAlign w:val="center"/>
                </w:tcPr>
                <w:p>
                  <w:pPr>
                    <w:jc w:val="center"/>
                    <w:rPr>
                      <w:highlight w:val="none"/>
                    </w:rPr>
                  </w:pPr>
                  <w:r>
                    <w:rPr>
                      <w:rFonts w:hint="eastAsia"/>
                      <w:highlight w:val="none"/>
                    </w:rPr>
                    <w:t>本项目不涉及重点管控岸线。</w:t>
                  </w:r>
                </w:p>
              </w:tc>
            </w:tr>
          </w:tbl>
          <w:p>
            <w:pPr>
              <w:spacing w:line="360" w:lineRule="auto"/>
              <w:ind w:firstLine="481" w:firstLineChars="200"/>
              <w:rPr>
                <w:sz w:val="24"/>
                <w:szCs w:val="22"/>
                <w:highlight w:val="none"/>
              </w:rPr>
            </w:pPr>
            <w:r>
              <w:rPr>
                <w:rFonts w:hint="eastAsia"/>
                <w:b/>
                <w:bCs/>
                <w:sz w:val="24"/>
                <w:szCs w:val="22"/>
                <w:highlight w:val="none"/>
              </w:rPr>
              <w:t>4、与《鄱阳湖生态经济区环境保护条例》符合性分析</w:t>
            </w:r>
          </w:p>
          <w:p>
            <w:pPr>
              <w:pStyle w:val="96"/>
              <w:ind w:firstLine="480"/>
              <w:rPr>
                <w:highlight w:val="none"/>
              </w:rPr>
            </w:pPr>
            <w:r>
              <w:rPr>
                <w:highlight w:val="none"/>
              </w:rPr>
              <w:t>根据《鄱阳湖生态经济区环境保护条例》（江西省人民代表大会常务委员会公告第96号），鄱阳湖生态经济区分为湖体核心保护区、滨湖控制开发带和高效集约发展区。本项目位于</w:t>
            </w:r>
            <w:r>
              <w:rPr>
                <w:rFonts w:hint="eastAsia"/>
                <w:highlight w:val="none"/>
              </w:rPr>
              <w:t>江西省九江市庐山市华林镇吉山村（详见附图十三）</w:t>
            </w:r>
            <w:r>
              <w:rPr>
                <w:highlight w:val="none"/>
              </w:rPr>
              <w:t>，</w:t>
            </w:r>
            <w:r>
              <w:rPr>
                <w:rFonts w:hint="eastAsia"/>
                <w:highlight w:val="none"/>
              </w:rPr>
              <w:t>属于</w:t>
            </w:r>
            <w:r>
              <w:rPr>
                <w:highlight w:val="none"/>
              </w:rPr>
              <w:t>滨湖控制开发带</w:t>
            </w:r>
            <w:r>
              <w:rPr>
                <w:rFonts w:hint="eastAsia"/>
                <w:highlight w:val="none"/>
              </w:rPr>
              <w:t>。</w:t>
            </w:r>
          </w:p>
          <w:p>
            <w:pPr>
              <w:pStyle w:val="96"/>
              <w:ind w:firstLine="480"/>
              <w:rPr>
                <w:highlight w:val="none"/>
              </w:rPr>
            </w:pPr>
            <w:r>
              <w:rPr>
                <w:highlight w:val="none"/>
              </w:rPr>
              <w:t>根据《鄱阳湖生态经济区环境保护条例》第二十九条规定，滨湖控制开发带内建设项目应当符合国家和省产业政策以及沿湖岸线资源保护与利用规划。禁止新建、改建、</w:t>
            </w:r>
            <w:r>
              <w:rPr>
                <w:rFonts w:hint="eastAsia"/>
                <w:highlight w:val="none"/>
              </w:rPr>
              <w:t>新建</w:t>
            </w:r>
            <w:r>
              <w:rPr>
                <w:highlight w:val="none"/>
              </w:rPr>
              <w:t>化学制浆造纸、印染、制革、电镀等排放含磷、氮、重金属等污染物的企业和项目。第四十九条</w:t>
            </w:r>
            <w:r>
              <w:rPr>
                <w:rFonts w:hint="eastAsia"/>
                <w:highlight w:val="none"/>
              </w:rPr>
              <w:t>规定，</w:t>
            </w:r>
            <w:r>
              <w:rPr>
                <w:highlight w:val="none"/>
              </w:rPr>
              <w:t>在鄱阳湖生态经济区内开发利用自然资源应当采取有效措施防止环境污染和生态破坏。造成环境污染和生态破坏的开发利用者应当承担整治恢复责任。拒不履行整治恢复责任或者整治恢复不符合要求的由县级以上人民政府环境保护主管部门或者资源管理主管部门组织有治理能力的其他单位代为整治恢复所需费用由开发利用者承担。开发利用者拒不承担所需费用的由组织代为整治恢复的主管部门责令限期缴纳开发利用者逾期仍不缴纳的由组织代为整治恢复的主管部门依法申请人民法院强制执行。</w:t>
            </w:r>
          </w:p>
          <w:p>
            <w:pPr>
              <w:pStyle w:val="96"/>
              <w:ind w:firstLine="480"/>
              <w:rPr>
                <w:highlight w:val="none"/>
              </w:rPr>
            </w:pPr>
            <w:r>
              <w:rPr>
                <w:highlight w:val="none"/>
              </w:rPr>
              <w:t>本项目</w:t>
            </w:r>
            <w:r>
              <w:rPr>
                <w:rFonts w:hint="eastAsia"/>
                <w:highlight w:val="none"/>
              </w:rPr>
              <w:t>为新</w:t>
            </w:r>
            <w:r>
              <w:rPr>
                <w:highlight w:val="none"/>
              </w:rPr>
              <w:t>建项目，不属于化学制浆造纸、印染、制革、电镀等排放含磷、氮、重金属等污染物的项目；本项目生产</w:t>
            </w:r>
            <w:r>
              <w:rPr>
                <w:rFonts w:hint="eastAsia"/>
                <w:highlight w:val="none"/>
              </w:rPr>
              <w:t>废水</w:t>
            </w:r>
            <w:r>
              <w:rPr>
                <w:highlight w:val="none"/>
              </w:rPr>
              <w:t>与经化粪池预处理后的生活污水一起排入厂区污水处理站处理，达到</w:t>
            </w:r>
            <w:r>
              <w:rPr>
                <w:rFonts w:hint="default" w:ascii="Times New Roman" w:hAnsi="Times New Roman" w:eastAsia="宋体" w:cs="Times New Roman"/>
                <w:color w:val="0000FF"/>
                <w:highlight w:val="none"/>
              </w:rPr>
              <w:t>《城镇污水处理厂污染物排放标准》（GB18918-2002）表1中一级A标准，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highlight w:val="none"/>
              </w:rPr>
              <w:t>后，部分回用于厂区绿化，其余外排至</w:t>
            </w:r>
            <w:r>
              <w:rPr>
                <w:rFonts w:hint="eastAsia"/>
                <w:highlight w:val="none"/>
              </w:rPr>
              <w:t>企业租用的</w:t>
            </w:r>
            <w:r>
              <w:rPr>
                <w:highlight w:val="none"/>
              </w:rPr>
              <w:t>池塘</w:t>
            </w:r>
            <w:r>
              <w:rPr>
                <w:rFonts w:hint="eastAsia"/>
                <w:highlight w:val="none"/>
              </w:rPr>
              <w:t>后</w:t>
            </w:r>
            <w:r>
              <w:rPr>
                <w:highlight w:val="none"/>
              </w:rPr>
              <w:t>用于农田灌溉，故本项目符合《鄱阳湖生态经济区环境保护条例》中的相关要求。</w:t>
            </w:r>
          </w:p>
          <w:p>
            <w:pPr>
              <w:spacing w:line="360" w:lineRule="auto"/>
              <w:ind w:firstLine="481" w:firstLineChars="200"/>
              <w:rPr>
                <w:sz w:val="24"/>
                <w:szCs w:val="22"/>
                <w:highlight w:val="none"/>
              </w:rPr>
            </w:pPr>
            <w:r>
              <w:rPr>
                <w:rFonts w:hint="eastAsia"/>
                <w:b/>
                <w:bCs/>
                <w:sz w:val="24"/>
                <w:szCs w:val="22"/>
                <w:highlight w:val="none"/>
              </w:rPr>
              <w:t>5、与长江经济带发展负面清单符合性分析</w:t>
            </w:r>
          </w:p>
          <w:p>
            <w:pPr>
              <w:pStyle w:val="115"/>
              <w:adjustRightInd/>
              <w:snapToGrid/>
              <w:ind w:firstLine="480"/>
              <w:rPr>
                <w:b/>
                <w:highlight w:val="none"/>
              </w:rPr>
            </w:pPr>
            <w:r>
              <w:rPr>
                <w:kern w:val="21"/>
                <w:highlight w:val="none"/>
              </w:rPr>
              <w:t>本项目与长江经济带发展负面清单</w:t>
            </w:r>
            <w:r>
              <w:rPr>
                <w:highlight w:val="none"/>
              </w:rPr>
              <w:t>符合性</w:t>
            </w:r>
            <w:r>
              <w:rPr>
                <w:kern w:val="21"/>
                <w:highlight w:val="none"/>
              </w:rPr>
              <w:t>分析见表</w:t>
            </w:r>
            <w:r>
              <w:rPr>
                <w:rFonts w:hint="eastAsia"/>
                <w:kern w:val="21"/>
                <w:highlight w:val="none"/>
              </w:rPr>
              <w:t>1-4</w:t>
            </w:r>
            <w:r>
              <w:rPr>
                <w:kern w:val="21"/>
                <w:highlight w:val="none"/>
              </w:rPr>
              <w:t>。</w:t>
            </w:r>
          </w:p>
          <w:p>
            <w:pPr>
              <w:widowControl/>
              <w:adjustRightInd w:val="0"/>
              <w:snapToGrid w:val="0"/>
              <w:jc w:val="center"/>
              <w:rPr>
                <w:b/>
                <w:kern w:val="0"/>
                <w:highlight w:val="none"/>
              </w:rPr>
            </w:pPr>
            <w:r>
              <w:rPr>
                <w:b/>
                <w:kern w:val="0"/>
                <w:highlight w:val="none"/>
              </w:rPr>
              <w:t>表</w:t>
            </w:r>
            <w:r>
              <w:rPr>
                <w:rFonts w:hint="eastAsia"/>
                <w:b/>
                <w:kern w:val="0"/>
                <w:highlight w:val="none"/>
              </w:rPr>
              <w:t>1-4</w:t>
            </w:r>
            <w:r>
              <w:rPr>
                <w:b/>
                <w:kern w:val="0"/>
                <w:highlight w:val="none"/>
              </w:rPr>
              <w:t xml:space="preserve"> </w:t>
            </w:r>
            <w:r>
              <w:rPr>
                <w:rFonts w:hint="eastAsia"/>
                <w:b/>
                <w:kern w:val="0"/>
                <w:highlight w:val="none"/>
              </w:rPr>
              <w:t xml:space="preserve"> 与长江经济带发展负面清单符合性分析</w:t>
            </w:r>
          </w:p>
          <w:tbl>
            <w:tblPr>
              <w:tblStyle w:val="39"/>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699"/>
              <w:gridCol w:w="30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1" w:hRule="atLeast"/>
                <w:jc w:val="center"/>
              </w:trPr>
              <w:tc>
                <w:tcPr>
                  <w:tcW w:w="7743" w:type="dxa"/>
                  <w:gridSpan w:val="2"/>
                  <w:tcBorders>
                    <w:top w:val="single" w:color="000000" w:sz="4" w:space="0"/>
                  </w:tcBorders>
                  <w:vAlign w:val="center"/>
                </w:tcPr>
                <w:p>
                  <w:pPr>
                    <w:rPr>
                      <w:b/>
                      <w:szCs w:val="21"/>
                      <w:highlight w:val="none"/>
                    </w:rPr>
                  </w:pPr>
                  <w:r>
                    <w:rPr>
                      <w:rFonts w:hint="eastAsia"/>
                      <w:b/>
                      <w:kern w:val="0"/>
                      <w:highlight w:val="none"/>
                    </w:rPr>
                    <w:t>一、推动长江经济带发展领导小组办公室文件关于印发《长江经济带发展负面清单指南（试行，2022年版）的通知》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tcBorders>
                    <w:top w:val="single" w:color="000000" w:sz="4" w:space="0"/>
                  </w:tcBorders>
                  <w:vAlign w:val="center"/>
                </w:tcPr>
                <w:p>
                  <w:pPr>
                    <w:jc w:val="center"/>
                    <w:rPr>
                      <w:b/>
                      <w:szCs w:val="21"/>
                      <w:highlight w:val="none"/>
                    </w:rPr>
                  </w:pPr>
                  <w:r>
                    <w:rPr>
                      <w:b/>
                      <w:szCs w:val="21"/>
                      <w:highlight w:val="none"/>
                    </w:rPr>
                    <w:t>内容</w:t>
                  </w:r>
                </w:p>
              </w:tc>
              <w:tc>
                <w:tcPr>
                  <w:tcW w:w="3044" w:type="dxa"/>
                  <w:tcBorders>
                    <w:top w:val="single" w:color="000000" w:sz="4" w:space="0"/>
                  </w:tcBorders>
                  <w:vAlign w:val="center"/>
                </w:tcPr>
                <w:p>
                  <w:pPr>
                    <w:jc w:val="center"/>
                    <w:rPr>
                      <w:b/>
                      <w:szCs w:val="21"/>
                      <w:highlight w:val="none"/>
                    </w:rPr>
                  </w:pPr>
                  <w:r>
                    <w:rPr>
                      <w:b/>
                      <w:szCs w:val="21"/>
                      <w:highlight w:val="none"/>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1.禁止建设不符合全国和省级港口布局规划以及港口总体规划的码头项目，禁止建设不符合《长江干线过江通道布局规划》的过长江通道项目。</w:t>
                  </w:r>
                </w:p>
              </w:tc>
              <w:tc>
                <w:tcPr>
                  <w:tcW w:w="3044" w:type="dxa"/>
                  <w:vAlign w:val="center"/>
                </w:tcPr>
                <w:p>
                  <w:pPr>
                    <w:rPr>
                      <w:b/>
                      <w:szCs w:val="21"/>
                      <w:highlight w:val="none"/>
                    </w:rPr>
                  </w:pPr>
                  <w:r>
                    <w:rPr>
                      <w:szCs w:val="21"/>
                      <w:highlight w:val="none"/>
                    </w:rPr>
                    <w:t>本项目不属于码头</w:t>
                  </w:r>
                  <w:r>
                    <w:rPr>
                      <w:rFonts w:hint="eastAsia"/>
                      <w:szCs w:val="21"/>
                      <w:highlight w:val="none"/>
                    </w:rPr>
                    <w:t>及</w:t>
                  </w:r>
                  <w:r>
                    <w:rPr>
                      <w:szCs w:val="21"/>
                      <w:highlight w:val="none"/>
                    </w:rPr>
                    <w:t>过长江通道项目</w:t>
                  </w:r>
                  <w:r>
                    <w:rPr>
                      <w:rFonts w:hint="eastAsia"/>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2.禁止在自然保护区核心区、缓冲区的岸线和河段范围内投资建设旅游和生产经营项目。禁止在风景名胜区核心景区的岸线和河段范围内投资建设与风景名胜资源保护无关的项目。</w:t>
                  </w:r>
                </w:p>
              </w:tc>
              <w:tc>
                <w:tcPr>
                  <w:tcW w:w="3044" w:type="dxa"/>
                  <w:vAlign w:val="center"/>
                </w:tcPr>
                <w:p>
                  <w:pPr>
                    <w:rPr>
                      <w:b/>
                      <w:szCs w:val="21"/>
                      <w:highlight w:val="none"/>
                    </w:rPr>
                  </w:pPr>
                  <w:r>
                    <w:rPr>
                      <w:szCs w:val="21"/>
                      <w:highlight w:val="none"/>
                    </w:rPr>
                    <w:t>本项目不</w:t>
                  </w:r>
                  <w:r>
                    <w:rPr>
                      <w:kern w:val="0"/>
                      <w:szCs w:val="21"/>
                      <w:highlight w:val="none"/>
                      <w:lang w:bidi="ar"/>
                    </w:rPr>
                    <w:t>在自然保护区核心区、缓冲区的岸线和河段范围内</w:t>
                  </w:r>
                  <w:r>
                    <w:rPr>
                      <w:rFonts w:hint="eastAsia"/>
                      <w:kern w:val="0"/>
                      <w:szCs w:val="21"/>
                      <w:highlight w:val="none"/>
                      <w:lang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3.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3044" w:type="dxa"/>
                  <w:vAlign w:val="center"/>
                </w:tcPr>
                <w:p>
                  <w:pPr>
                    <w:rPr>
                      <w:szCs w:val="21"/>
                      <w:highlight w:val="none"/>
                    </w:rPr>
                  </w:pPr>
                  <w:r>
                    <w:rPr>
                      <w:szCs w:val="21"/>
                      <w:highlight w:val="none"/>
                    </w:rPr>
                    <w:t>本项目不</w:t>
                  </w:r>
                  <w:r>
                    <w:rPr>
                      <w:kern w:val="0"/>
                      <w:szCs w:val="21"/>
                      <w:highlight w:val="none"/>
                      <w:lang w:bidi="ar"/>
                    </w:rPr>
                    <w:t>在饮用水水源</w:t>
                  </w:r>
                  <w:r>
                    <w:rPr>
                      <w:rFonts w:hint="eastAsia"/>
                      <w:kern w:val="0"/>
                      <w:szCs w:val="21"/>
                      <w:highlight w:val="none"/>
                      <w:lang w:bidi="ar"/>
                    </w:rPr>
                    <w:t>一</w:t>
                  </w:r>
                  <w:r>
                    <w:rPr>
                      <w:kern w:val="0"/>
                      <w:szCs w:val="21"/>
                      <w:highlight w:val="none"/>
                      <w:lang w:bidi="ar"/>
                    </w:rPr>
                    <w:t>级保护区的岸线和河段范围内</w:t>
                  </w:r>
                  <w:r>
                    <w:rPr>
                      <w:rFonts w:hint="eastAsia"/>
                      <w:kern w:val="0"/>
                      <w:szCs w:val="21"/>
                      <w:highlight w:val="none"/>
                      <w:lang w:bidi="ar"/>
                    </w:rPr>
                    <w:t>，</w:t>
                  </w:r>
                  <w:r>
                    <w:rPr>
                      <w:szCs w:val="21"/>
                      <w:highlight w:val="none"/>
                    </w:rPr>
                    <w:t>不</w:t>
                  </w:r>
                  <w:r>
                    <w:rPr>
                      <w:kern w:val="0"/>
                      <w:szCs w:val="21"/>
                      <w:highlight w:val="none"/>
                      <w:lang w:bidi="ar"/>
                    </w:rPr>
                    <w:t>在饮用水水源</w:t>
                  </w:r>
                  <w:r>
                    <w:rPr>
                      <w:rFonts w:hint="eastAsia"/>
                      <w:kern w:val="0"/>
                      <w:szCs w:val="21"/>
                      <w:highlight w:val="none"/>
                      <w:lang w:bidi="ar"/>
                    </w:rPr>
                    <w:t>二</w:t>
                  </w:r>
                  <w:r>
                    <w:rPr>
                      <w:kern w:val="0"/>
                      <w:szCs w:val="21"/>
                      <w:highlight w:val="none"/>
                      <w:lang w:bidi="ar"/>
                    </w:rPr>
                    <w:t>级保护区的岸线和河段范围内</w:t>
                  </w:r>
                  <w:r>
                    <w:rPr>
                      <w:rFonts w:hint="eastAsia"/>
                      <w:kern w:val="0"/>
                      <w:szCs w:val="21"/>
                      <w:highlight w:val="none"/>
                      <w:lang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4.禁止在水产种质资源保护区的岸线和河段范围内新建围湖造田、围海造地或围填海等投资建设项目。禁止在国家湿地公园的岸线和河段范围内挖沙、采矿，以及任何不符合主体功能定位的投资建设项目。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3044" w:type="dxa"/>
                  <w:vAlign w:val="center"/>
                </w:tcPr>
                <w:p>
                  <w:pPr>
                    <w:rPr>
                      <w:szCs w:val="21"/>
                      <w:highlight w:val="none"/>
                    </w:rPr>
                  </w:pPr>
                  <w:r>
                    <w:rPr>
                      <w:szCs w:val="21"/>
                      <w:highlight w:val="none"/>
                    </w:rPr>
                    <w:t>本项目不</w:t>
                  </w:r>
                  <w:r>
                    <w:rPr>
                      <w:kern w:val="0"/>
                      <w:szCs w:val="21"/>
                      <w:highlight w:val="none"/>
                      <w:lang w:bidi="ar"/>
                    </w:rPr>
                    <w:t>在水产种质资源保护区的岸线和河段范围内</w:t>
                  </w:r>
                  <w:r>
                    <w:rPr>
                      <w:rFonts w:hint="eastAsia"/>
                      <w:kern w:val="0"/>
                      <w:szCs w:val="21"/>
                      <w:highlight w:val="none"/>
                      <w:lang w:bidi="ar"/>
                    </w:rPr>
                    <w:t>，不在</w:t>
                  </w:r>
                  <w:r>
                    <w:rPr>
                      <w:kern w:val="0"/>
                      <w:szCs w:val="21"/>
                      <w:highlight w:val="none"/>
                      <w:lang w:bidi="ar"/>
                    </w:rPr>
                    <w:t>国家湿地公园的岸线和河段范围内</w:t>
                  </w:r>
                  <w:r>
                    <w:rPr>
                      <w:rFonts w:hint="eastAsia"/>
                      <w:kern w:val="0"/>
                      <w:szCs w:val="21"/>
                      <w:highlight w:val="none"/>
                      <w:lang w:bidi="ar"/>
                    </w:rPr>
                    <w:t>且不属于</w:t>
                  </w:r>
                  <w:r>
                    <w:rPr>
                      <w:szCs w:val="21"/>
                      <w:highlight w:val="none"/>
                    </w:rPr>
                    <w:t>挖沙、采矿</w:t>
                  </w:r>
                  <w:r>
                    <w:rPr>
                      <w:rFonts w:hint="eastAsia"/>
                      <w:szCs w:val="21"/>
                      <w:highlight w:val="none"/>
                    </w:rPr>
                    <w:t>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5.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3044" w:type="dxa"/>
                  <w:vAlign w:val="center"/>
                </w:tcPr>
                <w:p>
                  <w:pPr>
                    <w:rPr>
                      <w:szCs w:val="21"/>
                      <w:highlight w:val="none"/>
                    </w:rPr>
                  </w:pPr>
                  <w:r>
                    <w:rPr>
                      <w:szCs w:val="21"/>
                      <w:highlight w:val="none"/>
                    </w:rPr>
                    <w:t>本项目不在《长江岸线保护和开发利用总体规划》划定的岸线保留区内</w:t>
                  </w:r>
                  <w:r>
                    <w:rPr>
                      <w:rFonts w:hint="eastAsia"/>
                      <w:szCs w:val="21"/>
                      <w:highlight w:val="none"/>
                    </w:rPr>
                    <w:t>，不在</w:t>
                  </w:r>
                  <w:r>
                    <w:rPr>
                      <w:kern w:val="0"/>
                      <w:szCs w:val="21"/>
                      <w:highlight w:val="none"/>
                      <w:lang w:bidi="ar"/>
                    </w:rPr>
                    <w:t>《全国重要江河湖泊水功能区划》划定的河段保护区、保留区内</w:t>
                  </w:r>
                  <w:r>
                    <w:rPr>
                      <w:rFonts w:hint="eastAsia"/>
                      <w:kern w:val="0"/>
                      <w:szCs w:val="21"/>
                      <w:highlight w:val="none"/>
                      <w:lang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6.禁止未经许可在长江干支流及湖泊新设、改设或扩大排污</w:t>
                  </w:r>
                  <w:r>
                    <w:rPr>
                      <w:rFonts w:hint="eastAsia" w:ascii="Times New Roman" w:hAnsi="Times New Roman" w:eastAsia="宋体"/>
                      <w:sz w:val="21"/>
                      <w:szCs w:val="21"/>
                      <w:highlight w:val="none"/>
                    </w:rPr>
                    <w:t>口</w:t>
                  </w:r>
                </w:p>
              </w:tc>
              <w:tc>
                <w:tcPr>
                  <w:tcW w:w="3044" w:type="dxa"/>
                  <w:vAlign w:val="center"/>
                </w:tcPr>
                <w:p>
                  <w:pPr>
                    <w:rPr>
                      <w:szCs w:val="21"/>
                      <w:highlight w:val="none"/>
                    </w:rPr>
                  </w:pPr>
                  <w:r>
                    <w:rPr>
                      <w:szCs w:val="21"/>
                      <w:highlight w:val="none"/>
                    </w:rPr>
                    <w:t>本项目</w:t>
                  </w:r>
                  <w:r>
                    <w:rPr>
                      <w:rFonts w:hint="eastAsia"/>
                      <w:szCs w:val="21"/>
                      <w:highlight w:val="none"/>
                    </w:rPr>
                    <w:t>不涉及在</w:t>
                  </w:r>
                  <w:r>
                    <w:rPr>
                      <w:szCs w:val="21"/>
                      <w:highlight w:val="none"/>
                    </w:rPr>
                    <w:t>长江干支流及湖泊新设、改设或扩大排污</w:t>
                  </w:r>
                  <w:r>
                    <w:rPr>
                      <w:rFonts w:hint="eastAsia"/>
                      <w:szCs w:val="21"/>
                      <w:highlight w:val="none"/>
                    </w:rPr>
                    <w:t>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7.禁止在</w:t>
                  </w:r>
                  <w:r>
                    <w:rPr>
                      <w:rFonts w:hint="eastAsia" w:ascii="Times New Roman" w:hAnsi="Times New Roman" w:eastAsia="宋体"/>
                      <w:sz w:val="21"/>
                      <w:szCs w:val="21"/>
                      <w:highlight w:val="none"/>
                    </w:rPr>
                    <w:t>“</w:t>
                  </w:r>
                  <w:r>
                    <w:rPr>
                      <w:rFonts w:ascii="Times New Roman" w:hAnsi="Times New Roman" w:eastAsia="宋体"/>
                      <w:sz w:val="21"/>
                      <w:szCs w:val="21"/>
                      <w:highlight w:val="none"/>
                    </w:rPr>
                    <w:t>一江一口两湖七河</w:t>
                  </w:r>
                  <w:r>
                    <w:rPr>
                      <w:rFonts w:hint="eastAsia" w:ascii="Times New Roman" w:hAnsi="Times New Roman" w:eastAsia="宋体"/>
                      <w:sz w:val="21"/>
                      <w:szCs w:val="21"/>
                      <w:highlight w:val="none"/>
                    </w:rPr>
                    <w:t>”</w:t>
                  </w:r>
                  <w:r>
                    <w:rPr>
                      <w:rFonts w:ascii="Times New Roman" w:hAnsi="Times New Roman" w:eastAsia="宋体"/>
                      <w:sz w:val="21"/>
                      <w:szCs w:val="21"/>
                      <w:highlight w:val="none"/>
                    </w:rPr>
                    <w:t>和332个水生生物保护区开展生产性捕捞。</w:t>
                  </w:r>
                </w:p>
              </w:tc>
              <w:tc>
                <w:tcPr>
                  <w:tcW w:w="3044" w:type="dxa"/>
                  <w:vAlign w:val="center"/>
                </w:tcPr>
                <w:p>
                  <w:pPr>
                    <w:rPr>
                      <w:b/>
                      <w:szCs w:val="21"/>
                      <w:highlight w:val="none"/>
                    </w:rPr>
                  </w:pPr>
                  <w:r>
                    <w:rPr>
                      <w:kern w:val="0"/>
                      <w:szCs w:val="21"/>
                      <w:highlight w:val="none"/>
                      <w:lang w:bidi="ar"/>
                    </w:rPr>
                    <w:t>本项目</w:t>
                  </w:r>
                  <w:r>
                    <w:rPr>
                      <w:rFonts w:hint="eastAsia"/>
                      <w:kern w:val="0"/>
                      <w:szCs w:val="21"/>
                      <w:highlight w:val="none"/>
                      <w:lang w:bidi="ar"/>
                    </w:rPr>
                    <w:t>不进行生产性捕捞。</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8.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3044" w:type="dxa"/>
                  <w:vAlign w:val="center"/>
                </w:tcPr>
                <w:p>
                  <w:pPr>
                    <w:rPr>
                      <w:b/>
                      <w:szCs w:val="21"/>
                      <w:highlight w:val="none"/>
                    </w:rPr>
                  </w:pPr>
                  <w:r>
                    <w:rPr>
                      <w:szCs w:val="21"/>
                      <w:highlight w:val="none"/>
                    </w:rPr>
                    <w:t>本项目</w:t>
                  </w:r>
                  <w:r>
                    <w:rPr>
                      <w:rFonts w:hint="eastAsia"/>
                      <w:szCs w:val="21"/>
                      <w:highlight w:val="none"/>
                    </w:rPr>
                    <w:t>不属于化工、</w:t>
                  </w:r>
                  <w:r>
                    <w:rPr>
                      <w:szCs w:val="21"/>
                      <w:highlight w:val="none"/>
                    </w:rPr>
                    <w:t>尾矿库、冶炼渣库和磷石膏库</w:t>
                  </w:r>
                  <w:r>
                    <w:rPr>
                      <w:rFonts w:hint="eastAsia"/>
                      <w:szCs w:val="21"/>
                      <w:highlight w:val="none"/>
                    </w:rPr>
                    <w:t>等项目。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9.禁止在合规园区外新建、扩建钢铁、石化、化工、焦化、建材、有色、制浆造纸等高污染项目。</w:t>
                  </w:r>
                </w:p>
              </w:tc>
              <w:tc>
                <w:tcPr>
                  <w:tcW w:w="3044" w:type="dxa"/>
                  <w:vAlign w:val="center"/>
                </w:tcPr>
                <w:p>
                  <w:pPr>
                    <w:rPr>
                      <w:b/>
                      <w:szCs w:val="21"/>
                      <w:highlight w:val="none"/>
                    </w:rPr>
                  </w:pPr>
                  <w:r>
                    <w:rPr>
                      <w:kern w:val="0"/>
                      <w:szCs w:val="21"/>
                      <w:highlight w:val="none"/>
                      <w:lang w:bidi="ar"/>
                    </w:rPr>
                    <w:t>本项目</w:t>
                  </w:r>
                  <w:r>
                    <w:rPr>
                      <w:rFonts w:hint="eastAsia"/>
                      <w:kern w:val="0"/>
                      <w:szCs w:val="21"/>
                      <w:highlight w:val="none"/>
                      <w:lang w:bidi="ar"/>
                    </w:rPr>
                    <w:t>为农副食品加工，不属于</w:t>
                  </w:r>
                  <w:r>
                    <w:rPr>
                      <w:szCs w:val="21"/>
                      <w:highlight w:val="none"/>
                    </w:rPr>
                    <w:t>钢铁、石化、化工、焦化、建材、有色、制浆造纸等高污染项目</w:t>
                  </w:r>
                  <w:r>
                    <w:rPr>
                      <w:rFonts w:hint="eastAsia"/>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10.禁止新建、扩建不符合国家石化、现代煤化工等产业布局规划的项目</w:t>
                  </w:r>
                </w:p>
              </w:tc>
              <w:tc>
                <w:tcPr>
                  <w:tcW w:w="3044" w:type="dxa"/>
                  <w:vAlign w:val="center"/>
                </w:tcPr>
                <w:p>
                  <w:pPr>
                    <w:rPr>
                      <w:szCs w:val="21"/>
                      <w:highlight w:val="none"/>
                    </w:rPr>
                  </w:pPr>
                  <w:r>
                    <w:rPr>
                      <w:kern w:val="0"/>
                      <w:szCs w:val="21"/>
                      <w:highlight w:val="none"/>
                      <w:lang w:bidi="ar"/>
                    </w:rPr>
                    <w:t>本项目</w:t>
                  </w:r>
                  <w:r>
                    <w:rPr>
                      <w:rFonts w:hint="eastAsia"/>
                      <w:szCs w:val="21"/>
                      <w:highlight w:val="none"/>
                    </w:rPr>
                    <w:t>不属于</w:t>
                  </w:r>
                  <w:r>
                    <w:rPr>
                      <w:szCs w:val="21"/>
                      <w:highlight w:val="none"/>
                    </w:rPr>
                    <w:t>石化、现代煤化工</w:t>
                  </w:r>
                  <w:r>
                    <w:rPr>
                      <w:rFonts w:hint="eastAsia"/>
                      <w:szCs w:val="21"/>
                      <w:highlight w:val="none"/>
                    </w:rPr>
                    <w:t>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11.禁止新建、扩建法律法规和相关政策明令禁止的落后产能项目。禁止新建、扩建不符合国家产能置换要求的严重过剩产能行业的项目。禁止新建、扩建不符合要求的高耗能高排放项目。</w:t>
                  </w:r>
                </w:p>
              </w:tc>
              <w:tc>
                <w:tcPr>
                  <w:tcW w:w="3044" w:type="dxa"/>
                  <w:vAlign w:val="center"/>
                </w:tcPr>
                <w:p>
                  <w:pPr>
                    <w:rPr>
                      <w:szCs w:val="21"/>
                      <w:highlight w:val="none"/>
                    </w:rPr>
                  </w:pPr>
                  <w:r>
                    <w:rPr>
                      <w:kern w:val="0"/>
                      <w:szCs w:val="21"/>
                      <w:highlight w:val="none"/>
                      <w:lang w:bidi="ar"/>
                    </w:rPr>
                    <w:t>本项目</w:t>
                  </w:r>
                  <w:r>
                    <w:rPr>
                      <w:rFonts w:hint="eastAsia"/>
                      <w:szCs w:val="21"/>
                      <w:highlight w:val="none"/>
                    </w:rPr>
                    <w:t>不属于</w:t>
                  </w:r>
                  <w:r>
                    <w:rPr>
                      <w:szCs w:val="21"/>
                      <w:highlight w:val="none"/>
                    </w:rPr>
                    <w:t>落后产能项目</w:t>
                  </w:r>
                  <w:r>
                    <w:rPr>
                      <w:rFonts w:hint="eastAsia"/>
                      <w:szCs w:val="21"/>
                      <w:highlight w:val="none"/>
                    </w:rPr>
                    <w:t>、</w:t>
                  </w:r>
                  <w:r>
                    <w:rPr>
                      <w:szCs w:val="21"/>
                      <w:highlight w:val="none"/>
                    </w:rPr>
                    <w:t>严重过剩产能项目</w:t>
                  </w:r>
                  <w:r>
                    <w:rPr>
                      <w:rFonts w:hint="eastAsia"/>
                      <w:szCs w:val="21"/>
                      <w:highlight w:val="none"/>
                    </w:rPr>
                    <w:t>、</w:t>
                  </w:r>
                  <w:r>
                    <w:rPr>
                      <w:szCs w:val="21"/>
                      <w:highlight w:val="none"/>
                    </w:rPr>
                    <w:t>高耗能高排放项目</w:t>
                  </w:r>
                  <w:r>
                    <w:rPr>
                      <w:rFonts w:hint="eastAsia"/>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4699" w:type="dxa"/>
                  <w:vAlign w:val="center"/>
                </w:tcPr>
                <w:p>
                  <w:pPr>
                    <w:pStyle w:val="103"/>
                    <w:adjustRightInd w:val="0"/>
                    <w:snapToGrid w:val="0"/>
                    <w:jc w:val="both"/>
                    <w:rPr>
                      <w:rFonts w:ascii="Times New Roman" w:hAnsi="Times New Roman" w:eastAsia="宋体"/>
                      <w:sz w:val="21"/>
                      <w:szCs w:val="21"/>
                      <w:highlight w:val="none"/>
                    </w:rPr>
                  </w:pPr>
                  <w:r>
                    <w:rPr>
                      <w:rFonts w:ascii="Times New Roman" w:hAnsi="Times New Roman" w:eastAsia="宋体"/>
                      <w:sz w:val="21"/>
                      <w:szCs w:val="21"/>
                      <w:highlight w:val="none"/>
                    </w:rPr>
                    <w:t>12.法律法规及相关政策文件有更加严格规定的从其规定。</w:t>
                  </w:r>
                </w:p>
              </w:tc>
              <w:tc>
                <w:tcPr>
                  <w:tcW w:w="3044" w:type="dxa"/>
                </w:tcPr>
                <w:p>
                  <w:pPr>
                    <w:rPr>
                      <w:szCs w:val="21"/>
                      <w:highlight w:val="none"/>
                    </w:rPr>
                  </w:pPr>
                  <w:r>
                    <w:rPr>
                      <w:szCs w:val="21"/>
                      <w:highlight w:val="none"/>
                    </w:rPr>
                    <w:t>本项目</w:t>
                  </w:r>
                  <w:r>
                    <w:rPr>
                      <w:rFonts w:hint="eastAsia"/>
                      <w:szCs w:val="21"/>
                      <w:highlight w:val="none"/>
                    </w:rPr>
                    <w:t>符合相应</w:t>
                  </w:r>
                  <w:r>
                    <w:rPr>
                      <w:szCs w:val="21"/>
                      <w:highlight w:val="none"/>
                    </w:rPr>
                    <w:t>法律法规及相关政策文件</w:t>
                  </w:r>
                  <w:r>
                    <w:rPr>
                      <w:rFonts w:hint="eastAsia"/>
                      <w:szCs w:val="21"/>
                      <w:highlight w:val="none"/>
                    </w:rPr>
                    <w:t>规定。</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7743" w:type="dxa"/>
                  <w:gridSpan w:val="2"/>
                  <w:vAlign w:val="center"/>
                </w:tcPr>
                <w:p>
                  <w:pPr>
                    <w:rPr>
                      <w:szCs w:val="21"/>
                      <w:highlight w:val="none"/>
                    </w:rPr>
                  </w:pPr>
                  <w:r>
                    <w:rPr>
                      <w:rFonts w:hint="eastAsia"/>
                      <w:b/>
                      <w:bCs/>
                      <w:szCs w:val="21"/>
                      <w:highlight w:val="none"/>
                    </w:rPr>
                    <w:t>二、</w:t>
                  </w:r>
                  <w:r>
                    <w:rPr>
                      <w:b/>
                      <w:bCs/>
                      <w:highlight w:val="none"/>
                    </w:rPr>
                    <w:t>江西省推动长江经济带发展领导小组办公室文件关于《江西省长江经济带发展负面清单实施细则（试行）》（赣长江办</w:t>
                  </w:r>
                  <w:r>
                    <w:rPr>
                      <w:rFonts w:hint="eastAsia"/>
                      <w:b/>
                      <w:bCs/>
                      <w:highlight w:val="none"/>
                    </w:rPr>
                    <w:t>〔2022〕7</w:t>
                  </w:r>
                  <w:r>
                    <w:rPr>
                      <w:b/>
                      <w:bCs/>
                      <w:highlight w:val="none"/>
                    </w:rPr>
                    <w:t>号）</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jc w:val="center"/>
                    <w:rPr>
                      <w:b/>
                      <w:szCs w:val="21"/>
                      <w:highlight w:val="none"/>
                    </w:rPr>
                  </w:pPr>
                  <w:r>
                    <w:rPr>
                      <w:b/>
                      <w:szCs w:val="21"/>
                      <w:highlight w:val="none"/>
                    </w:rPr>
                    <w:t>内容</w:t>
                  </w:r>
                </w:p>
              </w:tc>
              <w:tc>
                <w:tcPr>
                  <w:tcW w:w="3044" w:type="dxa"/>
                  <w:tcBorders>
                    <w:tl2br w:val="nil"/>
                    <w:tr2bl w:val="nil"/>
                  </w:tcBorders>
                  <w:vAlign w:val="center"/>
                </w:tcPr>
                <w:p>
                  <w:pPr>
                    <w:jc w:val="center"/>
                    <w:rPr>
                      <w:b/>
                      <w:szCs w:val="21"/>
                      <w:highlight w:val="none"/>
                    </w:rPr>
                  </w:pPr>
                  <w:r>
                    <w:rPr>
                      <w:b/>
                      <w:szCs w:val="21"/>
                      <w:highlight w:val="none"/>
                    </w:rPr>
                    <w:t>符合性分析</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禁止建设不符合国家和省级港口布局规划以及港口总体规划的码头项目。禁止建设不符合《长江干线过江通道布局规划》的过长江通道项目。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本项目不属于码头及过长江通道项目。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禁止在自然保护区核心区、缓冲区的岸线和河段范围内投资建设旅游和生产经营项目。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项目不在自然保护区核心区、缓冲区的岸线和河段范围内</w:t>
                  </w:r>
                  <w:r>
                    <w:rPr>
                      <w:rFonts w:hint="eastAsia" w:ascii="Times New Roman" w:hAnsi="Times New Roman" w:eastAsia="宋体"/>
                      <w:sz w:val="21"/>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禁止在风景名胜区核心景区的岸线和河段范围内开展以下行为：</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（一）开山、</w:t>
                  </w:r>
                  <w:r>
                    <w:rPr>
                      <w:rFonts w:hint="eastAsia" w:ascii="Times New Roman" w:hAnsi="Times New Roman" w:eastAsia="宋体"/>
                      <w:sz w:val="21"/>
                      <w:szCs w:val="21"/>
                      <w:highlight w:val="none"/>
                      <w:lang w:val="en-US" w:eastAsia="zh-CN"/>
                    </w:rPr>
                    <w:t>采</w:t>
                  </w:r>
                  <w:r>
                    <w:rPr>
                      <w:rFonts w:hint="eastAsia" w:ascii="Times New Roman" w:hAnsi="Times New Roman" w:eastAsia="宋体"/>
                      <w:sz w:val="21"/>
                      <w:szCs w:val="21"/>
                      <w:highlight w:val="none"/>
                    </w:rPr>
                    <w:t>石、开矿、开荒、修坟立碑等破坏景观、植被和地形地貌的活动。</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（二）修建储存爆炸性、易燃性、放射性、毒害性、腐蚀性物品的设施。</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（三）违反风景名胜区规划，建设与风景名胜资源保护无关的设施。</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项目不在风景名胜区的岸线和河段范围内</w:t>
                  </w:r>
                  <w:r>
                    <w:rPr>
                      <w:rFonts w:hint="eastAsia" w:ascii="Times New Roman" w:hAnsi="Times New Roman" w:eastAsia="宋体"/>
                      <w:sz w:val="21"/>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禁止在饮用水水源一级保护区的岸线和河段范围内开展下列行为：</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（一）新建、改建、扩建与供水设施和保护水源无关的建设项目；已建成的与供水设施和保护水源无关的建设项目，由县级以上人民政府责令拆除或者关闭。</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（二）禁止在饮用水水源一级保护区内从事网箱养殖、旅游、游泳、垂钓或者其他可能污染饮用水水体的活动</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本项目不在饮用水水源一级保护区的岸线和河段范围内。</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禁止在饮用水水源二级保护区的岸线和河段范围内开展下列行为：</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（一）新建、改建、扩建排放污染物的建设项目；已建成的排放污染物的建设项目，由县级以上人民政府责令拆除或者关闭。</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（二）在饮用水水源二级保护区内从事网箱养殖、旅游等活动的，应当按照规定采取措施，防止污染饮用水水体。</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项目不在饮用水水源</w:t>
                  </w:r>
                  <w:r>
                    <w:rPr>
                      <w:rFonts w:hint="eastAsia" w:ascii="Times New Roman" w:hAnsi="Times New Roman" w:eastAsia="宋体"/>
                      <w:sz w:val="21"/>
                      <w:szCs w:val="21"/>
                      <w:highlight w:val="none"/>
                    </w:rPr>
                    <w:t>二</w:t>
                  </w:r>
                  <w:r>
                    <w:rPr>
                      <w:rFonts w:ascii="Times New Roman" w:hAnsi="Times New Roman" w:eastAsia="宋体"/>
                      <w:sz w:val="21"/>
                      <w:szCs w:val="21"/>
                      <w:highlight w:val="none"/>
                    </w:rPr>
                    <w:t>级保护区的岸线和河段范围内</w:t>
                  </w:r>
                  <w:r>
                    <w:rPr>
                      <w:rFonts w:hint="eastAsia" w:ascii="Times New Roman" w:hAnsi="Times New Roman" w:eastAsia="宋体"/>
                      <w:sz w:val="21"/>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禁止在水产种质资源保护区的岸线和河段范围内新建围湖（河）造田（地）等投资建设项目。</w:t>
                  </w:r>
                </w:p>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单位和个人在水产种质资源保护区内从事水生生物资源调</w:t>
                  </w:r>
                  <w:r>
                    <w:rPr>
                      <w:rFonts w:hint="eastAsia" w:ascii="Times New Roman" w:hAnsi="Times New Roman" w:eastAsia="宋体"/>
                      <w:sz w:val="21"/>
                      <w:szCs w:val="21"/>
                      <w:highlight w:val="none"/>
                      <w:lang w:eastAsia="zh-CN"/>
                    </w:rPr>
                    <w:t>查</w:t>
                  </w:r>
                  <w:r>
                    <w:rPr>
                      <w:rFonts w:hint="eastAsia" w:ascii="Times New Roman" w:hAnsi="Times New Roman" w:eastAsia="宋体"/>
                      <w:sz w:val="21"/>
                      <w:szCs w:val="21"/>
                      <w:highlight w:val="none"/>
                    </w:rPr>
                    <w:t>、科学研究、教学实习、参观游览、影视拍摄等活动，应当遵守有关法律法规和保护区管理制度，不得损害水产种质资源及其生存环境.</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w:t>
                  </w:r>
                  <w:r>
                    <w:rPr>
                      <w:rFonts w:hint="eastAsia" w:ascii="Times New Roman" w:hAnsi="Times New Roman" w:eastAsia="宋体"/>
                      <w:sz w:val="21"/>
                      <w:szCs w:val="21"/>
                      <w:highlight w:val="none"/>
                    </w:rPr>
                    <w:t>水产种质资源保护区的岸线和河段范围内。</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除国家规定的外，禁止在国家湿地公园的岸线和河段范围内挖沙、</w:t>
                  </w:r>
                  <w:r>
                    <w:rPr>
                      <w:rFonts w:hint="eastAsia" w:ascii="Times New Roman" w:hAnsi="Times New Roman" w:eastAsia="宋体"/>
                      <w:sz w:val="21"/>
                      <w:szCs w:val="21"/>
                      <w:highlight w:val="none"/>
                      <w:lang w:eastAsia="zh-CN"/>
                    </w:rPr>
                    <w:t>采矿</w:t>
                  </w:r>
                  <w:r>
                    <w:rPr>
                      <w:rFonts w:hint="eastAsia" w:ascii="Times New Roman" w:hAnsi="Times New Roman" w:eastAsia="宋体"/>
                      <w:sz w:val="21"/>
                      <w:szCs w:val="21"/>
                      <w:highlight w:val="none"/>
                    </w:rPr>
                    <w:t>以及任何不符合主体功能定位的投资建设项目。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项目不在国家湿地公园的岸线和河段范围内</w:t>
                  </w:r>
                  <w:r>
                    <w:rPr>
                      <w:rFonts w:hint="eastAsia" w:ascii="Times New Roman" w:hAnsi="Times New Roman" w:eastAsia="宋体"/>
                      <w:sz w:val="21"/>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项目不在《长江岸线保护和开发利用总体规划》划定的岸线保护区</w:t>
                  </w:r>
                  <w:r>
                    <w:rPr>
                      <w:rFonts w:hint="eastAsia" w:ascii="Times New Roman" w:hAnsi="Times New Roman" w:eastAsia="宋体"/>
                      <w:sz w:val="21"/>
                      <w:szCs w:val="21"/>
                      <w:highlight w:val="none"/>
                    </w:rPr>
                    <w:t>和保留区</w:t>
                  </w:r>
                  <w:r>
                    <w:rPr>
                      <w:rFonts w:ascii="Times New Roman" w:hAnsi="Times New Roman" w:eastAsia="宋体"/>
                      <w:sz w:val="21"/>
                      <w:szCs w:val="21"/>
                      <w:highlight w:val="none"/>
                    </w:rPr>
                    <w:t>内</w:t>
                  </w:r>
                  <w:r>
                    <w:rPr>
                      <w:rFonts w:hint="eastAsia" w:ascii="Times New Roman" w:hAnsi="Times New Roman" w:eastAsia="宋体"/>
                      <w:sz w:val="21"/>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禁止在《全国重要江河湖泊水功能区划》划定的河段及湖泊保护区、保留区内投资建设不利于水资源及自然生态保护的项目。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项目不在</w:t>
                  </w:r>
                  <w:r>
                    <w:rPr>
                      <w:rFonts w:hint="eastAsia" w:ascii="Times New Roman" w:hAnsi="Times New Roman" w:eastAsia="宋体"/>
                      <w:sz w:val="21"/>
                      <w:szCs w:val="21"/>
                      <w:highlight w:val="none"/>
                    </w:rPr>
                    <w:t>《全国重要江河湖泊水功能区划》河段及湖泊保护区、保留区内 。</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禁止未经许可在长江干支流及湖泊新设、改设或扩大排污口。</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w:t>
                  </w:r>
                  <w:r>
                    <w:rPr>
                      <w:rFonts w:hint="eastAsia" w:ascii="Times New Roman" w:hAnsi="Times New Roman" w:eastAsia="宋体"/>
                      <w:sz w:val="21"/>
                      <w:szCs w:val="21"/>
                      <w:highlight w:val="none"/>
                    </w:rPr>
                    <w:t>不在长江干支流及湖泊设置排污口。</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禁止在长江干流江西段、鄱阳湖和《率先全面禁捕的长江流域水生生物保护区名录》中的水生生物保护区开展生产性捕捞。</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hint="eastAsia" w:ascii="Times New Roman" w:hAnsi="Times New Roman" w:eastAsia="宋体"/>
                      <w:sz w:val="21"/>
                      <w:szCs w:val="21"/>
                      <w:highlight w:val="none"/>
                      <w:lang w:eastAsia="zh-CN"/>
                    </w:rPr>
                    <w:t>项目</w:t>
                  </w:r>
                  <w:r>
                    <w:rPr>
                      <w:rFonts w:hint="eastAsia" w:ascii="Times New Roman" w:hAnsi="Times New Roman" w:eastAsia="宋体"/>
                      <w:sz w:val="21"/>
                      <w:szCs w:val="21"/>
                      <w:highlight w:val="none"/>
                    </w:rPr>
                    <w:t>不属于生产性捕捞项目。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禁止在长江干支流、重要湖泊岸线一公里范围内新建、扩建化工园区和化工项目。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w:t>
                  </w:r>
                  <w:r>
                    <w:rPr>
                      <w:rFonts w:ascii="Times New Roman" w:hAnsi="Times New Roman" w:eastAsia="宋体"/>
                      <w:sz w:val="21"/>
                      <w:szCs w:val="21"/>
                      <w:highlight w:val="none"/>
                    </w:rPr>
                    <w:t>项目</w:t>
                  </w:r>
                  <w:r>
                    <w:rPr>
                      <w:rFonts w:hint="eastAsia" w:ascii="Times New Roman" w:hAnsi="Times New Roman" w:eastAsia="宋体"/>
                      <w:sz w:val="21"/>
                      <w:szCs w:val="21"/>
                      <w:highlight w:val="none"/>
                    </w:rPr>
                    <w:t>不属于新建、扩建化工园区和化工项目。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禁止在长江干流岸线三公里范围内和重要支流岸线一公里范围内新建、改建、扩建尾矿库、冶炼渣库和磷石膏库，以提升安全、生态环境保护水平为目的的改建除外。</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本项目不属于尾矿库、冶炼渣库和磷石膏库。</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禁止在合规园区外新建、扩建钢铁、石化、化工、焦化、建材、有色、制浆造纸等高污染项目。</w:t>
                  </w:r>
                </w:p>
              </w:tc>
              <w:tc>
                <w:tcPr>
                  <w:tcW w:w="3044" w:type="dxa"/>
                  <w:tcBorders>
                    <w:tl2br w:val="nil"/>
                    <w:tr2bl w:val="nil"/>
                  </w:tcBorders>
                  <w:vAlign w:val="center"/>
                </w:tcPr>
                <w:p>
                  <w:pPr>
                    <w:pStyle w:val="103"/>
                    <w:jc w:val="both"/>
                    <w:rPr>
                      <w:rFonts w:hint="default" w:ascii="Times New Roman" w:hAnsi="Times New Roman" w:eastAsia="宋体"/>
                      <w:sz w:val="21"/>
                      <w:szCs w:val="21"/>
                      <w:highlight w:val="none"/>
                      <w:lang w:val="en-US"/>
                    </w:rPr>
                  </w:pPr>
                  <w:r>
                    <w:rPr>
                      <w:rFonts w:hint="eastAsia" w:ascii="Times New Roman" w:hAnsi="Times New Roman" w:eastAsia="宋体"/>
                      <w:color w:val="0000FF"/>
                      <w:sz w:val="21"/>
                      <w:szCs w:val="21"/>
                      <w:highlight w:val="none"/>
                    </w:rPr>
                    <w:t>本项目</w:t>
                  </w:r>
                  <w:r>
                    <w:rPr>
                      <w:rFonts w:hint="eastAsia" w:ascii="Times New Roman" w:hAnsi="Times New Roman" w:eastAsia="宋体"/>
                      <w:color w:val="0000FF"/>
                      <w:sz w:val="21"/>
                      <w:szCs w:val="21"/>
                      <w:highlight w:val="none"/>
                      <w:lang w:val="en-US" w:eastAsia="zh-CN"/>
                    </w:rPr>
                    <w:t>为农副食品加工，不属于高污染项目。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禁止新建、扩建不符合国家石化、现代煤化工等产业布局规划的项目。</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本项目不属于石化、现代煤化工。</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新建、扩建法律法规和相关政策明令禁止的落后产能项目，严格执行《产业结构调整指导目录》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color w:val="0000FF"/>
                      <w:sz w:val="21"/>
                      <w:szCs w:val="21"/>
                      <w:highlight w:val="none"/>
                    </w:rPr>
                    <w:t>本项目</w:t>
                  </w:r>
                  <w:r>
                    <w:rPr>
                      <w:rFonts w:hint="eastAsia" w:ascii="Times New Roman" w:hAnsi="Times New Roman" w:eastAsia="宋体"/>
                      <w:color w:val="0000FF"/>
                      <w:sz w:val="21"/>
                      <w:szCs w:val="21"/>
                      <w:highlight w:val="none"/>
                      <w:lang w:val="en-US" w:eastAsia="zh-CN"/>
                    </w:rPr>
                    <w:t>属于</w:t>
                  </w:r>
                  <w:r>
                    <w:rPr>
                      <w:rFonts w:hint="eastAsia" w:ascii="Times New Roman" w:hAnsi="Times New Roman" w:eastAsia="宋体"/>
                      <w:color w:val="0000FF"/>
                      <w:sz w:val="21"/>
                      <w:szCs w:val="21"/>
                      <w:highlight w:val="none"/>
                    </w:rPr>
                    <w:t>《产业结构调整指导目录（2024年本）》</w:t>
                  </w:r>
                  <w:r>
                    <w:rPr>
                      <w:rFonts w:hint="eastAsia" w:ascii="Times New Roman" w:hAnsi="Times New Roman" w:eastAsia="宋体"/>
                      <w:color w:val="0000FF"/>
                      <w:sz w:val="21"/>
                      <w:szCs w:val="21"/>
                      <w:highlight w:val="none"/>
                      <w:lang w:val="en-US" w:eastAsia="zh-CN"/>
                    </w:rPr>
                    <w:t>鼓励类</w:t>
                  </w:r>
                  <w:r>
                    <w:rPr>
                      <w:rFonts w:hint="eastAsia" w:ascii="Times New Roman" w:hAnsi="Times New Roman" w:eastAsia="宋体"/>
                      <w:color w:val="0000FF"/>
                      <w:sz w:val="21"/>
                      <w:szCs w:val="21"/>
                      <w:highlight w:val="none"/>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新建、扩建不符合国家产能置换要求的钢铁、电解铝、水泥熟料、平板玻璃、船舶等严重过剩产能行业的项目。严格执行《国务院关于化解产能严重过剩矛盾的指导意见》，各地各部门不得以任何名义、任何方式新增产能；对确有必要建设的，必须严格执行产能置换实施办法，实施减量或等量置换，依法依规办理有关手续。</w:t>
                  </w:r>
                </w:p>
              </w:tc>
              <w:tc>
                <w:tcPr>
                  <w:tcW w:w="3044"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本项目</w:t>
                  </w:r>
                  <w:r>
                    <w:rPr>
                      <w:rFonts w:ascii="Times New Roman" w:hAnsi="Times New Roman" w:eastAsia="宋体"/>
                      <w:sz w:val="21"/>
                      <w:szCs w:val="21"/>
                      <w:highlight w:val="none"/>
                    </w:rPr>
                    <w:t>不属于严重过剩产能</w:t>
                  </w:r>
                  <w:r>
                    <w:rPr>
                      <w:rFonts w:hint="eastAsia" w:ascii="Times New Roman" w:hAnsi="Times New Roman" w:eastAsia="宋体"/>
                      <w:sz w:val="21"/>
                      <w:szCs w:val="21"/>
                      <w:highlight w:val="none"/>
                    </w:rPr>
                    <w:t>行业的项目。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699" w:type="dxa"/>
                  <w:tcBorders>
                    <w:tl2br w:val="nil"/>
                    <w:tr2bl w:val="nil"/>
                  </w:tcBorders>
                  <w:vAlign w:val="center"/>
                </w:tcPr>
                <w:p>
                  <w:pPr>
                    <w:pStyle w:val="103"/>
                    <w:jc w:val="both"/>
                    <w:rPr>
                      <w:rFonts w:ascii="Times New Roman" w:hAnsi="Times New Roman" w:eastAsia="宋体"/>
                      <w:sz w:val="21"/>
                      <w:szCs w:val="21"/>
                      <w:highlight w:val="none"/>
                    </w:rPr>
                  </w:pPr>
                  <w:r>
                    <w:rPr>
                      <w:rFonts w:hint="eastAsia" w:ascii="Times New Roman" w:hAnsi="Times New Roman" w:eastAsia="宋体"/>
                      <w:sz w:val="21"/>
                      <w:szCs w:val="21"/>
                      <w:highlight w:val="none"/>
                    </w:rPr>
                    <w:t>禁止新建、扩建不符合要求的高耗能高排放项目。严格执行《江西省人民政府办公厅关于严格高耗能高排放项目准入管理的实施意见》（赣府厅发</w:t>
                  </w:r>
                  <w:r>
                    <w:rPr>
                      <w:rFonts w:hint="eastAsia" w:ascii="Times New Roman" w:hAnsi="Times New Roman" w:eastAsia="宋体"/>
                      <w:sz w:val="21"/>
                      <w:szCs w:val="21"/>
                      <w:highlight w:val="none"/>
                      <w:lang w:eastAsia="zh-CN"/>
                    </w:rPr>
                    <w:t>〔2021〕33号</w:t>
                  </w:r>
                  <w:r>
                    <w:rPr>
                      <w:rFonts w:hint="eastAsia" w:ascii="Times New Roman" w:hAnsi="Times New Roman" w:eastAsia="宋体"/>
                      <w:sz w:val="21"/>
                      <w:szCs w:val="21"/>
                      <w:highlight w:val="none"/>
                    </w:rPr>
                    <w:t>），加强项目审查论证，落实等量、减量替代要求，规范项目行政审批。</w:t>
                  </w:r>
                </w:p>
              </w:tc>
              <w:tc>
                <w:tcPr>
                  <w:tcW w:w="3044" w:type="dxa"/>
                  <w:tcBorders>
                    <w:tl2br w:val="nil"/>
                    <w:tr2bl w:val="nil"/>
                  </w:tcBorders>
                  <w:vAlign w:val="center"/>
                </w:tcPr>
                <w:p>
                  <w:pPr>
                    <w:pStyle w:val="103"/>
                    <w:rPr>
                      <w:rFonts w:ascii="Times New Roman" w:hAnsi="Times New Roman" w:eastAsia="宋体"/>
                      <w:sz w:val="21"/>
                      <w:szCs w:val="21"/>
                      <w:highlight w:val="none"/>
                    </w:rPr>
                  </w:pPr>
                  <w:r>
                    <w:rPr>
                      <w:rFonts w:hint="eastAsia" w:ascii="Times New Roman" w:hAnsi="Times New Roman" w:eastAsia="宋体"/>
                      <w:sz w:val="21"/>
                      <w:szCs w:val="21"/>
                      <w:highlight w:val="none"/>
                    </w:rPr>
                    <w:t>本项目不属于</w:t>
                  </w:r>
                  <w:r>
                    <w:rPr>
                      <w:rFonts w:hint="eastAsia" w:ascii="Times New Roman" w:hAnsi="Times New Roman" w:eastAsia="宋体"/>
                      <w:sz w:val="21"/>
                      <w:szCs w:val="21"/>
                      <w:highlight w:val="none"/>
                      <w:lang w:eastAsia="zh-CN"/>
                    </w:rPr>
                    <w:t>“两高”项目</w:t>
                  </w:r>
                  <w:r>
                    <w:rPr>
                      <w:rFonts w:hint="eastAsia" w:ascii="Times New Roman" w:hAnsi="Times New Roman" w:eastAsia="宋体"/>
                      <w:sz w:val="21"/>
                      <w:szCs w:val="21"/>
                      <w:highlight w:val="none"/>
                    </w:rPr>
                    <w:t>。</w:t>
                  </w:r>
                </w:p>
              </w:tc>
            </w:tr>
          </w:tbl>
          <w:p>
            <w:pPr>
              <w:spacing w:line="360" w:lineRule="auto"/>
              <w:ind w:firstLine="481" w:firstLineChars="200"/>
              <w:rPr>
                <w:highlight w:val="none"/>
              </w:rPr>
            </w:pPr>
            <w:r>
              <w:rPr>
                <w:rFonts w:hint="eastAsia"/>
                <w:b/>
                <w:bCs/>
                <w:sz w:val="24"/>
                <w:szCs w:val="22"/>
                <w:highlight w:val="none"/>
              </w:rPr>
              <w:t>6、与</w:t>
            </w:r>
            <w:r>
              <w:rPr>
                <w:b/>
                <w:bCs/>
                <w:sz w:val="24"/>
                <w:szCs w:val="22"/>
                <w:highlight w:val="none"/>
              </w:rPr>
              <w:t>《江西省鄱阳湖流域总磷污染防治条例》</w:t>
            </w:r>
            <w:r>
              <w:rPr>
                <w:rFonts w:hint="eastAsia"/>
                <w:b/>
                <w:bCs/>
                <w:sz w:val="24"/>
                <w:szCs w:val="22"/>
                <w:highlight w:val="none"/>
              </w:rPr>
              <w:t>符合性分析</w:t>
            </w:r>
          </w:p>
          <w:p>
            <w:pPr>
              <w:pStyle w:val="96"/>
              <w:ind w:firstLine="480"/>
              <w:rPr>
                <w:highlight w:val="none"/>
              </w:rPr>
            </w:pPr>
            <w:r>
              <w:rPr>
                <w:rFonts w:hint="eastAsia"/>
                <w:highlight w:val="none"/>
              </w:rPr>
              <w:t>根据《江西省鄱阳湖流域总磷污染防治条例》（江西省第十四届人民代表大会常务委员会公告 第24号）第十三条“涉磷企业应当按照排污许可证要求，采取有效措施控制总磷排放浓度和排放总量，并对排污口和周边环境进行总磷监测，依法公开监测信息。鼓励涉磷企业实施清洁生产改造，减少含磷原辅材料的使用和资源消耗。磷化工企业所在地人民政府应当加强总磷污染防治设施建设和污水管网排查整治，实施初期雨水污染控制。磷化工企业实施一企一管、明管输送、实时监测。禁止在鄱阳湖流域新建、扩建淘汰类、限制类磷化工项目。”，本项目不属于磷化工企业，项目不使用含磷原辅材料，不属于新建、扩建淘汰类、限制类磷化工项目，项目生产废水与经化粪池预处理后的</w:t>
            </w:r>
            <w:r>
              <w:rPr>
                <w:highlight w:val="none"/>
              </w:rPr>
              <w:t>生活污水</w:t>
            </w:r>
            <w:r>
              <w:rPr>
                <w:rFonts w:hint="eastAsia"/>
                <w:highlight w:val="none"/>
              </w:rPr>
              <w:t>一起排入</w:t>
            </w:r>
            <w:r>
              <w:rPr>
                <w:highlight w:val="none"/>
              </w:rPr>
              <w:t>厂区污水处理站处理，达到</w:t>
            </w:r>
            <w:r>
              <w:rPr>
                <w:rFonts w:hint="default" w:ascii="Times New Roman" w:hAnsi="Times New Roman" w:eastAsia="宋体" w:cs="Times New Roman"/>
                <w:color w:val="0000FF"/>
                <w:highlight w:val="none"/>
              </w:rPr>
              <w:t>《城镇污水处理厂污染物排放标准》（GB18918-2002）表1中一级A标准，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highlight w:val="none"/>
              </w:rPr>
              <w:t>后，</w:t>
            </w:r>
            <w:r>
              <w:rPr>
                <w:rFonts w:hint="eastAsia"/>
                <w:highlight w:val="none"/>
              </w:rPr>
              <w:t>部分回用于厂区绿化，其余</w:t>
            </w:r>
            <w:r>
              <w:rPr>
                <w:highlight w:val="none"/>
              </w:rPr>
              <w:t>外排至</w:t>
            </w:r>
            <w:r>
              <w:rPr>
                <w:rFonts w:hint="eastAsia"/>
                <w:highlight w:val="none"/>
              </w:rPr>
              <w:t>企业租用的</w:t>
            </w:r>
            <w:r>
              <w:rPr>
                <w:highlight w:val="none"/>
              </w:rPr>
              <w:t>池塘</w:t>
            </w:r>
            <w:r>
              <w:rPr>
                <w:rFonts w:hint="eastAsia"/>
                <w:highlight w:val="none"/>
              </w:rPr>
              <w:t>后</w:t>
            </w:r>
            <w:r>
              <w:rPr>
                <w:highlight w:val="none"/>
              </w:rPr>
              <w:t>用于农田灌溉</w:t>
            </w:r>
            <w:r>
              <w:rPr>
                <w:rFonts w:hint="eastAsia"/>
                <w:highlight w:val="none"/>
              </w:rPr>
              <w:t>，因此本</w:t>
            </w:r>
            <w:r>
              <w:rPr>
                <w:highlight w:val="none"/>
              </w:rPr>
              <w:t>项目符合</w:t>
            </w:r>
            <w:r>
              <w:rPr>
                <w:rFonts w:hint="eastAsia"/>
                <w:highlight w:val="none"/>
              </w:rPr>
              <w:t>《江西省鄱阳湖流域总磷污染防治条例》</w:t>
            </w:r>
            <w:r>
              <w:rPr>
                <w:highlight w:val="none"/>
              </w:rPr>
              <w:t>中的相关要求</w:t>
            </w:r>
            <w:r>
              <w:rPr>
                <w:rFonts w:hint="eastAsia"/>
                <w:highlight w:val="none"/>
              </w:rPr>
              <w:t>。</w:t>
            </w:r>
          </w:p>
          <w:p>
            <w:pPr>
              <w:numPr>
                <w:ilvl w:val="0"/>
                <w:numId w:val="3"/>
              </w:numPr>
              <w:spacing w:line="360" w:lineRule="auto"/>
              <w:ind w:firstLine="481" w:firstLineChars="200"/>
              <w:rPr>
                <w:rFonts w:hint="eastAsia" w:ascii="Times New Roman" w:hAnsi="Times New Roman" w:eastAsia="宋体" w:cs="Times New Roman"/>
                <w:b/>
                <w:bCs/>
                <w:color w:val="0000FF"/>
                <w:sz w:val="24"/>
                <w:szCs w:val="22"/>
                <w:highlight w:val="none"/>
                <w:lang w:val="en-US" w:eastAsia="zh-CN"/>
              </w:rPr>
            </w:pPr>
            <w:r>
              <w:rPr>
                <w:rFonts w:hint="eastAsia" w:ascii="Times New Roman" w:hAnsi="Times New Roman" w:eastAsia="宋体" w:cs="Times New Roman"/>
                <w:b/>
                <w:bCs/>
                <w:color w:val="0000FF"/>
                <w:sz w:val="24"/>
                <w:szCs w:val="22"/>
                <w:highlight w:val="none"/>
                <w:lang w:val="en-US" w:eastAsia="zh-CN"/>
              </w:rPr>
              <w:t>与</w:t>
            </w:r>
            <w:r>
              <w:rPr>
                <w:rFonts w:hint="default" w:ascii="Times New Roman" w:hAnsi="Times New Roman" w:eastAsia="宋体" w:cs="Times New Roman"/>
                <w:b/>
                <w:bCs/>
                <w:color w:val="0000FF"/>
                <w:sz w:val="24"/>
                <w:szCs w:val="22"/>
                <w:highlight w:val="none"/>
                <w:lang w:val="en-US" w:eastAsia="zh-CN"/>
              </w:rPr>
              <w:t>《九江市固体废物污染环境防治条例》（2026 年 5 月 1 日）</w:t>
            </w:r>
            <w:r>
              <w:rPr>
                <w:rFonts w:hint="eastAsia" w:ascii="Times New Roman" w:hAnsi="Times New Roman" w:eastAsia="宋体" w:cs="Times New Roman"/>
                <w:b/>
                <w:bCs/>
                <w:color w:val="0000FF"/>
                <w:sz w:val="24"/>
                <w:szCs w:val="22"/>
                <w:highlight w:val="none"/>
                <w:lang w:val="en-US" w:eastAsia="zh-CN"/>
              </w:rPr>
              <w:t>符合性分析</w:t>
            </w:r>
          </w:p>
          <w:p>
            <w:pPr>
              <w:widowControl/>
              <w:adjustRightInd w:val="0"/>
              <w:snapToGrid w:val="0"/>
              <w:jc w:val="center"/>
              <w:rPr>
                <w:rFonts w:hint="default" w:eastAsia="宋体"/>
                <w:b/>
                <w:color w:val="0000FF"/>
                <w:kern w:val="0"/>
                <w:highlight w:val="none"/>
                <w:lang w:val="en-US" w:eastAsia="zh-CN"/>
              </w:rPr>
            </w:pPr>
            <w:r>
              <w:rPr>
                <w:rFonts w:hint="default" w:eastAsia="宋体"/>
                <w:b/>
                <w:color w:val="0000FF"/>
                <w:kern w:val="0"/>
                <w:highlight w:val="none"/>
                <w:lang w:val="en-US" w:eastAsia="zh-CN"/>
              </w:rPr>
              <w:t>表1-</w:t>
            </w:r>
            <w:r>
              <w:rPr>
                <w:rFonts w:hint="eastAsia" w:eastAsia="宋体"/>
                <w:b/>
                <w:color w:val="0000FF"/>
                <w:kern w:val="0"/>
                <w:highlight w:val="none"/>
                <w:lang w:val="en-US" w:eastAsia="zh-CN"/>
              </w:rPr>
              <w:t xml:space="preserve">5 </w:t>
            </w:r>
            <w:r>
              <w:rPr>
                <w:rFonts w:hint="default" w:eastAsia="宋体"/>
                <w:b/>
                <w:color w:val="0000FF"/>
                <w:kern w:val="0"/>
                <w:highlight w:val="none"/>
                <w:lang w:val="en-US" w:eastAsia="zh-CN"/>
              </w:rPr>
              <w:t xml:space="preserve"> 与《九江市固体废物污染环境防治条例》相关政策符合性分析</w:t>
            </w:r>
          </w:p>
          <w:tbl>
            <w:tblPr>
              <w:tblStyle w:val="4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38"/>
              <w:gridCol w:w="34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38" w:type="dxa"/>
                  <w:tcBorders>
                    <w:tl2br w:val="nil"/>
                    <w:tr2bl w:val="nil"/>
                  </w:tcBorders>
                  <w:vAlign w:val="top"/>
                </w:tcPr>
                <w:p>
                  <w:pPr>
                    <w:pStyle w:val="103"/>
                    <w:jc w:val="center"/>
                    <w:rPr>
                      <w:rFonts w:hint="eastAsia"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内容</w:t>
                  </w:r>
                </w:p>
              </w:tc>
              <w:tc>
                <w:tcPr>
                  <w:tcW w:w="3405" w:type="dxa"/>
                  <w:tcBorders>
                    <w:tl2br w:val="nil"/>
                    <w:tr2bl w:val="nil"/>
                  </w:tcBorders>
                  <w:vAlign w:val="top"/>
                </w:tcPr>
                <w:p>
                  <w:pPr>
                    <w:pStyle w:val="103"/>
                    <w:jc w:val="center"/>
                    <w:rPr>
                      <w:rFonts w:hint="default"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38"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eastAsia" w:ascii="Times New Roman" w:hAnsi="Times New Roman" w:eastAsia="宋体"/>
                      <w:color w:val="0000FF"/>
                      <w:sz w:val="21"/>
                      <w:szCs w:val="21"/>
                      <w:highlight w:val="none"/>
                      <w:lang w:val="en-US" w:eastAsia="zh-CN"/>
                    </w:rPr>
                    <w:t xml:space="preserve">第九条 </w:t>
                  </w:r>
                  <w:r>
                    <w:rPr>
                      <w:rFonts w:hint="default" w:ascii="Times New Roman" w:hAnsi="Times New Roman" w:eastAsia="宋体"/>
                      <w:color w:val="0000FF"/>
                      <w:sz w:val="21"/>
                      <w:szCs w:val="21"/>
                      <w:highlight w:val="none"/>
                    </w:rPr>
                    <w:t>产生工业固体废物的单位委托他人运输、利用、处置工业固体废物的，应当对受托方的主体资格和技术能力进行核实，依法签订书面合同，并在合同中约定污染防治要求。</w:t>
                  </w:r>
                </w:p>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受托方应当依照有关</w:t>
                  </w:r>
                  <w:r>
                    <w:rPr>
                      <w:rFonts w:hint="eastAsia" w:ascii="Times New Roman" w:hAnsi="Times New Roman" w:eastAsia="宋体"/>
                      <w:color w:val="0000FF"/>
                      <w:sz w:val="21"/>
                      <w:szCs w:val="21"/>
                      <w:highlight w:val="none"/>
                      <w:lang w:eastAsia="zh-CN"/>
                    </w:rPr>
                    <w:t>法律法规</w:t>
                  </w:r>
                  <w:r>
                    <w:rPr>
                      <w:rFonts w:hint="default" w:ascii="Times New Roman" w:hAnsi="Times New Roman" w:eastAsia="宋体"/>
                      <w:color w:val="0000FF"/>
                      <w:sz w:val="21"/>
                      <w:szCs w:val="21"/>
                      <w:highlight w:val="none"/>
                    </w:rPr>
                    <w:t>的规定和合同约定履行污染防治要求，并将运输、利用、处置情况告知产生工业固体废物的单位。</w:t>
                  </w:r>
                </w:p>
              </w:tc>
              <w:tc>
                <w:tcPr>
                  <w:tcW w:w="3405"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本项目一般工业固废拟</w:t>
                  </w:r>
                  <w:r>
                    <w:rPr>
                      <w:rFonts w:hint="eastAsia" w:ascii="Times New Roman" w:hAnsi="Times New Roman" w:eastAsia="宋体"/>
                      <w:color w:val="0000FF"/>
                      <w:sz w:val="21"/>
                      <w:szCs w:val="21"/>
                      <w:highlight w:val="none"/>
                      <w:lang w:val="en-US" w:eastAsia="zh-CN"/>
                    </w:rPr>
                    <w:t>外售</w:t>
                  </w:r>
                  <w:r>
                    <w:rPr>
                      <w:rFonts w:hint="default" w:ascii="Times New Roman" w:hAnsi="Times New Roman" w:eastAsia="宋体"/>
                      <w:color w:val="0000FF"/>
                      <w:sz w:val="21"/>
                      <w:szCs w:val="21"/>
                      <w:highlight w:val="none"/>
                    </w:rPr>
                    <w:t>进行综合利用或处置，危险废物（废润滑油等）委托具有危险废物经营许可证的专业单位处置。建设单位将在正式投产前对受托方的主体资格和技术能力进行核实，依法签订书面合同，约定污染防治要求，并监督受托方履行相关义务。受托方的运输、利用、处置情况将纳入固体废物管理台账同步记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38"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第十条  产生工业固体废物的单位，应当依法实施清洁生产审核，采取清洁能源改造或者原料替代等方式，减少工业固体废物的产生量，降低工业固体废物的危害性。  </w:t>
                  </w:r>
                </w:p>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鼓励产生工业固体废物的单位自行利用、处置所产生的工业固体废物。鼓励企业间进行工业固体废物的承接利用。</w:t>
                  </w:r>
                </w:p>
              </w:tc>
              <w:tc>
                <w:tcPr>
                  <w:tcW w:w="3405"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eastAsia" w:ascii="Times New Roman" w:hAnsi="Times New Roman" w:eastAsia="宋体"/>
                      <w:color w:val="0000FF"/>
                      <w:sz w:val="21"/>
                      <w:szCs w:val="21"/>
                      <w:highlight w:val="none"/>
                      <w:lang w:val="en-US" w:eastAsia="zh-CN"/>
                    </w:rPr>
                    <w:t>本项目采用先进生产工艺</w:t>
                  </w:r>
                  <w:r>
                    <w:rPr>
                      <w:rFonts w:hint="default" w:ascii="Times New Roman" w:hAnsi="Times New Roman" w:eastAsia="宋体"/>
                      <w:color w:val="0000FF"/>
                      <w:sz w:val="21"/>
                      <w:szCs w:val="21"/>
                      <w:highlight w:val="none"/>
                    </w:rPr>
                    <w:t>，最大限度减少蛋壳破碎损耗导致的蛋液流失量，从源头减少食品加工废弃物的产生量。蛋壳等固废暂存区，做到日产日清，防止腐败滋生蚊蝇和异味散发。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338"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第十五条  产生、收集、贮存、利用、处置危险废物的单位</w:t>
                  </w:r>
                </w:p>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应当按照强制性标准建造危险废物贮存设施或者设置贮存场所，并根据危险废物特性分类贮存。禁止将危险废物混入非危险废物中贮存。禁止混合收集、贮存、运输、处置性质不相容而未经安全性处置的危险废物。</w:t>
                  </w:r>
                </w:p>
              </w:tc>
              <w:tc>
                <w:tcPr>
                  <w:tcW w:w="3405" w:type="dxa"/>
                  <w:tcBorders>
                    <w:tl2br w:val="nil"/>
                    <w:tr2bl w:val="nil"/>
                  </w:tcBorders>
                  <w:vAlign w:val="center"/>
                </w:tcPr>
                <w:p>
                  <w:pPr>
                    <w:pStyle w:val="103"/>
                    <w:jc w:val="both"/>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本项目将按要求建设危险废物暂存间，</w:t>
                  </w:r>
                  <w:r>
                    <w:rPr>
                      <w:rFonts w:hint="default" w:ascii="Times New Roman" w:hAnsi="Times New Roman" w:eastAsia="宋体"/>
                      <w:color w:val="0000FF"/>
                      <w:sz w:val="21"/>
                      <w:szCs w:val="21"/>
                      <w:highlight w:val="none"/>
                    </w:rPr>
                    <w:t>根据危险废物特性分类贮存</w:t>
                  </w:r>
                  <w:r>
                    <w:rPr>
                      <w:rFonts w:hint="eastAsia" w:ascii="Times New Roman" w:hAnsi="Times New Roman" w:eastAsia="宋体"/>
                      <w:color w:val="0000FF"/>
                      <w:sz w:val="21"/>
                      <w:szCs w:val="21"/>
                      <w:highlight w:val="none"/>
                      <w:lang w:eastAsia="zh-CN"/>
                    </w:rPr>
                    <w:t>。</w:t>
                  </w:r>
                </w:p>
              </w:tc>
            </w:tr>
          </w:tbl>
          <w:p>
            <w:pPr>
              <w:numPr>
                <w:ilvl w:val="0"/>
                <w:numId w:val="3"/>
              </w:numPr>
              <w:spacing w:line="360" w:lineRule="auto"/>
              <w:ind w:left="0" w:leftChars="0" w:firstLine="481" w:firstLineChars="200"/>
              <w:rPr>
                <w:rFonts w:hint="eastAsia" w:ascii="Times New Roman" w:hAnsi="Times New Roman" w:eastAsia="宋体" w:cs="Times New Roman"/>
                <w:b/>
                <w:bCs/>
                <w:color w:val="0000FF"/>
                <w:sz w:val="24"/>
                <w:szCs w:val="22"/>
                <w:highlight w:val="none"/>
                <w:lang w:val="en-US" w:eastAsia="zh-CN"/>
              </w:rPr>
            </w:pPr>
            <w:r>
              <w:rPr>
                <w:rFonts w:hint="eastAsia" w:ascii="Times New Roman" w:hAnsi="Times New Roman" w:eastAsia="宋体" w:cs="Times New Roman"/>
                <w:b/>
                <w:bCs/>
                <w:color w:val="0000FF"/>
                <w:sz w:val="24"/>
                <w:szCs w:val="22"/>
                <w:highlight w:val="none"/>
                <w:lang w:val="en-US" w:eastAsia="zh-CN"/>
              </w:rPr>
              <w:t>与</w:t>
            </w:r>
            <w:r>
              <w:rPr>
                <w:rFonts w:hint="default" w:ascii="Times New Roman" w:hAnsi="Times New Roman" w:eastAsia="宋体" w:cs="Times New Roman"/>
                <w:b/>
                <w:bCs/>
                <w:color w:val="0000FF"/>
                <w:sz w:val="24"/>
                <w:szCs w:val="22"/>
                <w:highlight w:val="none"/>
                <w:lang w:val="en-US" w:eastAsia="zh-CN"/>
              </w:rPr>
              <w:t>《食品安全国家标准 蛋与蛋制品生产卫生规范》（GB21710-2016）</w:t>
            </w:r>
            <w:r>
              <w:rPr>
                <w:rFonts w:hint="eastAsia" w:ascii="Times New Roman" w:hAnsi="Times New Roman" w:eastAsia="宋体" w:cs="Times New Roman"/>
                <w:b/>
                <w:bCs/>
                <w:color w:val="0000FF"/>
                <w:sz w:val="24"/>
                <w:szCs w:val="22"/>
                <w:highlight w:val="none"/>
                <w:lang w:val="en-US" w:eastAsia="zh-CN"/>
              </w:rPr>
              <w:t>符合性分析</w:t>
            </w:r>
          </w:p>
          <w:p>
            <w:pPr>
              <w:widowControl/>
              <w:adjustRightInd w:val="0"/>
              <w:snapToGrid w:val="0"/>
              <w:jc w:val="center"/>
              <w:rPr>
                <w:rFonts w:hint="default" w:eastAsia="宋体"/>
                <w:b/>
                <w:color w:val="0000FF"/>
                <w:kern w:val="0"/>
                <w:highlight w:val="none"/>
                <w:lang w:val="en-US" w:eastAsia="zh-CN"/>
              </w:rPr>
            </w:pPr>
            <w:r>
              <w:rPr>
                <w:rFonts w:hint="default" w:eastAsia="宋体"/>
                <w:b/>
                <w:color w:val="0000FF"/>
                <w:kern w:val="0"/>
                <w:highlight w:val="none"/>
                <w:lang w:val="en-US" w:eastAsia="zh-CN"/>
              </w:rPr>
              <w:t>表1-5  与《食品安全国家标准 蛋与蛋制品生产卫生规范》（GB21710-2016）符合性分析</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45"/>
              <w:gridCol w:w="43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78" w:type="dxa"/>
                  <w:tcBorders>
                    <w:tl2br w:val="nil"/>
                    <w:tr2bl w:val="nil"/>
                  </w:tcBorders>
                  <w:vAlign w:val="center"/>
                </w:tcPr>
                <w:p>
                  <w:pPr>
                    <w:pStyle w:val="103"/>
                    <w:jc w:val="center"/>
                    <w:rPr>
                      <w:rFonts w:hint="default"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规范条款</w:t>
                  </w:r>
                </w:p>
              </w:tc>
              <w:tc>
                <w:tcPr>
                  <w:tcW w:w="2645" w:type="dxa"/>
                  <w:tcBorders>
                    <w:tl2br w:val="nil"/>
                    <w:tr2bl w:val="nil"/>
                  </w:tcBorders>
                  <w:vAlign w:val="center"/>
                </w:tcPr>
                <w:p>
                  <w:pPr>
                    <w:pStyle w:val="103"/>
                    <w:jc w:val="center"/>
                    <w:rPr>
                      <w:rFonts w:hint="eastAsia"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规范内容</w:t>
                  </w:r>
                </w:p>
              </w:tc>
              <w:tc>
                <w:tcPr>
                  <w:tcW w:w="4317" w:type="dxa"/>
                  <w:tcBorders>
                    <w:tl2br w:val="nil"/>
                    <w:tr2bl w:val="nil"/>
                  </w:tcBorders>
                  <w:vAlign w:val="center"/>
                </w:tcPr>
                <w:p>
                  <w:pPr>
                    <w:pStyle w:val="103"/>
                    <w:jc w:val="center"/>
                    <w:rPr>
                      <w:rFonts w:hint="default"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原料采购</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鲜蛋采购应从符合要求的供应商处采购，并对原料质量进行验收</w:t>
                  </w:r>
                </w:p>
              </w:tc>
              <w:tc>
                <w:tcPr>
                  <w:tcW w:w="4317" w:type="dxa"/>
                  <w:tcBorders>
                    <w:tl2br w:val="nil"/>
                    <w:tr2bl w:val="nil"/>
                  </w:tcBorders>
                  <w:vAlign w:val="center"/>
                </w:tcPr>
                <w:p>
                  <w:pPr>
                    <w:pStyle w:val="103"/>
                    <w:jc w:val="left"/>
                    <w:rPr>
                      <w:rFonts w:hint="eastAsia" w:ascii="Times New Roman" w:hAnsi="Times New Roman" w:eastAsia="宋体"/>
                      <w:color w:val="0000FF"/>
                      <w:sz w:val="21"/>
                      <w:szCs w:val="21"/>
                      <w:highlight w:val="none"/>
                      <w:lang w:eastAsia="zh-CN"/>
                    </w:rPr>
                  </w:pPr>
                  <w:r>
                    <w:rPr>
                      <w:rFonts w:hint="default" w:ascii="Times New Roman" w:hAnsi="Times New Roman" w:eastAsia="宋体"/>
                      <w:color w:val="0000FF"/>
                      <w:sz w:val="21"/>
                      <w:szCs w:val="21"/>
                      <w:highlight w:val="none"/>
                    </w:rPr>
                    <w:t>项目建成后将从具有合法资质的规模化禽蛋养殖基地或合格供应商处采购鲜禽蛋，建立供应商审核制度和进货查验记录制度，对每批原料蛋进行感官检查和合格证明查验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选址及厂区环境</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厂区选址应远离污染源，厂区环境应保持清洁，不得对食品生产造成污染</w:t>
                  </w:r>
                </w:p>
              </w:tc>
              <w:tc>
                <w:tcPr>
                  <w:tcW w:w="4317"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项目位于庐山市华林镇吉山村华林板岩加工园二期地块，</w:t>
                  </w:r>
                  <w:r>
                    <w:rPr>
                      <w:rFonts w:hint="eastAsia" w:ascii="Times New Roman" w:hAnsi="Times New Roman" w:eastAsia="宋体"/>
                      <w:color w:val="0000FF"/>
                      <w:sz w:val="21"/>
                      <w:szCs w:val="21"/>
                      <w:highlight w:val="none"/>
                    </w:rPr>
                    <w:t>周边企业在生产过程中产生的粉尘等废气已配套除尘设施进行处理，并经标准化厂房的墙体隔离后排放，</w:t>
                  </w:r>
                  <w:r>
                    <w:rPr>
                      <w:rFonts w:hint="default" w:ascii="Times New Roman" w:hAnsi="Times New Roman" w:eastAsia="宋体"/>
                      <w:color w:val="0000FF"/>
                      <w:sz w:val="21"/>
                      <w:szCs w:val="21"/>
                      <w:highlight w:val="none"/>
                    </w:rPr>
                    <w:t>对周边环境的影响较小。本项目位于周边企业的常年主导</w:t>
                  </w:r>
                  <w:r>
                    <w:rPr>
                      <w:rFonts w:hint="eastAsia" w:ascii="Times New Roman" w:hAnsi="Times New Roman" w:eastAsia="宋体"/>
                      <w:color w:val="0000FF"/>
                      <w:sz w:val="21"/>
                      <w:szCs w:val="21"/>
                      <w:highlight w:val="none"/>
                      <w:lang w:val="en-US" w:eastAsia="zh-CN"/>
                    </w:rPr>
                    <w:t>风向</w:t>
                  </w:r>
                  <w:r>
                    <w:rPr>
                      <w:rFonts w:hint="default" w:ascii="Times New Roman" w:hAnsi="Times New Roman" w:eastAsia="宋体"/>
                      <w:color w:val="0000FF"/>
                      <w:sz w:val="21"/>
                      <w:szCs w:val="21"/>
                      <w:highlight w:val="none"/>
                    </w:rPr>
                    <w:t>上风向，从源头上减少了外来粉尘随气流进入</w:t>
                  </w:r>
                  <w:r>
                    <w:rPr>
                      <w:rFonts w:hint="eastAsia" w:ascii="Times New Roman" w:hAnsi="Times New Roman" w:eastAsia="宋体"/>
                      <w:color w:val="0000FF"/>
                      <w:sz w:val="21"/>
                      <w:szCs w:val="21"/>
                      <w:highlight w:val="none"/>
                    </w:rPr>
                    <w:t>生产车间</w:t>
                  </w:r>
                  <w:r>
                    <w:rPr>
                      <w:rFonts w:hint="default" w:ascii="Times New Roman" w:hAnsi="Times New Roman" w:eastAsia="宋体"/>
                      <w:color w:val="0000FF"/>
                      <w:sz w:val="21"/>
                      <w:szCs w:val="21"/>
                      <w:highlight w:val="none"/>
                    </w:rPr>
                    <w:t>的可能，厂区道路硬化、绿化分区合理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厂房和车间</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厂房和车间应合理设计，根据生产流程、操作需要和清洁度要求进行分区，防止交叉污染</w:t>
                  </w:r>
                </w:p>
              </w:tc>
              <w:tc>
                <w:tcPr>
                  <w:tcW w:w="4317" w:type="dxa"/>
                  <w:tcBorders>
                    <w:tl2br w:val="nil"/>
                    <w:tr2bl w:val="nil"/>
                  </w:tcBorders>
                  <w:vAlign w:val="center"/>
                </w:tcPr>
                <w:p>
                  <w:pPr>
                    <w:pStyle w:val="103"/>
                    <w:jc w:val="left"/>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项目生产车间按清洁作业区（蛋液杀菌及内包装区）、准清洁作业区（打蛋过滤区）、一般作业区（原料接收区、外包装区）进行分区布局，各作业区之间设置有效物理分隔，防止交叉污染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设施与设备</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应配备与生产相适应的设施设备，设备材质应符合食品安全要求，便于清洁消毒；生产场所应设置更衣室，必要时特定作业区入口可按需要设置更衣室</w:t>
                  </w:r>
                </w:p>
              </w:tc>
              <w:tc>
                <w:tcPr>
                  <w:tcW w:w="4317" w:type="dxa"/>
                  <w:tcBorders>
                    <w:tl2br w:val="nil"/>
                    <w:tr2bl w:val="nil"/>
                  </w:tcBorders>
                  <w:vAlign w:val="center"/>
                </w:tcPr>
                <w:p>
                  <w:pPr>
                    <w:pStyle w:val="103"/>
                    <w:jc w:val="left"/>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项目生产线选用食品级不锈钢材质打蛋分离设备、板式巴氏杀菌机、均质机、灌装设备，各设备均便于拆卸清洗；各作业区入口设置相应等级的更衣室和洗手消毒设施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打蛋工艺要求</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蛋壳破裂应采用不造成蛋壳破裂或污染的破壳方式</w:t>
                  </w:r>
                </w:p>
              </w:tc>
              <w:tc>
                <w:tcPr>
                  <w:tcW w:w="4317" w:type="dxa"/>
                  <w:tcBorders>
                    <w:tl2br w:val="nil"/>
                    <w:tr2bl w:val="nil"/>
                  </w:tcBorders>
                  <w:vAlign w:val="center"/>
                </w:tcPr>
                <w:p>
                  <w:pPr>
                    <w:pStyle w:val="103"/>
                    <w:jc w:val="left"/>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项目拟采用机械打蛋方式对鲜禽蛋逐个破壳，不使用挤压破壳法，以避免蛋壳碎屑污染蛋液和微生物污染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生产过程控制</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对蛋与蛋制品加工过程的食品安全控制要求按不同种类制品进行细化</w:t>
                  </w:r>
                </w:p>
              </w:tc>
              <w:tc>
                <w:tcPr>
                  <w:tcW w:w="4317" w:type="dxa"/>
                  <w:tcBorders>
                    <w:tl2br w:val="nil"/>
                    <w:tr2bl w:val="nil"/>
                  </w:tcBorders>
                  <w:vAlign w:val="center"/>
                </w:tcPr>
                <w:p>
                  <w:pPr>
                    <w:pStyle w:val="103"/>
                    <w:jc w:val="left"/>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项目建立覆盖原料接收、清洗消毒、打蛋、过滤、均质、巴氏杀菌、冷却、灌装、冷藏等全工序的食品安全关键控制点管理体系，对杀菌温度、杀菌时间等关键参数实施在线监控与记录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l2br w:val="nil"/>
                    <w:tr2bl w:val="nil"/>
                  </w:tcBorders>
                  <w:vAlign w:val="center"/>
                </w:tcPr>
                <w:p>
                  <w:pPr>
                    <w:pStyle w:val="103"/>
                    <w:jc w:val="center"/>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贮存和运输</w:t>
                  </w:r>
                </w:p>
              </w:tc>
              <w:tc>
                <w:tcPr>
                  <w:tcW w:w="2645" w:type="dxa"/>
                  <w:tcBorders>
                    <w:tl2br w:val="nil"/>
                    <w:tr2bl w:val="nil"/>
                  </w:tcBorders>
                  <w:vAlign w:val="center"/>
                </w:tcPr>
                <w:p>
                  <w:pPr>
                    <w:pStyle w:val="103"/>
                    <w:jc w:val="left"/>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蛋液制品应在冷藏条件下贮存和运输，温度应符合产品要求，防止产品变质</w:t>
                  </w:r>
                </w:p>
              </w:tc>
              <w:tc>
                <w:tcPr>
                  <w:tcW w:w="4317" w:type="dxa"/>
                  <w:tcBorders>
                    <w:tl2br w:val="nil"/>
                    <w:tr2bl w:val="nil"/>
                  </w:tcBorders>
                  <w:vAlign w:val="center"/>
                </w:tcPr>
                <w:p>
                  <w:pPr>
                    <w:pStyle w:val="103"/>
                    <w:jc w:val="left"/>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项目成品蛋液贮存于0~4℃冷库内，配备温度自动记录和报警装置；冷藏运输车辆配备车载制冷机组，车厢温度全程监控，确保冷链不断链</w:t>
                  </w:r>
                </w:p>
              </w:tc>
            </w:tr>
          </w:tbl>
          <w:p>
            <w:pPr>
              <w:pStyle w:val="96"/>
              <w:ind w:firstLine="480"/>
              <w:rPr>
                <w:rFonts w:hint="default"/>
                <w:color w:val="0000FF"/>
                <w:highlight w:val="none"/>
                <w:lang w:val="en-US" w:eastAsia="zh-CN"/>
              </w:rPr>
            </w:pPr>
            <w:r>
              <w:rPr>
                <w:rFonts w:hint="eastAsia"/>
                <w:color w:val="0000FF"/>
                <w:highlight w:val="none"/>
                <w:lang w:val="en-US" w:eastAsia="zh-CN"/>
              </w:rPr>
              <w:t>综上分析，</w:t>
            </w:r>
            <w:r>
              <w:rPr>
                <w:rFonts w:hint="default"/>
                <w:color w:val="0000FF"/>
                <w:highlight w:val="none"/>
                <w:lang w:val="en-US" w:eastAsia="zh-CN"/>
              </w:rPr>
              <w:t>本项目在选址环境、厂房车间布局、设施设备配置、生产过程控</w:t>
            </w:r>
            <w:r>
              <w:rPr>
                <w:rFonts w:hint="eastAsia"/>
                <w:color w:val="0000FF"/>
                <w:highlight w:val="none"/>
                <w:lang w:val="en-US" w:eastAsia="zh-CN"/>
              </w:rPr>
              <w:t>制和</w:t>
            </w:r>
            <w:r>
              <w:rPr>
                <w:rFonts w:hint="default"/>
                <w:color w:val="0000FF"/>
                <w:highlight w:val="none"/>
                <w:lang w:val="en-US" w:eastAsia="zh-CN"/>
              </w:rPr>
              <w:t>冷链贮存运输等方面均拟按GB 21710-2016的要求进行设计和管理，整体上符合该标准的各项规定。</w:t>
            </w:r>
          </w:p>
          <w:p>
            <w:pPr>
              <w:numPr>
                <w:ilvl w:val="0"/>
                <w:numId w:val="3"/>
              </w:numPr>
              <w:spacing w:line="360" w:lineRule="auto"/>
              <w:ind w:left="0" w:leftChars="0" w:firstLine="481" w:firstLineChars="200"/>
              <w:rPr>
                <w:rFonts w:hint="eastAsia" w:ascii="Times New Roman" w:hAnsi="Times New Roman" w:eastAsia="宋体" w:cs="Times New Roman"/>
                <w:b/>
                <w:bCs/>
                <w:sz w:val="24"/>
                <w:szCs w:val="22"/>
                <w:highlight w:val="none"/>
                <w:lang w:val="en-US" w:eastAsia="zh-CN"/>
              </w:rPr>
            </w:pPr>
            <w:r>
              <w:rPr>
                <w:rFonts w:hint="eastAsia" w:ascii="Times New Roman" w:hAnsi="Times New Roman" w:eastAsia="宋体" w:cs="Times New Roman"/>
                <w:b/>
                <w:bCs/>
                <w:sz w:val="24"/>
                <w:szCs w:val="22"/>
                <w:highlight w:val="none"/>
                <w:lang w:val="en-US" w:eastAsia="zh-CN"/>
              </w:rPr>
              <w:t>与</w:t>
            </w:r>
            <w:r>
              <w:rPr>
                <w:rFonts w:hint="default" w:ascii="Times New Roman" w:hAnsi="Times New Roman" w:eastAsia="宋体" w:cs="Times New Roman"/>
                <w:b/>
                <w:bCs/>
                <w:sz w:val="24"/>
                <w:szCs w:val="22"/>
                <w:highlight w:val="none"/>
                <w:lang w:val="en-US" w:eastAsia="zh-CN"/>
              </w:rPr>
              <w:t>《蛋制品生产许可审查细则》（2025 版）</w:t>
            </w:r>
            <w:r>
              <w:rPr>
                <w:rFonts w:hint="eastAsia" w:ascii="Times New Roman" w:hAnsi="Times New Roman" w:eastAsia="宋体" w:cs="Times New Roman"/>
                <w:b/>
                <w:bCs/>
                <w:sz w:val="24"/>
                <w:szCs w:val="22"/>
                <w:highlight w:val="none"/>
                <w:lang w:val="en-US" w:eastAsia="zh-CN"/>
              </w:rPr>
              <w:t>符合性分析</w:t>
            </w:r>
          </w:p>
          <w:p>
            <w:pPr>
              <w:widowControl/>
              <w:adjustRightInd w:val="0"/>
              <w:snapToGrid w:val="0"/>
              <w:jc w:val="center"/>
              <w:rPr>
                <w:rFonts w:hint="default" w:eastAsia="宋体"/>
                <w:b/>
                <w:color w:val="0000FF"/>
                <w:kern w:val="0"/>
                <w:highlight w:val="none"/>
                <w:lang w:val="en-US" w:eastAsia="zh-CN"/>
              </w:rPr>
            </w:pPr>
            <w:r>
              <w:rPr>
                <w:rFonts w:hint="default" w:eastAsia="宋体"/>
                <w:b/>
                <w:color w:val="0000FF"/>
                <w:kern w:val="0"/>
                <w:highlight w:val="none"/>
                <w:lang w:val="en-US" w:eastAsia="zh-CN"/>
              </w:rPr>
              <w:t>表1-</w:t>
            </w:r>
            <w:r>
              <w:rPr>
                <w:rFonts w:hint="eastAsia"/>
                <w:b/>
                <w:color w:val="0000FF"/>
                <w:kern w:val="0"/>
                <w:highlight w:val="none"/>
                <w:lang w:val="en-US" w:eastAsia="zh-CN"/>
              </w:rPr>
              <w:t>6</w:t>
            </w:r>
            <w:r>
              <w:rPr>
                <w:rFonts w:hint="eastAsia" w:eastAsia="宋体"/>
                <w:b/>
                <w:color w:val="0000FF"/>
                <w:kern w:val="0"/>
                <w:highlight w:val="none"/>
                <w:lang w:val="en-US" w:eastAsia="zh-CN"/>
              </w:rPr>
              <w:t xml:space="preserve"> </w:t>
            </w:r>
            <w:r>
              <w:rPr>
                <w:rFonts w:hint="default" w:eastAsia="宋体"/>
                <w:b/>
                <w:color w:val="0000FF"/>
                <w:kern w:val="0"/>
                <w:highlight w:val="none"/>
                <w:lang w:val="en-US" w:eastAsia="zh-CN"/>
              </w:rPr>
              <w:t xml:space="preserve"> 与《蛋制品生产许可审查细则》（2025 版）符合性分析</w:t>
            </w:r>
          </w:p>
          <w:tbl>
            <w:tblPr>
              <w:tblStyle w:val="4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627"/>
              <w:gridCol w:w="32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l2br w:val="nil"/>
                    <w:tr2bl w:val="nil"/>
                  </w:tcBorders>
                  <w:vAlign w:val="center"/>
                </w:tcPr>
                <w:p>
                  <w:pPr>
                    <w:pStyle w:val="103"/>
                    <w:jc w:val="center"/>
                    <w:rPr>
                      <w:rFonts w:hint="default"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监管要素</w:t>
                  </w:r>
                </w:p>
              </w:tc>
              <w:tc>
                <w:tcPr>
                  <w:tcW w:w="3627" w:type="dxa"/>
                  <w:tcBorders>
                    <w:tl2br w:val="nil"/>
                    <w:tr2bl w:val="nil"/>
                  </w:tcBorders>
                  <w:vAlign w:val="center"/>
                </w:tcPr>
                <w:p>
                  <w:pPr>
                    <w:pStyle w:val="103"/>
                    <w:jc w:val="center"/>
                    <w:rPr>
                      <w:rFonts w:hint="default"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细则要求</w:t>
                  </w:r>
                </w:p>
              </w:tc>
              <w:tc>
                <w:tcPr>
                  <w:tcW w:w="3253" w:type="dxa"/>
                  <w:tcBorders>
                    <w:tl2br w:val="nil"/>
                    <w:tr2bl w:val="nil"/>
                  </w:tcBorders>
                  <w:vAlign w:val="center"/>
                </w:tcPr>
                <w:p>
                  <w:pPr>
                    <w:pStyle w:val="103"/>
                    <w:jc w:val="center"/>
                    <w:rPr>
                      <w:rFonts w:hint="default" w:ascii="Times New Roman" w:hAnsi="Times New Roman" w:eastAsia="宋体"/>
                      <w:b/>
                      <w:bCs/>
                      <w:color w:val="0000FF"/>
                      <w:sz w:val="21"/>
                      <w:szCs w:val="21"/>
                      <w:highlight w:val="none"/>
                      <w:lang w:val="en-US" w:eastAsia="zh-CN"/>
                    </w:rPr>
                  </w:pPr>
                  <w:r>
                    <w:rPr>
                      <w:rFonts w:hint="eastAsia" w:ascii="Times New Roman" w:hAnsi="Times New Roman" w:eastAsia="宋体"/>
                      <w:b/>
                      <w:bCs/>
                      <w:color w:val="0000FF"/>
                      <w:sz w:val="21"/>
                      <w:szCs w:val="21"/>
                      <w:highlight w:val="none"/>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生产场所设置</w:t>
                  </w:r>
                </w:p>
              </w:tc>
              <w:tc>
                <w:tcPr>
                  <w:tcW w:w="3627"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企业应根据产品特点及工艺要求设置相应的生产场所。液蛋制品常规生产场所一般包括选蛋区、洗蛋区、打蛋区、配料区、杀菌区、内包装区、外包装区及仓库（原辅料仓库、成品仓库、包装材料仓库）</w:t>
                  </w:r>
                </w:p>
              </w:tc>
              <w:tc>
                <w:tcPr>
                  <w:tcW w:w="3253"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项目生产场所按液蛋制品标准完整设置选蛋区、洗蛋区、打蛋过滤区、均质区、巴氏杀菌区、冷却区、灌装区（内包装区）、外包装区及原辅料仓库、包材库、成品冷库等功能区域，功能齐备、布局合理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生产车间分区</w:t>
                  </w:r>
                </w:p>
              </w:tc>
              <w:tc>
                <w:tcPr>
                  <w:tcW w:w="3627"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生产车间应按生产工艺、卫生控制要求有序合理布局，根据生产流程、操作需要和清洁度要求进行分离或分隔，原则上划分为清洁作业区、准清洁作业区和一般作业区，不同洁净级别作业区域之间应设置有效分隔</w:t>
                  </w:r>
                </w:p>
              </w:tc>
              <w:tc>
                <w:tcPr>
                  <w:tcW w:w="3253"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项目车间分区如下：一般作业区包括选蛋区、外包装区、原辅料仓库；准清洁作业区包括洗蛋区、打蛋过滤区；清洁作业区包括均质区、巴氏杀菌区、冷却区、灌装区（内包装区）。各区域之间设置物理隔断或缓冲区，人员及物料流向按清洁度由低到高设计，防止交叉污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860"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厂房设计基本要求</w:t>
                  </w:r>
                </w:p>
              </w:tc>
              <w:tc>
                <w:tcPr>
                  <w:tcW w:w="3627"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厂房的结构和设计应能保证蛋制品加工过程的有序进行，并提供适合的温湿度条件，不应在露天环境下进行生产加工</w:t>
                  </w:r>
                </w:p>
              </w:tc>
              <w:tc>
                <w:tcPr>
                  <w:tcW w:w="3253" w:type="dxa"/>
                  <w:tcBorders>
                    <w:tl2br w:val="nil"/>
                    <w:tr2bl w:val="nil"/>
                  </w:tcBorders>
                  <w:vAlign w:val="center"/>
                </w:tcPr>
                <w:p>
                  <w:pPr>
                    <w:pStyle w:val="103"/>
                    <w:jc w:val="both"/>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项目蛋液加工各工序均在封闭式厂房内完成，车间配备温湿度调节系统，确保杀菌区、灌装区、冷藏区等关键区域的温湿度满足工艺要求，无露天生产环节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防止微生物污染</w:t>
                  </w:r>
                </w:p>
              </w:tc>
              <w:tc>
                <w:tcPr>
                  <w:tcW w:w="3627"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厂房和车间应合理设计，建造和规划与生产相适应的相关设施和设备，以防止微生物</w:t>
                  </w:r>
                  <w:r>
                    <w:rPr>
                      <w:rFonts w:hint="eastAsia" w:ascii="Times New Roman" w:hAnsi="Times New Roman" w:eastAsia="宋体"/>
                      <w:color w:val="0000FF"/>
                      <w:sz w:val="21"/>
                      <w:szCs w:val="21"/>
                      <w:highlight w:val="none"/>
                      <w:lang w:eastAsia="zh-CN"/>
                    </w:rPr>
                    <w:t>滋生</w:t>
                  </w:r>
                  <w:r>
                    <w:rPr>
                      <w:rFonts w:hint="default" w:ascii="Times New Roman" w:hAnsi="Times New Roman" w:eastAsia="宋体"/>
                      <w:color w:val="0000FF"/>
                      <w:sz w:val="21"/>
                      <w:szCs w:val="21"/>
                      <w:highlight w:val="none"/>
                    </w:rPr>
                    <w:t>及污染，特别是应防止沙门氏菌的污染；接收及贮存原料的区域应与终产品的加工及包装区域分隔；用于贮存、生产或者处理可食产品的区域应与用于处理不可食物质的区域明确分隔</w:t>
                  </w:r>
                </w:p>
              </w:tc>
              <w:tc>
                <w:tcPr>
                  <w:tcW w:w="3253" w:type="dxa"/>
                  <w:tcBorders>
                    <w:tl2br w:val="nil"/>
                    <w:tr2bl w:val="nil"/>
                  </w:tcBorders>
                  <w:vAlign w:val="center"/>
                </w:tcPr>
                <w:p>
                  <w:pPr>
                    <w:pStyle w:val="103"/>
                    <w:jc w:val="both"/>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原料蛋接收清洗区与蛋液杀菌灌装区分设不同功能区，蛋壳等不可食物质设置单独处理区并远离生产加工区域；车间地面墙面采用易于清洁的光滑材料，排水系统设置合理；制定了车间环境、设备表面、人员手部的微生物监控计划（含沙门氏菌检测），厂房设计有效防止沙门氏菌污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打蛋工艺要求</w:t>
                  </w:r>
                </w:p>
              </w:tc>
              <w:tc>
                <w:tcPr>
                  <w:tcW w:w="3627"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使用人工或机械对鲜禽蛋逐个破壳，不应使用挤压破壳法进行打蛋，以避免微生物污染和异物污染</w:t>
                  </w:r>
                </w:p>
              </w:tc>
              <w:tc>
                <w:tcPr>
                  <w:tcW w:w="3253" w:type="dxa"/>
                  <w:tcBorders>
                    <w:tl2br w:val="nil"/>
                    <w:tr2bl w:val="nil"/>
                  </w:tcBorders>
                  <w:vAlign w:val="center"/>
                </w:tcPr>
                <w:p>
                  <w:pPr>
                    <w:pStyle w:val="103"/>
                    <w:jc w:val="both"/>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项目拟采用全自动打蛋分离设备，对鲜禽蛋逐个打蛋去壳，蛋壳破碎后即时分离，不使用挤压破壳法，蛋液收集过程中设有多级过滤装置防止蛋壳碎片进入，避免异物污染和微生物污染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杀菌工艺验证</w:t>
                  </w:r>
                </w:p>
              </w:tc>
              <w:tc>
                <w:tcPr>
                  <w:tcW w:w="3627" w:type="dxa"/>
                  <w:tcBorders>
                    <w:tl2br w:val="nil"/>
                    <w:tr2bl w:val="nil"/>
                  </w:tcBorders>
                  <w:vAlign w:val="center"/>
                </w:tcPr>
                <w:p>
                  <w:pPr>
                    <w:pStyle w:val="103"/>
                    <w:jc w:val="both"/>
                    <w:rPr>
                      <w:rFonts w:hint="default" w:ascii="Times New Roman" w:hAnsi="Times New Roman" w:eastAsia="宋体"/>
                      <w:color w:val="0000FF"/>
                      <w:sz w:val="21"/>
                      <w:szCs w:val="21"/>
                      <w:highlight w:val="none"/>
                    </w:rPr>
                  </w:pPr>
                  <w:r>
                    <w:rPr>
                      <w:rFonts w:hint="default" w:ascii="Times New Roman" w:hAnsi="Times New Roman" w:eastAsia="宋体"/>
                      <w:color w:val="0000FF"/>
                      <w:sz w:val="21"/>
                      <w:szCs w:val="21"/>
                      <w:highlight w:val="none"/>
                    </w:rPr>
                    <w:t>生产工艺采用巴氏杀菌的，应至少每3个月对杀菌机处理的产品进行微生物检验，验证杀菌效果。一旦原料、机器设备、环境条件等发生变化，也应对杀菌机处理的产品进行微生物检验，验证杀菌效果</w:t>
                  </w:r>
                </w:p>
              </w:tc>
              <w:tc>
                <w:tcPr>
                  <w:tcW w:w="3253" w:type="dxa"/>
                  <w:tcBorders>
                    <w:tl2br w:val="nil"/>
                    <w:tr2bl w:val="nil"/>
                  </w:tcBorders>
                  <w:vAlign w:val="center"/>
                </w:tcPr>
                <w:p>
                  <w:pPr>
                    <w:pStyle w:val="103"/>
                    <w:jc w:val="both"/>
                    <w:rPr>
                      <w:rFonts w:hint="eastAsia" w:ascii="Times New Roman" w:hAnsi="Times New Roman" w:eastAsia="宋体"/>
                      <w:color w:val="0000FF"/>
                      <w:sz w:val="21"/>
                      <w:szCs w:val="21"/>
                      <w:highlight w:val="none"/>
                      <w:lang w:val="en-US" w:eastAsia="zh-CN"/>
                    </w:rPr>
                  </w:pPr>
                  <w:r>
                    <w:rPr>
                      <w:rFonts w:hint="eastAsia" w:ascii="Times New Roman" w:hAnsi="Times New Roman" w:eastAsia="宋体"/>
                      <w:color w:val="0000FF"/>
                      <w:sz w:val="21"/>
                      <w:szCs w:val="21"/>
                      <w:highlight w:val="none"/>
                      <w:lang w:val="en-US" w:eastAsia="zh-CN"/>
                    </w:rPr>
                    <w:t>项目选用板式巴氏杀菌系统，杀菌温度和时间参数设定满足液蛋产品微生物灭活要求。建成投产后，每3个月组织一次杀菌效果验证检验（含指示菌测试），并制定变更管理程序，确保原料、设备、环境等关键条件变化时及时执行再验证</w:t>
                  </w:r>
                </w:p>
              </w:tc>
            </w:tr>
          </w:tbl>
          <w:p>
            <w:pPr>
              <w:pStyle w:val="96"/>
              <w:ind w:firstLine="480"/>
              <w:rPr>
                <w:rFonts w:hint="default"/>
                <w:highlight w:val="none"/>
                <w:lang w:val="en-US"/>
              </w:rPr>
            </w:pPr>
            <w:r>
              <w:rPr>
                <w:rFonts w:hint="eastAsia"/>
                <w:color w:val="0000FF"/>
                <w:highlight w:val="none"/>
                <w:lang w:val="en-US" w:eastAsia="zh-CN"/>
              </w:rPr>
              <w:t>综上分析，</w:t>
            </w:r>
            <w:r>
              <w:rPr>
                <w:rFonts w:hint="default"/>
                <w:color w:val="0000FF"/>
                <w:highlight w:val="none"/>
                <w:lang w:val="en-US" w:eastAsia="zh-CN"/>
              </w:rPr>
              <w:t>本项目各项设计与管理制度均对照细则要求落实，满足液蛋制品生产许可审查条件。</w:t>
            </w:r>
          </w:p>
        </w:tc>
      </w:tr>
    </w:tbl>
    <w:p>
      <w:pPr>
        <w:spacing w:line="360" w:lineRule="auto"/>
        <w:outlineLvl w:val="0"/>
        <w:rPr>
          <w:rFonts w:eastAsia="黑体"/>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36"/>
        <w:jc w:val="center"/>
        <w:outlineLvl w:val="0"/>
        <w:rPr>
          <w:rFonts w:cs="宋体"/>
          <w:b/>
          <w:bCs/>
          <w:snapToGrid w:val="0"/>
          <w:sz w:val="30"/>
          <w:szCs w:val="30"/>
          <w:highlight w:val="none"/>
        </w:rPr>
      </w:pPr>
      <w:r>
        <w:rPr>
          <w:rFonts w:hint="eastAsia" w:cs="宋体"/>
          <w:b/>
          <w:bCs/>
          <w:snapToGrid w:val="0"/>
          <w:sz w:val="30"/>
          <w:szCs w:val="30"/>
          <w:highlight w:val="none"/>
        </w:rPr>
        <w:t>二、建设项目工程分析</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6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3" w:type="dxa"/>
            <w:vAlign w:val="center"/>
          </w:tcPr>
          <w:p>
            <w:pPr>
              <w:pStyle w:val="36"/>
              <w:adjustRightInd w:val="0"/>
              <w:snapToGrid w:val="0"/>
              <w:spacing w:before="0" w:beforeAutospacing="0" w:after="0" w:afterAutospacing="0"/>
              <w:jc w:val="center"/>
              <w:rPr>
                <w:rFonts w:cs="宋体"/>
                <w:sz w:val="21"/>
                <w:szCs w:val="21"/>
                <w:highlight w:val="none"/>
              </w:rPr>
            </w:pPr>
            <w:r>
              <w:rPr>
                <w:rFonts w:hint="eastAsia" w:cs="宋体"/>
                <w:b/>
                <w:bCs/>
                <w:szCs w:val="24"/>
                <w:highlight w:val="none"/>
              </w:rPr>
              <w:t>建设内容</w:t>
            </w:r>
          </w:p>
        </w:tc>
        <w:tc>
          <w:tcPr>
            <w:tcW w:w="8607" w:type="dxa"/>
          </w:tcPr>
          <w:p>
            <w:pPr>
              <w:spacing w:line="360" w:lineRule="auto"/>
              <w:ind w:firstLine="481" w:firstLineChars="200"/>
              <w:rPr>
                <w:b/>
                <w:bCs/>
                <w:sz w:val="24"/>
                <w:highlight w:val="none"/>
              </w:rPr>
            </w:pPr>
            <w:r>
              <w:rPr>
                <w:rFonts w:hint="eastAsia"/>
                <w:b/>
                <w:bCs/>
                <w:sz w:val="24"/>
                <w:highlight w:val="none"/>
              </w:rPr>
              <w:t>1</w:t>
            </w:r>
            <w:r>
              <w:rPr>
                <w:b/>
                <w:bCs/>
                <w:sz w:val="24"/>
                <w:highlight w:val="none"/>
              </w:rPr>
              <w:t>、</w:t>
            </w:r>
            <w:r>
              <w:rPr>
                <w:rFonts w:hint="eastAsia"/>
                <w:b/>
                <w:bCs/>
                <w:sz w:val="24"/>
                <w:highlight w:val="none"/>
              </w:rPr>
              <w:t>项目概况</w:t>
            </w:r>
          </w:p>
          <w:p>
            <w:pPr>
              <w:spacing w:line="360" w:lineRule="auto"/>
              <w:ind w:firstLine="480" w:firstLineChars="200"/>
              <w:rPr>
                <w:rFonts w:ascii="Segoe UI" w:hAnsi="Segoe UI" w:eastAsia="Segoe UI" w:cs="Segoe UI"/>
                <w:color w:val="0F1115"/>
                <w:sz w:val="24"/>
                <w:highlight w:val="none"/>
                <w:shd w:val="clear" w:color="auto" w:fill="FFFFFF"/>
              </w:rPr>
            </w:pPr>
            <w:r>
              <w:rPr>
                <w:rFonts w:hint="eastAsia"/>
                <w:sz w:val="24"/>
                <w:highlight w:val="none"/>
              </w:rPr>
              <w:t>在食品工业集约化升级与市场需求细分的推动下，九江市庐山工业发展集团</w:t>
            </w:r>
            <w:r>
              <w:rPr>
                <w:rFonts w:hint="eastAsia"/>
                <w:color w:val="0000FF"/>
                <w:sz w:val="24"/>
                <w:highlight w:val="none"/>
                <w:lang w:val="en-US" w:eastAsia="zh-CN"/>
              </w:rPr>
              <w:t>有限公司</w:t>
            </w:r>
            <w:r>
              <w:rPr>
                <w:rFonts w:hint="eastAsia"/>
                <w:sz w:val="24"/>
                <w:highlight w:val="none"/>
              </w:rPr>
              <w:t>依托土地与资金优势，联合具备技术与市场渠道的江西国元农业发展集</w:t>
            </w:r>
            <w:r>
              <w:rPr>
                <w:rFonts w:hint="eastAsia" w:ascii="Times New Roman" w:hAnsi="Times New Roman" w:eastAsia="宋体" w:cs="Times New Roman"/>
                <w:sz w:val="24"/>
                <w:highlight w:val="none"/>
                <w:lang w:val="en-US" w:eastAsia="zh-CN"/>
              </w:rPr>
              <w:t>团</w:t>
            </w:r>
            <w:r>
              <w:rPr>
                <w:rFonts w:hint="eastAsia" w:ascii="Times New Roman" w:hAnsi="Times New Roman" w:eastAsia="宋体" w:cs="Times New Roman"/>
                <w:color w:val="0000FF"/>
                <w:sz w:val="24"/>
                <w:highlight w:val="none"/>
                <w:lang w:val="en-US" w:eastAsia="zh-CN"/>
              </w:rPr>
              <w:t>有限公司，</w:t>
            </w:r>
            <w:r>
              <w:rPr>
                <w:rFonts w:hint="eastAsia" w:ascii="Times New Roman" w:hAnsi="Times New Roman" w:eastAsia="宋体" w:cs="Times New Roman"/>
                <w:sz w:val="24"/>
                <w:highlight w:val="none"/>
                <w:lang w:val="en-US" w:eastAsia="zh-CN"/>
              </w:rPr>
              <w:t>共同</w:t>
            </w:r>
            <w:r>
              <w:rPr>
                <w:rFonts w:hint="eastAsia"/>
                <w:sz w:val="24"/>
                <w:highlight w:val="none"/>
              </w:rPr>
              <w:t>组建了庐山市沁庐食品有限公司，合作协议详见附件四。该公司通过引入智能化生产线及生物提取工艺，</w:t>
            </w:r>
            <w:r>
              <w:rPr>
                <w:rFonts w:ascii="Segoe UI" w:hAnsi="Segoe UI" w:eastAsia="Segoe UI" w:cs="Segoe UI"/>
                <w:color w:val="0F1115"/>
                <w:sz w:val="24"/>
                <w:highlight w:val="none"/>
                <w:shd w:val="clear" w:color="auto" w:fill="FFFFFF"/>
              </w:rPr>
              <w:t>专注于高附加值蛋液产品的深度开发。沁庐食品的成立，旨在整合“养殖</w:t>
            </w:r>
            <w:r>
              <w:rPr>
                <w:rFonts w:hint="eastAsia" w:ascii="Segoe UI" w:hAnsi="Segoe UI" w:eastAsia="宋体" w:cs="Segoe UI"/>
                <w:color w:val="0F1115"/>
                <w:sz w:val="24"/>
                <w:highlight w:val="none"/>
                <w:shd w:val="clear" w:color="auto" w:fill="FFFFFF"/>
                <w:lang w:eastAsia="zh-CN"/>
              </w:rPr>
              <w:t>－</w:t>
            </w:r>
            <w:r>
              <w:rPr>
                <w:rFonts w:ascii="Segoe UI" w:hAnsi="Segoe UI" w:eastAsia="Segoe UI" w:cs="Segoe UI"/>
                <w:color w:val="0F1115"/>
                <w:sz w:val="24"/>
                <w:highlight w:val="none"/>
                <w:shd w:val="clear" w:color="auto" w:fill="FFFFFF"/>
              </w:rPr>
              <w:t>加工</w:t>
            </w:r>
            <w:r>
              <w:rPr>
                <w:rFonts w:hint="eastAsia" w:ascii="Segoe UI" w:hAnsi="Segoe UI" w:eastAsia="宋体" w:cs="Segoe UI"/>
                <w:color w:val="0F1115"/>
                <w:sz w:val="24"/>
                <w:highlight w:val="none"/>
                <w:shd w:val="clear" w:color="auto" w:fill="FFFFFF"/>
                <w:lang w:eastAsia="zh-CN"/>
              </w:rPr>
              <w:t>－</w:t>
            </w:r>
            <w:r>
              <w:rPr>
                <w:rFonts w:ascii="Segoe UI" w:hAnsi="Segoe UI" w:eastAsia="Segoe UI" w:cs="Segoe UI"/>
                <w:color w:val="0F1115"/>
                <w:sz w:val="24"/>
                <w:highlight w:val="none"/>
                <w:shd w:val="clear" w:color="auto" w:fill="FFFFFF"/>
              </w:rPr>
              <w:t>研发</w:t>
            </w:r>
            <w:r>
              <w:rPr>
                <w:rFonts w:hint="eastAsia" w:ascii="Segoe UI" w:hAnsi="Segoe UI" w:eastAsia="宋体" w:cs="Segoe UI"/>
                <w:color w:val="0F1115"/>
                <w:sz w:val="24"/>
                <w:highlight w:val="none"/>
                <w:shd w:val="clear" w:color="auto" w:fill="FFFFFF"/>
                <w:lang w:eastAsia="zh-CN"/>
              </w:rPr>
              <w:t>－</w:t>
            </w:r>
            <w:r>
              <w:rPr>
                <w:rFonts w:ascii="Segoe UI" w:hAnsi="Segoe UI" w:eastAsia="Segoe UI" w:cs="Segoe UI"/>
                <w:color w:val="0F1115"/>
                <w:sz w:val="24"/>
                <w:highlight w:val="none"/>
                <w:shd w:val="clear" w:color="auto" w:fill="FFFFFF"/>
              </w:rPr>
              <w:t>分销”全产业链，推动区域鲜蛋资源的高效转化与产业标准化升级，从而有力促进庐山市农业的现代化发展。</w:t>
            </w:r>
          </w:p>
          <w:p>
            <w:pPr>
              <w:spacing w:line="360" w:lineRule="auto"/>
              <w:ind w:firstLine="480" w:firstLineChars="200"/>
              <w:rPr>
                <w:sz w:val="24"/>
                <w:highlight w:val="none"/>
              </w:rPr>
            </w:pPr>
            <w:r>
              <w:rPr>
                <w:rFonts w:hint="eastAsia"/>
                <w:sz w:val="24"/>
                <w:highlight w:val="none"/>
              </w:rPr>
              <w:t>庐山市沁庐食品有限公司拟投资43000万元建设庐山市沁庐食品有限公司蛋液加工项目，项目选址于</w:t>
            </w:r>
            <w:r>
              <w:rPr>
                <w:color w:val="0000FF"/>
                <w:sz w:val="24"/>
                <w:highlight w:val="none"/>
              </w:rPr>
              <w:t>庐山市华林镇吉山村华林板岩加工园</w:t>
            </w:r>
            <w:r>
              <w:rPr>
                <w:rFonts w:hint="eastAsia"/>
                <w:sz w:val="24"/>
                <w:highlight w:val="none"/>
              </w:rPr>
              <w:t>，购置荷兰MOBA打蛋机及全自动蛋液生产线相关生产设备，建成后年产25000吨蛋液深加工产品。</w:t>
            </w:r>
          </w:p>
          <w:p>
            <w:pPr>
              <w:pStyle w:val="96"/>
              <w:ind w:firstLine="480"/>
              <w:rPr>
                <w:highlight w:val="none"/>
              </w:rPr>
            </w:pPr>
            <w:r>
              <w:rPr>
                <w:highlight w:val="none"/>
              </w:rPr>
              <w:t>为了科学客观地评价项目建设过程中以及建成后对周围环境造成的影响，根据《建设项目环境保护管理条例》</w:t>
            </w:r>
            <w:r>
              <w:rPr>
                <w:rFonts w:hint="eastAsia"/>
                <w:highlight w:val="none"/>
              </w:rPr>
              <w:t>（国令第682号）</w:t>
            </w:r>
            <w:r>
              <w:rPr>
                <w:highlight w:val="none"/>
              </w:rPr>
              <w:t>和《中华人民共和国环境影响评价法》中有关规定，该项目应进行环境影响评价。受</w:t>
            </w:r>
            <w:r>
              <w:rPr>
                <w:rFonts w:hint="eastAsia"/>
                <w:highlight w:val="none"/>
              </w:rPr>
              <w:t>庐山市沁庐食品有限公司</w:t>
            </w:r>
            <w:r>
              <w:rPr>
                <w:highlight w:val="none"/>
              </w:rPr>
              <w:t>委托，江西赣环科技有限公司承担了该项目的环境影响评价工作。根据《建设项目环境影响评价分类管理名录》</w:t>
            </w:r>
            <w:r>
              <w:rPr>
                <w:rFonts w:hint="eastAsia"/>
                <w:highlight w:val="none"/>
              </w:rPr>
              <w:t>（2021版）</w:t>
            </w:r>
            <w:r>
              <w:rPr>
                <w:highlight w:val="none"/>
              </w:rPr>
              <w:t>，属于</w:t>
            </w:r>
            <w:r>
              <w:rPr>
                <w:rFonts w:hint="eastAsia"/>
                <w:highlight w:val="none"/>
              </w:rPr>
              <w:t>“十、农副食品加工业13——20其他农副食品加工139*——/”，蛋品加工无需办理环评手续；但本项目设1台2.5t/h生物质蒸汽锅炉，属于“四十一、电力、热力生产和供应业——91热力生产和供应工程（包括建设单位自建自用的供热工程）——</w:t>
            </w:r>
            <w:r>
              <w:rPr>
                <w:highlight w:val="none"/>
              </w:rPr>
              <w:t>使用其他高污染燃料的</w:t>
            </w:r>
            <w:r>
              <w:rPr>
                <w:rFonts w:hint="eastAsia"/>
                <w:highlight w:val="none"/>
              </w:rPr>
              <w:t>（</w:t>
            </w:r>
            <w:r>
              <w:rPr>
                <w:highlight w:val="none"/>
              </w:rPr>
              <w:t>高污染燃料指国环规大气〔2017〕2号《高污染燃料</w:t>
            </w:r>
            <w:r>
              <w:rPr>
                <w:rFonts w:hint="eastAsia"/>
                <w:highlight w:val="none"/>
              </w:rPr>
              <w:t>目</w:t>
            </w:r>
            <w:r>
              <w:rPr>
                <w:highlight w:val="none"/>
              </w:rPr>
              <w:t>录》中规定的燃料</w:t>
            </w:r>
            <w:r>
              <w:rPr>
                <w:rFonts w:hint="eastAsia"/>
                <w:highlight w:val="none"/>
              </w:rPr>
              <w:t>）”， 需编制环境影响报告表</w:t>
            </w:r>
            <w:r>
              <w:rPr>
                <w:highlight w:val="none"/>
              </w:rPr>
              <w:t>。综上，我公司在现场踏勘、调研和收集有关资料的基础上，根据《建设项目环境影响评价报告表编制技术指南》（污染影响型）的要求，编制了本项目的环境影响报告表，</w:t>
            </w:r>
            <w:r>
              <w:rPr>
                <w:rFonts w:hint="eastAsia"/>
                <w:highlight w:val="none"/>
              </w:rPr>
              <w:t>供建设单位</w:t>
            </w:r>
            <w:r>
              <w:rPr>
                <w:highlight w:val="none"/>
              </w:rPr>
              <w:t>提请</w:t>
            </w:r>
            <w:r>
              <w:rPr>
                <w:rFonts w:hint="eastAsia"/>
                <w:highlight w:val="none"/>
              </w:rPr>
              <w:t>生态环境主管</w:t>
            </w:r>
            <w:r>
              <w:rPr>
                <w:highlight w:val="none"/>
              </w:rPr>
              <w:t>部门审查。</w:t>
            </w:r>
          </w:p>
          <w:p>
            <w:pPr>
              <w:spacing w:line="360" w:lineRule="auto"/>
              <w:ind w:firstLine="481" w:firstLineChars="200"/>
              <w:rPr>
                <w:b/>
                <w:bCs/>
                <w:sz w:val="24"/>
                <w:highlight w:val="none"/>
              </w:rPr>
            </w:pPr>
            <w:r>
              <w:rPr>
                <w:rFonts w:hint="eastAsia"/>
                <w:b/>
                <w:bCs/>
                <w:sz w:val="24"/>
                <w:highlight w:val="none"/>
              </w:rPr>
              <w:t>2</w:t>
            </w:r>
            <w:r>
              <w:rPr>
                <w:b/>
                <w:bCs/>
                <w:sz w:val="24"/>
                <w:highlight w:val="none"/>
              </w:rPr>
              <w:t>、</w:t>
            </w:r>
            <w:r>
              <w:rPr>
                <w:rFonts w:hint="eastAsia"/>
                <w:b/>
                <w:bCs/>
                <w:sz w:val="24"/>
                <w:highlight w:val="none"/>
              </w:rPr>
              <w:t>项目</w:t>
            </w:r>
            <w:r>
              <w:rPr>
                <w:b/>
                <w:bCs/>
                <w:sz w:val="24"/>
                <w:highlight w:val="none"/>
              </w:rPr>
              <w:t>建设规模及内容</w:t>
            </w:r>
          </w:p>
          <w:p>
            <w:pPr>
              <w:spacing w:line="360" w:lineRule="auto"/>
              <w:ind w:firstLine="480" w:firstLineChars="200"/>
              <w:rPr>
                <w:sz w:val="24"/>
                <w:highlight w:val="none"/>
              </w:rPr>
            </w:pPr>
            <w:r>
              <w:rPr>
                <w:rFonts w:hint="eastAsia"/>
                <w:sz w:val="24"/>
                <w:highlight w:val="none"/>
              </w:rPr>
              <w:t>本项目利用庐山市华林板岩加工园二期空地新建厂房进行生产，主要建设内容包括巴氏杀菌蛋液加工车间、配套冷链仓储物流中心及公用工程、环保工程等。本项目主要建设内容见表2-1。</w:t>
            </w:r>
          </w:p>
          <w:p>
            <w:pPr>
              <w:adjustRightInd w:val="0"/>
              <w:snapToGrid w:val="0"/>
              <w:ind w:firstLine="421" w:firstLineChars="200"/>
              <w:jc w:val="center"/>
              <w:rPr>
                <w:b/>
                <w:bCs/>
                <w:highlight w:val="none"/>
              </w:rPr>
            </w:pPr>
            <w:r>
              <w:rPr>
                <w:b/>
                <w:bCs/>
                <w:highlight w:val="none"/>
              </w:rPr>
              <w:t>表</w:t>
            </w:r>
            <w:r>
              <w:rPr>
                <w:rFonts w:hint="eastAsia"/>
                <w:b/>
                <w:bCs/>
                <w:highlight w:val="none"/>
              </w:rPr>
              <w:t>2-1</w:t>
            </w:r>
            <w:r>
              <w:rPr>
                <w:b/>
                <w:bCs/>
                <w:highlight w:val="none"/>
              </w:rPr>
              <w:t xml:space="preserve">  项目主要建设内容表</w:t>
            </w:r>
          </w:p>
          <w:tbl>
            <w:tblPr>
              <w:tblStyle w:val="39"/>
              <w:tblW w:w="839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66"/>
              <w:gridCol w:w="1117"/>
              <w:gridCol w:w="4600"/>
              <w:gridCol w:w="12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tcBorders>
                    <w:tl2br w:val="nil"/>
                    <w:tr2bl w:val="nil"/>
                  </w:tcBorders>
                  <w:vAlign w:val="center"/>
                </w:tcPr>
                <w:p>
                  <w:pPr>
                    <w:autoSpaceDE w:val="0"/>
                    <w:autoSpaceDN w:val="0"/>
                    <w:adjustRightInd w:val="0"/>
                    <w:jc w:val="center"/>
                    <w:rPr>
                      <w:szCs w:val="21"/>
                      <w:highlight w:val="none"/>
                    </w:rPr>
                  </w:pPr>
                  <w:r>
                    <w:rPr>
                      <w:szCs w:val="21"/>
                      <w:highlight w:val="none"/>
                    </w:rPr>
                    <w:t>工程类别</w:t>
                  </w:r>
                </w:p>
              </w:tc>
              <w:tc>
                <w:tcPr>
                  <w:tcW w:w="1483" w:type="dxa"/>
                  <w:gridSpan w:val="2"/>
                  <w:tcBorders>
                    <w:tl2br w:val="nil"/>
                    <w:tr2bl w:val="nil"/>
                  </w:tcBorders>
                  <w:vAlign w:val="center"/>
                </w:tcPr>
                <w:p>
                  <w:pPr>
                    <w:autoSpaceDE w:val="0"/>
                    <w:autoSpaceDN w:val="0"/>
                    <w:adjustRightInd w:val="0"/>
                    <w:jc w:val="center"/>
                    <w:rPr>
                      <w:szCs w:val="21"/>
                      <w:highlight w:val="none"/>
                    </w:rPr>
                  </w:pPr>
                  <w:r>
                    <w:rPr>
                      <w:szCs w:val="21"/>
                      <w:highlight w:val="none"/>
                    </w:rPr>
                    <w:t>工程名称</w:t>
                  </w:r>
                </w:p>
              </w:tc>
              <w:tc>
                <w:tcPr>
                  <w:tcW w:w="4600" w:type="dxa"/>
                  <w:tcBorders>
                    <w:tl2br w:val="nil"/>
                    <w:tr2bl w:val="nil"/>
                  </w:tcBorders>
                  <w:vAlign w:val="center"/>
                </w:tcPr>
                <w:p>
                  <w:pPr>
                    <w:autoSpaceDE w:val="0"/>
                    <w:autoSpaceDN w:val="0"/>
                    <w:adjustRightInd w:val="0"/>
                    <w:jc w:val="center"/>
                    <w:rPr>
                      <w:szCs w:val="21"/>
                      <w:highlight w:val="none"/>
                    </w:rPr>
                  </w:pPr>
                  <w:r>
                    <w:rPr>
                      <w:szCs w:val="21"/>
                      <w:highlight w:val="none"/>
                    </w:rPr>
                    <w:t>主要建设内容</w:t>
                  </w:r>
                </w:p>
              </w:tc>
              <w:tc>
                <w:tcPr>
                  <w:tcW w:w="1241" w:type="dxa"/>
                  <w:tcBorders>
                    <w:tl2br w:val="nil"/>
                    <w:tr2bl w:val="nil"/>
                  </w:tcBorders>
                  <w:vAlign w:val="center"/>
                </w:tcPr>
                <w:p>
                  <w:pPr>
                    <w:autoSpaceDE w:val="0"/>
                    <w:autoSpaceDN w:val="0"/>
                    <w:adjustRightInd w:val="0"/>
                    <w:jc w:val="center"/>
                    <w:rPr>
                      <w:szCs w:val="21"/>
                      <w:highlight w:val="none"/>
                    </w:rPr>
                  </w:pPr>
                  <w:r>
                    <w:rPr>
                      <w:szCs w:val="21"/>
                      <w:highlight w:val="none"/>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主体工程</w:t>
                  </w: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生产车间</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建筑面积12705m</w:t>
                  </w:r>
                  <w:r>
                    <w:rPr>
                      <w:rFonts w:hint="eastAsia"/>
                      <w:szCs w:val="21"/>
                      <w:highlight w:val="none"/>
                      <w:vertAlign w:val="superscript"/>
                    </w:rPr>
                    <w:t>2</w:t>
                  </w:r>
                  <w:r>
                    <w:rPr>
                      <w:rFonts w:hint="eastAsia"/>
                      <w:szCs w:val="21"/>
                      <w:highlight w:val="none"/>
                    </w:rPr>
                    <w:t>，3层。1层建筑面积4796.86m</w:t>
                  </w:r>
                  <w:r>
                    <w:rPr>
                      <w:rFonts w:hint="eastAsia"/>
                      <w:szCs w:val="21"/>
                      <w:highlight w:val="none"/>
                      <w:vertAlign w:val="superscript"/>
                    </w:rPr>
                    <w:t>2</w:t>
                  </w:r>
                  <w:r>
                    <w:rPr>
                      <w:rFonts w:hint="eastAsia"/>
                      <w:szCs w:val="21"/>
                      <w:highlight w:val="none"/>
                      <w:vertAlign w:val="superscript"/>
                      <w:lang w:eastAsia="zh-CN"/>
                    </w:rPr>
                    <w:t>，</w:t>
                  </w:r>
                  <w:r>
                    <w:rPr>
                      <w:rFonts w:hint="eastAsia"/>
                      <w:szCs w:val="21"/>
                      <w:highlight w:val="none"/>
                    </w:rPr>
                    <w:t>设置</w:t>
                  </w:r>
                  <w:r>
                    <w:rPr>
                      <w:rFonts w:hint="eastAsia"/>
                      <w:color w:val="0000FF"/>
                      <w:szCs w:val="21"/>
                      <w:highlight w:val="none"/>
                      <w:lang w:val="en-US" w:eastAsia="zh-CN"/>
                    </w:rPr>
                    <w:t>2条</w:t>
                  </w:r>
                  <w:r>
                    <w:rPr>
                      <w:rFonts w:hint="eastAsia"/>
                      <w:color w:val="0000FF"/>
                      <w:szCs w:val="21"/>
                      <w:highlight w:val="none"/>
                    </w:rPr>
                    <w:t>蛋液生产线</w:t>
                  </w:r>
                  <w:r>
                    <w:rPr>
                      <w:rFonts w:hint="eastAsia"/>
                      <w:szCs w:val="21"/>
                      <w:highlight w:val="none"/>
                    </w:rPr>
                    <w:t>，主要包括清洗上蛋间、打蛋过滤间、</w:t>
                  </w:r>
                  <w:r>
                    <w:rPr>
                      <w:rFonts w:hint="eastAsia"/>
                      <w:color w:val="0000FF"/>
                      <w:szCs w:val="21"/>
                      <w:highlight w:val="none"/>
                      <w:lang w:val="en-US" w:eastAsia="zh-CN"/>
                    </w:rPr>
                    <w:t>蛋壳间、</w:t>
                  </w:r>
                  <w:r>
                    <w:rPr>
                      <w:szCs w:val="21"/>
                      <w:highlight w:val="none"/>
                    </w:rPr>
                    <w:t>巴氏杀菌</w:t>
                  </w:r>
                  <w:r>
                    <w:rPr>
                      <w:rFonts w:hint="eastAsia"/>
                      <w:szCs w:val="21"/>
                      <w:highlight w:val="none"/>
                    </w:rPr>
                    <w:t>间、灌装间、内包间、外包间、CIP间</w:t>
                  </w:r>
                  <w:r>
                    <w:rPr>
                      <w:rFonts w:hint="eastAsia"/>
                      <w:szCs w:val="21"/>
                      <w:highlight w:val="none"/>
                      <w:lang w:eastAsia="zh-CN"/>
                    </w:rPr>
                    <w:t>、</w:t>
                  </w:r>
                  <w:r>
                    <w:rPr>
                      <w:rFonts w:hint="eastAsia"/>
                      <w:color w:val="0000FF"/>
                      <w:szCs w:val="21"/>
                      <w:highlight w:val="none"/>
                      <w:lang w:val="en-US" w:eastAsia="zh-CN"/>
                    </w:rPr>
                    <w:t>配料间、脱包间、辅料间、中控室</w:t>
                  </w:r>
                  <w:r>
                    <w:rPr>
                      <w:rFonts w:hint="eastAsia"/>
                      <w:szCs w:val="21"/>
                      <w:highlight w:val="none"/>
                    </w:rPr>
                    <w:t>等；2层建筑面积2532.47m</w:t>
                  </w:r>
                  <w:r>
                    <w:rPr>
                      <w:rFonts w:hint="eastAsia"/>
                      <w:szCs w:val="21"/>
                      <w:highlight w:val="none"/>
                      <w:vertAlign w:val="superscript"/>
                    </w:rPr>
                    <w:t>2</w:t>
                  </w:r>
                  <w:r>
                    <w:rPr>
                      <w:rFonts w:hint="eastAsia"/>
                      <w:szCs w:val="21"/>
                      <w:highlight w:val="none"/>
                    </w:rPr>
                    <w:t>，设置办公室、研发室、综合实验室等。</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7" w:type="dxa"/>
                  <w:vMerge w:val="restart"/>
                  <w:tcBorders>
                    <w:tl2br w:val="nil"/>
                    <w:tr2bl w:val="nil"/>
                  </w:tcBorders>
                  <w:vAlign w:val="center"/>
                </w:tcPr>
                <w:p>
                  <w:pPr>
                    <w:autoSpaceDE w:val="0"/>
                    <w:autoSpaceDN w:val="0"/>
                    <w:adjustRightInd w:val="0"/>
                    <w:jc w:val="center"/>
                    <w:rPr>
                      <w:szCs w:val="21"/>
                      <w:highlight w:val="none"/>
                    </w:rPr>
                  </w:pPr>
                  <w:r>
                    <w:rPr>
                      <w:szCs w:val="21"/>
                      <w:highlight w:val="none"/>
                    </w:rPr>
                    <w:t>辅助工程</w:t>
                  </w:r>
                </w:p>
              </w:tc>
              <w:tc>
                <w:tcPr>
                  <w:tcW w:w="1483" w:type="dxa"/>
                  <w:gridSpan w:val="2"/>
                  <w:tcBorders>
                    <w:tl2br w:val="nil"/>
                    <w:tr2bl w:val="nil"/>
                  </w:tcBorders>
                  <w:vAlign w:val="center"/>
                </w:tcPr>
                <w:p>
                  <w:pPr>
                    <w:autoSpaceDE w:val="0"/>
                    <w:autoSpaceDN w:val="0"/>
                    <w:adjustRightInd w:val="0"/>
                    <w:jc w:val="center"/>
                    <w:rPr>
                      <w:szCs w:val="21"/>
                      <w:highlight w:val="none"/>
                    </w:rPr>
                  </w:pPr>
                  <w:r>
                    <w:rPr>
                      <w:szCs w:val="21"/>
                      <w:highlight w:val="none"/>
                    </w:rPr>
                    <w:t>原料库</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面积414</w:t>
                  </w:r>
                  <w:r>
                    <w:rPr>
                      <w:szCs w:val="21"/>
                      <w:highlight w:val="none"/>
                    </w:rPr>
                    <w:t>m</w:t>
                  </w:r>
                  <w:r>
                    <w:rPr>
                      <w:szCs w:val="21"/>
                      <w:highlight w:val="none"/>
                      <w:vertAlign w:val="superscript"/>
                    </w:rPr>
                    <w:t>2</w:t>
                  </w:r>
                  <w:r>
                    <w:rPr>
                      <w:rFonts w:hint="eastAsia"/>
                      <w:szCs w:val="21"/>
                      <w:highlight w:val="none"/>
                    </w:rPr>
                    <w:t>，位于生产车间西南角。</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保鲜库</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面积432</w:t>
                  </w:r>
                  <w:r>
                    <w:rPr>
                      <w:szCs w:val="21"/>
                      <w:highlight w:val="none"/>
                    </w:rPr>
                    <w:t>m</w:t>
                  </w:r>
                  <w:r>
                    <w:rPr>
                      <w:szCs w:val="21"/>
                      <w:highlight w:val="none"/>
                      <w:vertAlign w:val="superscript"/>
                    </w:rPr>
                    <w:t>2</w:t>
                  </w:r>
                  <w:r>
                    <w:rPr>
                      <w:rFonts w:hint="eastAsia"/>
                      <w:szCs w:val="21"/>
                      <w:highlight w:val="none"/>
                    </w:rPr>
                    <w:t>，位于生产车间西北角，0-4℃</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szCs w:val="21"/>
                      <w:highlight w:val="none"/>
                    </w:rPr>
                    <w:t>冻库</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3间，每间面积54</w:t>
                  </w:r>
                  <w:r>
                    <w:rPr>
                      <w:szCs w:val="21"/>
                      <w:highlight w:val="none"/>
                    </w:rPr>
                    <w:t>m</w:t>
                  </w:r>
                  <w:r>
                    <w:rPr>
                      <w:szCs w:val="21"/>
                      <w:highlight w:val="none"/>
                      <w:vertAlign w:val="superscript"/>
                    </w:rPr>
                    <w:t>2</w:t>
                  </w:r>
                  <w:r>
                    <w:rPr>
                      <w:rFonts w:hint="eastAsia"/>
                      <w:szCs w:val="21"/>
                      <w:highlight w:val="none"/>
                    </w:rPr>
                    <w:t>，位于生产车间东北角，其中1间冷冻温度-35℃，2间冷冻温度-18℃</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冷</w:t>
                  </w:r>
                  <w:r>
                    <w:rPr>
                      <w:szCs w:val="21"/>
                      <w:highlight w:val="none"/>
                    </w:rPr>
                    <w:t>库</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面积387</w:t>
                  </w:r>
                  <w:r>
                    <w:rPr>
                      <w:szCs w:val="21"/>
                      <w:highlight w:val="none"/>
                    </w:rPr>
                    <w:t>m</w:t>
                  </w:r>
                  <w:r>
                    <w:rPr>
                      <w:szCs w:val="21"/>
                      <w:highlight w:val="none"/>
                      <w:vertAlign w:val="superscript"/>
                    </w:rPr>
                    <w:t>2</w:t>
                  </w:r>
                  <w:r>
                    <w:rPr>
                      <w:rFonts w:hint="eastAsia"/>
                      <w:szCs w:val="21"/>
                      <w:highlight w:val="none"/>
                    </w:rPr>
                    <w:t>，位于生产车间东北角，0-4℃</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外包材库</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面积43.2</w:t>
                  </w:r>
                  <w:r>
                    <w:rPr>
                      <w:szCs w:val="21"/>
                      <w:highlight w:val="none"/>
                    </w:rPr>
                    <w:t>m</w:t>
                  </w:r>
                  <w:r>
                    <w:rPr>
                      <w:szCs w:val="21"/>
                      <w:highlight w:val="none"/>
                      <w:vertAlign w:val="superscript"/>
                    </w:rPr>
                    <w:t>2</w:t>
                  </w:r>
                  <w:r>
                    <w:rPr>
                      <w:rFonts w:hint="eastAsia"/>
                      <w:szCs w:val="21"/>
                      <w:highlight w:val="none"/>
                    </w:rPr>
                    <w:t>，位于生产车间北侧。</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内包材库</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面积28.8</w:t>
                  </w:r>
                  <w:r>
                    <w:rPr>
                      <w:szCs w:val="21"/>
                      <w:highlight w:val="none"/>
                    </w:rPr>
                    <w:t>m</w:t>
                  </w:r>
                  <w:r>
                    <w:rPr>
                      <w:szCs w:val="21"/>
                      <w:highlight w:val="none"/>
                      <w:vertAlign w:val="superscript"/>
                    </w:rPr>
                    <w:t>2</w:t>
                  </w:r>
                  <w:r>
                    <w:rPr>
                      <w:rFonts w:hint="eastAsia"/>
                      <w:szCs w:val="21"/>
                      <w:highlight w:val="none"/>
                    </w:rPr>
                    <w:t>，位于生产车间北侧。</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化学药品间</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面积54</w:t>
                  </w:r>
                  <w:r>
                    <w:rPr>
                      <w:szCs w:val="21"/>
                      <w:highlight w:val="none"/>
                    </w:rPr>
                    <w:t>m</w:t>
                  </w:r>
                  <w:r>
                    <w:rPr>
                      <w:szCs w:val="21"/>
                      <w:highlight w:val="none"/>
                      <w:vertAlign w:val="superscript"/>
                    </w:rPr>
                    <w:t>2</w:t>
                  </w:r>
                  <w:r>
                    <w:rPr>
                      <w:rFonts w:hint="eastAsia"/>
                      <w:szCs w:val="21"/>
                      <w:highlight w:val="none"/>
                    </w:rPr>
                    <w:t>，位于生产车间东南角。</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lang w:val="en-US" w:eastAsia="zh-CN"/>
                    </w:rPr>
                    <w:t>外围</w:t>
                  </w:r>
                  <w:r>
                    <w:rPr>
                      <w:rFonts w:hint="eastAsia"/>
                      <w:szCs w:val="21"/>
                      <w:highlight w:val="none"/>
                    </w:rPr>
                    <w:t>设备</w:t>
                  </w:r>
                  <w:r>
                    <w:rPr>
                      <w:szCs w:val="21"/>
                      <w:highlight w:val="none"/>
                    </w:rPr>
                    <w:t>维修间</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w:t>
                  </w:r>
                  <w:r>
                    <w:rPr>
                      <w:rFonts w:hint="eastAsia"/>
                      <w:szCs w:val="21"/>
                      <w:highlight w:val="none"/>
                      <w:lang w:val="en-US" w:eastAsia="zh-CN"/>
                    </w:rPr>
                    <w:t>25</w:t>
                  </w:r>
                  <w:r>
                    <w:rPr>
                      <w:szCs w:val="21"/>
                      <w:highlight w:val="none"/>
                    </w:rPr>
                    <w:t>m</w:t>
                  </w:r>
                  <w:r>
                    <w:rPr>
                      <w:szCs w:val="21"/>
                      <w:highlight w:val="none"/>
                      <w:vertAlign w:val="superscript"/>
                    </w:rPr>
                    <w:t>2</w:t>
                  </w:r>
                  <w:r>
                    <w:rPr>
                      <w:rFonts w:hint="eastAsia"/>
                      <w:szCs w:val="21"/>
                      <w:highlight w:val="none"/>
                    </w:rPr>
                    <w:t>，位于生产车间东南角。</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rFonts w:hint="default" w:eastAsia="宋体"/>
                      <w:szCs w:val="21"/>
                      <w:highlight w:val="none"/>
                      <w:lang w:val="en-US" w:eastAsia="zh-CN"/>
                    </w:rPr>
                  </w:pPr>
                  <w:r>
                    <w:rPr>
                      <w:rFonts w:hint="eastAsia"/>
                      <w:szCs w:val="21"/>
                      <w:highlight w:val="none"/>
                      <w:lang w:val="en-US" w:eastAsia="zh-CN"/>
                    </w:rPr>
                    <w:t>设备间</w:t>
                  </w:r>
                </w:p>
              </w:tc>
              <w:tc>
                <w:tcPr>
                  <w:tcW w:w="4600" w:type="dxa"/>
                  <w:tcBorders>
                    <w:tl2br w:val="nil"/>
                    <w:tr2bl w:val="nil"/>
                  </w:tcBorders>
                  <w:vAlign w:val="center"/>
                </w:tcPr>
                <w:p>
                  <w:pPr>
                    <w:autoSpaceDE w:val="0"/>
                    <w:autoSpaceDN w:val="0"/>
                    <w:adjustRightInd w:val="0"/>
                    <w:jc w:val="center"/>
                    <w:rPr>
                      <w:rFonts w:hint="eastAsia"/>
                      <w:szCs w:val="21"/>
                      <w:highlight w:val="none"/>
                    </w:rPr>
                  </w:pPr>
                  <w:r>
                    <w:rPr>
                      <w:rFonts w:hint="eastAsia"/>
                      <w:szCs w:val="21"/>
                      <w:highlight w:val="none"/>
                    </w:rPr>
                    <w:t>面积</w:t>
                  </w:r>
                  <w:r>
                    <w:rPr>
                      <w:rFonts w:hint="eastAsia"/>
                      <w:szCs w:val="21"/>
                      <w:highlight w:val="none"/>
                      <w:lang w:val="en-US" w:eastAsia="zh-CN"/>
                    </w:rPr>
                    <w:t>25</w:t>
                  </w:r>
                  <w:r>
                    <w:rPr>
                      <w:szCs w:val="21"/>
                      <w:highlight w:val="none"/>
                    </w:rPr>
                    <w:t>m</w:t>
                  </w:r>
                  <w:r>
                    <w:rPr>
                      <w:szCs w:val="21"/>
                      <w:highlight w:val="none"/>
                      <w:vertAlign w:val="superscript"/>
                    </w:rPr>
                    <w:t>2</w:t>
                  </w:r>
                  <w:r>
                    <w:rPr>
                      <w:rFonts w:hint="eastAsia"/>
                      <w:szCs w:val="21"/>
                      <w:highlight w:val="none"/>
                    </w:rPr>
                    <w:t>，位于生产车间东南角。</w:t>
                  </w:r>
                </w:p>
              </w:tc>
              <w:tc>
                <w:tcPr>
                  <w:tcW w:w="1241" w:type="dxa"/>
                  <w:tcBorders>
                    <w:tl2br w:val="nil"/>
                    <w:tr2bl w:val="nil"/>
                  </w:tcBorders>
                  <w:vAlign w:val="center"/>
                </w:tcPr>
                <w:p>
                  <w:pPr>
                    <w:autoSpaceDE w:val="0"/>
                    <w:autoSpaceDN w:val="0"/>
                    <w:adjustRightInd w:val="0"/>
                    <w:jc w:val="center"/>
                    <w:rPr>
                      <w:rFonts w:hint="eastAsia"/>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szCs w:val="21"/>
                      <w:highlight w:val="none"/>
                    </w:rPr>
                  </w:pPr>
                  <w:r>
                    <w:rPr>
                      <w:color w:val="000000"/>
                      <w:kern w:val="0"/>
                      <w:szCs w:val="21"/>
                      <w:highlight w:val="none"/>
                      <w:lang w:bidi="ar"/>
                    </w:rPr>
                    <w:t>CIP</w:t>
                  </w:r>
                  <w:r>
                    <w:rPr>
                      <w:rFonts w:hint="eastAsia" w:ascii="宋体" w:hAnsi="宋体" w:cs="宋体"/>
                      <w:color w:val="000000"/>
                      <w:kern w:val="0"/>
                      <w:szCs w:val="21"/>
                      <w:highlight w:val="none"/>
                      <w:lang w:bidi="ar"/>
                    </w:rPr>
                    <w:t>间</w:t>
                  </w:r>
                </w:p>
              </w:tc>
              <w:tc>
                <w:tcPr>
                  <w:tcW w:w="4600" w:type="dxa"/>
                  <w:tcBorders>
                    <w:tl2br w:val="nil"/>
                    <w:tr2bl w:val="nil"/>
                  </w:tcBorders>
                  <w:vAlign w:val="center"/>
                </w:tcPr>
                <w:p>
                  <w:pPr>
                    <w:autoSpaceDE w:val="0"/>
                    <w:autoSpaceDN w:val="0"/>
                    <w:adjustRightInd w:val="0"/>
                    <w:jc w:val="center"/>
                    <w:rPr>
                      <w:szCs w:val="21"/>
                      <w:highlight w:val="none"/>
                    </w:rPr>
                  </w:pPr>
                  <w:r>
                    <w:rPr>
                      <w:szCs w:val="21"/>
                      <w:highlight w:val="none"/>
                    </w:rPr>
                    <w:t>面积约105m</w:t>
                  </w:r>
                  <w:r>
                    <w:rPr>
                      <w:szCs w:val="21"/>
                      <w:highlight w:val="none"/>
                      <w:vertAlign w:val="superscript"/>
                    </w:rPr>
                    <w:t>2</w:t>
                  </w:r>
                  <w:r>
                    <w:rPr>
                      <w:rFonts w:hint="eastAsia"/>
                      <w:szCs w:val="21"/>
                      <w:highlight w:val="none"/>
                    </w:rPr>
                    <w:t>，位于车间东侧，为</w:t>
                  </w:r>
                  <w:r>
                    <w:rPr>
                      <w:szCs w:val="21"/>
                      <w:highlight w:val="none"/>
                    </w:rPr>
                    <w:t>蒸压加气混凝土砌块+洁净板墙体</w:t>
                  </w:r>
                  <w:r>
                    <w:rPr>
                      <w:color w:val="0000FF"/>
                      <w:szCs w:val="21"/>
                      <w:highlight w:val="none"/>
                    </w:rPr>
                    <w:t>，内设</w:t>
                  </w:r>
                  <w:r>
                    <w:rPr>
                      <w:rFonts w:hint="eastAsia"/>
                      <w:color w:val="0000FF"/>
                      <w:szCs w:val="21"/>
                      <w:highlight w:val="none"/>
                      <w:lang w:val="en-US" w:eastAsia="zh-CN"/>
                    </w:rPr>
                    <w:t>全自动</w:t>
                  </w:r>
                  <w:r>
                    <w:rPr>
                      <w:color w:val="0000FF"/>
                      <w:szCs w:val="21"/>
                      <w:highlight w:val="none"/>
                    </w:rPr>
                    <w:t>CIP</w:t>
                  </w:r>
                  <w:r>
                    <w:rPr>
                      <w:rFonts w:hint="eastAsia"/>
                      <w:color w:val="0000FF"/>
                      <w:szCs w:val="21"/>
                      <w:highlight w:val="none"/>
                      <w:lang w:eastAsia="zh-CN"/>
                    </w:rPr>
                    <w:t>（</w:t>
                  </w:r>
                  <w:r>
                    <w:rPr>
                      <w:rFonts w:hint="default"/>
                      <w:color w:val="0000FF"/>
                      <w:highlight w:val="none"/>
                      <w:vertAlign w:val="baseline"/>
                      <w:lang w:val="en-US" w:eastAsia="zh-CN"/>
                    </w:rPr>
                    <w:t>Clean In Place</w:t>
                  </w:r>
                  <w:r>
                    <w:rPr>
                      <w:rFonts w:hint="eastAsia"/>
                      <w:color w:val="0000FF"/>
                      <w:highlight w:val="none"/>
                      <w:vertAlign w:val="baseline"/>
                      <w:lang w:val="en-US" w:eastAsia="zh-CN"/>
                    </w:rPr>
                    <w:t>，原位清洗</w:t>
                  </w:r>
                  <w:r>
                    <w:rPr>
                      <w:rFonts w:hint="eastAsia"/>
                      <w:color w:val="0000FF"/>
                      <w:szCs w:val="21"/>
                      <w:highlight w:val="none"/>
                      <w:lang w:eastAsia="zh-CN"/>
                    </w:rPr>
                    <w:t>）</w:t>
                  </w:r>
                  <w:r>
                    <w:rPr>
                      <w:color w:val="0000FF"/>
                      <w:szCs w:val="21"/>
                      <w:highlight w:val="none"/>
                    </w:rPr>
                    <w:t xml:space="preserve"> 系统1套</w:t>
                  </w:r>
                  <w:r>
                    <w:rPr>
                      <w:rFonts w:hint="eastAsia"/>
                      <w:color w:val="0000FF"/>
                      <w:szCs w:val="21"/>
                      <w:highlight w:val="none"/>
                      <w:lang w:eastAsia="zh-CN"/>
                    </w:rPr>
                    <w:t>，</w:t>
                  </w:r>
                  <w:r>
                    <w:rPr>
                      <w:color w:val="0000FF"/>
                      <w:szCs w:val="21"/>
                      <w:highlight w:val="none"/>
                    </w:rPr>
                    <w:t>主要负责生产线设备清洗。</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eastAsia="宋体"/>
                      <w:color w:val="0000FF"/>
                      <w:kern w:val="0"/>
                      <w:szCs w:val="21"/>
                      <w:highlight w:val="none"/>
                      <w:lang w:val="en-US" w:eastAsia="zh-CN" w:bidi="ar"/>
                    </w:rPr>
                  </w:pPr>
                  <w:r>
                    <w:rPr>
                      <w:rFonts w:hint="eastAsia"/>
                      <w:color w:val="0000FF"/>
                      <w:kern w:val="0"/>
                      <w:szCs w:val="21"/>
                      <w:highlight w:val="none"/>
                      <w:lang w:val="en-US" w:eastAsia="zh-CN" w:bidi="ar"/>
                    </w:rPr>
                    <w:t>更衣室</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color w:val="0000FF"/>
                      <w:szCs w:val="21"/>
                      <w:highlight w:val="none"/>
                      <w:lang w:val="en-US" w:eastAsia="zh-CN"/>
                    </w:rPr>
                    <w:t>生产车间设置2处更衣室，分别位于上蛋间南侧（25</w:t>
                  </w:r>
                  <w:r>
                    <w:rPr>
                      <w:rFonts w:hint="eastAsia"/>
                      <w:color w:val="0000FF"/>
                      <w:szCs w:val="21"/>
                      <w:highlight w:val="none"/>
                    </w:rPr>
                    <w:t>m</w:t>
                  </w:r>
                  <w:r>
                    <w:rPr>
                      <w:rFonts w:hint="eastAsia"/>
                      <w:color w:val="0000FF"/>
                      <w:szCs w:val="21"/>
                      <w:highlight w:val="none"/>
                      <w:vertAlign w:val="superscript"/>
                    </w:rPr>
                    <w:t>2</w:t>
                  </w:r>
                  <w:r>
                    <w:rPr>
                      <w:rFonts w:hint="eastAsia"/>
                      <w:color w:val="0000FF"/>
                      <w:szCs w:val="21"/>
                      <w:highlight w:val="none"/>
                      <w:lang w:val="en-US" w:eastAsia="zh-CN"/>
                    </w:rPr>
                    <w:t>）及CIP间东北侧（50</w:t>
                  </w:r>
                  <w:r>
                    <w:rPr>
                      <w:rFonts w:hint="eastAsia"/>
                      <w:color w:val="0000FF"/>
                      <w:szCs w:val="21"/>
                      <w:highlight w:val="none"/>
                    </w:rPr>
                    <w:t>m</w:t>
                  </w:r>
                  <w:r>
                    <w:rPr>
                      <w:rFonts w:hint="eastAsia"/>
                      <w:color w:val="0000FF"/>
                      <w:szCs w:val="21"/>
                      <w:highlight w:val="none"/>
                      <w:vertAlign w:val="superscript"/>
                    </w:rPr>
                    <w:t>2</w:t>
                  </w:r>
                  <w:r>
                    <w:rPr>
                      <w:rFonts w:hint="eastAsia"/>
                      <w:color w:val="0000FF"/>
                      <w:szCs w:val="21"/>
                      <w:highlight w:val="none"/>
                      <w:lang w:val="en-US" w:eastAsia="zh-CN"/>
                    </w:rPr>
                    <w:t>）</w:t>
                  </w:r>
                  <w:r>
                    <w:rPr>
                      <w:rFonts w:hint="eastAsia"/>
                      <w:color w:val="0000FF"/>
                      <w:szCs w:val="21"/>
                      <w:highlight w:val="none"/>
                    </w:rPr>
                    <w:t>，</w:t>
                  </w:r>
                  <w:r>
                    <w:rPr>
                      <w:rFonts w:hint="eastAsia"/>
                      <w:color w:val="0000FF"/>
                      <w:szCs w:val="21"/>
                      <w:highlight w:val="none"/>
                      <w:lang w:val="en-US" w:eastAsia="zh-CN"/>
                    </w:rPr>
                    <w:t>均</w:t>
                  </w:r>
                  <w:r>
                    <w:rPr>
                      <w:rFonts w:hint="eastAsia"/>
                      <w:color w:val="0000FF"/>
                      <w:szCs w:val="21"/>
                      <w:highlight w:val="none"/>
                    </w:rPr>
                    <w:t>分设男、女共2间更衣间。</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eastAsia="宋体"/>
                      <w:color w:val="0000FF"/>
                      <w:kern w:val="0"/>
                      <w:szCs w:val="21"/>
                      <w:highlight w:val="none"/>
                      <w:lang w:val="en-US" w:eastAsia="zh-CN" w:bidi="ar"/>
                    </w:rPr>
                  </w:pPr>
                  <w:r>
                    <w:rPr>
                      <w:rFonts w:hint="eastAsia"/>
                      <w:color w:val="0000FF"/>
                      <w:kern w:val="0"/>
                      <w:szCs w:val="21"/>
                      <w:highlight w:val="none"/>
                      <w:lang w:val="en-US" w:eastAsia="zh-CN" w:bidi="ar"/>
                    </w:rPr>
                    <w:t>消杀室</w:t>
                  </w:r>
                </w:p>
              </w:tc>
              <w:tc>
                <w:tcPr>
                  <w:tcW w:w="4600"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消杀室位于更衣室与</w:t>
                  </w:r>
                  <w:r>
                    <w:rPr>
                      <w:rFonts w:hint="eastAsia"/>
                      <w:color w:val="0000FF"/>
                      <w:szCs w:val="21"/>
                      <w:highlight w:val="none"/>
                      <w:lang w:val="en-US" w:eastAsia="zh-CN"/>
                    </w:rPr>
                    <w:t>CIP间</w:t>
                  </w:r>
                  <w:r>
                    <w:rPr>
                      <w:rFonts w:hint="eastAsia"/>
                      <w:color w:val="0000FF"/>
                      <w:szCs w:val="21"/>
                      <w:highlight w:val="none"/>
                    </w:rPr>
                    <w:t>之间，总面积</w:t>
                  </w:r>
                </w:p>
                <w:p>
                  <w:pPr>
                    <w:autoSpaceDE w:val="0"/>
                    <w:autoSpaceDN w:val="0"/>
                    <w:adjustRightInd w:val="0"/>
                    <w:jc w:val="center"/>
                    <w:rPr>
                      <w:szCs w:val="21"/>
                      <w:highlight w:val="none"/>
                    </w:rPr>
                  </w:pPr>
                  <w:r>
                    <w:rPr>
                      <w:rFonts w:hint="eastAsia"/>
                      <w:color w:val="0000FF"/>
                      <w:szCs w:val="21"/>
                      <w:highlight w:val="none"/>
                    </w:rPr>
                    <w:t>约</w:t>
                  </w:r>
                  <w:r>
                    <w:rPr>
                      <w:rFonts w:hint="eastAsia"/>
                      <w:color w:val="0000FF"/>
                      <w:szCs w:val="21"/>
                      <w:highlight w:val="none"/>
                      <w:lang w:val="en-US" w:eastAsia="zh-CN"/>
                    </w:rPr>
                    <w:t>18</w:t>
                  </w:r>
                  <w:r>
                    <w:rPr>
                      <w:rFonts w:hint="eastAsia"/>
                      <w:color w:val="0000FF"/>
                      <w:szCs w:val="21"/>
                      <w:highlight w:val="none"/>
                    </w:rPr>
                    <w:t>m</w:t>
                  </w:r>
                  <w:r>
                    <w:rPr>
                      <w:rFonts w:hint="eastAsia"/>
                      <w:color w:val="0000FF"/>
                      <w:szCs w:val="21"/>
                      <w:highlight w:val="none"/>
                      <w:vertAlign w:val="superscript"/>
                    </w:rPr>
                    <w:t>2</w:t>
                  </w:r>
                  <w:r>
                    <w:rPr>
                      <w:rFonts w:hint="eastAsia"/>
                      <w:color w:val="0000FF"/>
                      <w:szCs w:val="21"/>
                      <w:highlight w:val="none"/>
                    </w:rPr>
                    <w:t>。主要用于进入生产车间前的清洁。</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color w:val="0000FF"/>
                      <w:kern w:val="0"/>
                      <w:szCs w:val="21"/>
                      <w:highlight w:val="none"/>
                      <w:lang w:val="en-US" w:eastAsia="zh-CN" w:bidi="ar"/>
                    </w:rPr>
                  </w:pPr>
                  <w:r>
                    <w:rPr>
                      <w:rFonts w:hint="eastAsia"/>
                      <w:color w:val="0000FF"/>
                      <w:kern w:val="0"/>
                      <w:szCs w:val="21"/>
                      <w:highlight w:val="none"/>
                      <w:lang w:val="en-US" w:eastAsia="zh-CN" w:bidi="ar"/>
                    </w:rPr>
                    <w:t>冰水设备间</w:t>
                  </w:r>
                </w:p>
              </w:tc>
              <w:tc>
                <w:tcPr>
                  <w:tcW w:w="4600" w:type="dxa"/>
                  <w:tcBorders>
                    <w:tl2br w:val="nil"/>
                    <w:tr2bl w:val="nil"/>
                  </w:tcBorders>
                  <w:vAlign w:val="center"/>
                </w:tcPr>
                <w:p>
                  <w:pPr>
                    <w:autoSpaceDE w:val="0"/>
                    <w:autoSpaceDN w:val="0"/>
                    <w:adjustRightInd w:val="0"/>
                    <w:jc w:val="center"/>
                    <w:rPr>
                      <w:rFonts w:hint="default" w:eastAsia="宋体"/>
                      <w:color w:val="0000FF"/>
                      <w:szCs w:val="21"/>
                      <w:highlight w:val="none"/>
                      <w:lang w:val="en-US" w:eastAsia="zh-CN"/>
                    </w:rPr>
                  </w:pPr>
                  <w:r>
                    <w:rPr>
                      <w:rFonts w:hint="eastAsia"/>
                      <w:color w:val="0000FF"/>
                      <w:szCs w:val="21"/>
                      <w:highlight w:val="none"/>
                    </w:rPr>
                    <w:t>面积</w:t>
                  </w:r>
                  <w:r>
                    <w:rPr>
                      <w:rFonts w:hint="eastAsia"/>
                      <w:color w:val="0000FF"/>
                      <w:szCs w:val="21"/>
                      <w:highlight w:val="none"/>
                      <w:lang w:val="en-US" w:eastAsia="zh-CN"/>
                    </w:rPr>
                    <w:t>72</w:t>
                  </w:r>
                  <w:r>
                    <w:rPr>
                      <w:color w:val="0000FF"/>
                      <w:szCs w:val="21"/>
                      <w:highlight w:val="none"/>
                    </w:rPr>
                    <w:t>m</w:t>
                  </w:r>
                  <w:r>
                    <w:rPr>
                      <w:color w:val="0000FF"/>
                      <w:szCs w:val="21"/>
                      <w:highlight w:val="none"/>
                      <w:vertAlign w:val="superscript"/>
                    </w:rPr>
                    <w:t>2</w:t>
                  </w:r>
                  <w:r>
                    <w:rPr>
                      <w:rFonts w:hint="eastAsia"/>
                      <w:color w:val="0000FF"/>
                      <w:szCs w:val="21"/>
                      <w:highlight w:val="none"/>
                    </w:rPr>
                    <w:t>，位于生产车间西北角，</w:t>
                  </w:r>
                  <w:r>
                    <w:rPr>
                      <w:rFonts w:hint="eastAsia"/>
                      <w:color w:val="0000FF"/>
                      <w:szCs w:val="21"/>
                      <w:highlight w:val="none"/>
                      <w:lang w:val="en-US" w:eastAsia="zh-CN"/>
                    </w:rPr>
                    <w:t>冰水制备。</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color w:val="0000FF"/>
                      <w:kern w:val="0"/>
                      <w:szCs w:val="21"/>
                      <w:highlight w:val="none"/>
                      <w:lang w:val="en-US" w:eastAsia="zh-CN" w:bidi="ar"/>
                    </w:rPr>
                  </w:pPr>
                  <w:r>
                    <w:rPr>
                      <w:rFonts w:hint="eastAsia"/>
                      <w:color w:val="0000FF"/>
                      <w:kern w:val="0"/>
                      <w:szCs w:val="21"/>
                      <w:highlight w:val="none"/>
                      <w:lang w:val="en-US" w:eastAsia="zh-CN" w:bidi="ar"/>
                    </w:rPr>
                    <w:t>蒸汽锅炉间</w:t>
                  </w:r>
                </w:p>
              </w:tc>
              <w:tc>
                <w:tcPr>
                  <w:tcW w:w="4600" w:type="dxa"/>
                  <w:tcBorders>
                    <w:tl2br w:val="nil"/>
                    <w:tr2bl w:val="nil"/>
                  </w:tcBorders>
                  <w:vAlign w:val="center"/>
                </w:tcPr>
                <w:p>
                  <w:pPr>
                    <w:autoSpaceDE w:val="0"/>
                    <w:autoSpaceDN w:val="0"/>
                    <w:adjustRightInd w:val="0"/>
                    <w:jc w:val="center"/>
                    <w:rPr>
                      <w:rFonts w:hint="default" w:eastAsia="宋体"/>
                      <w:color w:val="0000FF"/>
                      <w:szCs w:val="21"/>
                      <w:highlight w:val="none"/>
                      <w:lang w:val="en-US" w:eastAsia="zh-CN"/>
                    </w:rPr>
                  </w:pPr>
                  <w:r>
                    <w:rPr>
                      <w:rFonts w:hint="eastAsia"/>
                      <w:color w:val="0000FF"/>
                      <w:szCs w:val="21"/>
                      <w:highlight w:val="none"/>
                    </w:rPr>
                    <w:t>面积</w:t>
                  </w:r>
                  <w:r>
                    <w:rPr>
                      <w:rFonts w:hint="eastAsia"/>
                      <w:color w:val="0000FF"/>
                      <w:szCs w:val="21"/>
                      <w:highlight w:val="none"/>
                      <w:lang w:val="en-US" w:eastAsia="zh-CN"/>
                    </w:rPr>
                    <w:t>54</w:t>
                  </w:r>
                  <w:r>
                    <w:rPr>
                      <w:color w:val="0000FF"/>
                      <w:szCs w:val="21"/>
                      <w:highlight w:val="none"/>
                    </w:rPr>
                    <w:t>m</w:t>
                  </w:r>
                  <w:r>
                    <w:rPr>
                      <w:color w:val="0000FF"/>
                      <w:szCs w:val="21"/>
                      <w:highlight w:val="none"/>
                      <w:vertAlign w:val="superscript"/>
                    </w:rPr>
                    <w:t>2</w:t>
                  </w:r>
                  <w:r>
                    <w:rPr>
                      <w:rFonts w:hint="eastAsia"/>
                      <w:color w:val="0000FF"/>
                      <w:szCs w:val="21"/>
                      <w:highlight w:val="none"/>
                    </w:rPr>
                    <w:t>，位于生产车间西北角</w:t>
                  </w:r>
                  <w:r>
                    <w:rPr>
                      <w:rFonts w:hint="eastAsia"/>
                      <w:color w:val="0000FF"/>
                      <w:szCs w:val="21"/>
                      <w:highlight w:val="none"/>
                      <w:lang w:eastAsia="zh-CN"/>
                    </w:rPr>
                    <w:t>，</w:t>
                  </w:r>
                  <w:r>
                    <w:rPr>
                      <w:rFonts w:hint="eastAsia"/>
                      <w:color w:val="0000FF"/>
                      <w:szCs w:val="21"/>
                      <w:highlight w:val="none"/>
                      <w:lang w:val="en-US" w:eastAsia="zh-CN"/>
                    </w:rPr>
                    <w:t>提供蒸汽。</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生物质燃料仓库</w:t>
                  </w:r>
                </w:p>
              </w:tc>
              <w:tc>
                <w:tcPr>
                  <w:tcW w:w="4600" w:type="dxa"/>
                  <w:tcBorders>
                    <w:tl2br w:val="nil"/>
                    <w:tr2bl w:val="nil"/>
                  </w:tcBorders>
                  <w:vAlign w:val="center"/>
                </w:tcPr>
                <w:p>
                  <w:pPr>
                    <w:autoSpaceDE w:val="0"/>
                    <w:autoSpaceDN w:val="0"/>
                    <w:adjustRightInd w:val="0"/>
                    <w:jc w:val="center"/>
                    <w:rPr>
                      <w:rFonts w:hint="default"/>
                      <w:color w:val="0000FF"/>
                      <w:szCs w:val="21"/>
                      <w:highlight w:val="none"/>
                      <w:lang w:val="en-US"/>
                    </w:rPr>
                  </w:pPr>
                  <w:r>
                    <w:rPr>
                      <w:rFonts w:hint="eastAsia"/>
                      <w:color w:val="0000FF"/>
                      <w:kern w:val="0"/>
                      <w:szCs w:val="21"/>
                      <w:highlight w:val="none"/>
                      <w:lang w:val="en-US" w:eastAsia="zh-CN" w:bidi="ar"/>
                    </w:rPr>
                    <w:t>面积30m</w:t>
                  </w:r>
                  <w:r>
                    <w:rPr>
                      <w:rFonts w:hint="eastAsia"/>
                      <w:color w:val="0000FF"/>
                      <w:kern w:val="0"/>
                      <w:szCs w:val="21"/>
                      <w:highlight w:val="none"/>
                      <w:vertAlign w:val="superscript"/>
                      <w:lang w:val="en-US" w:eastAsia="zh-CN" w:bidi="ar"/>
                    </w:rPr>
                    <w:t>2</w:t>
                  </w:r>
                  <w:r>
                    <w:rPr>
                      <w:rFonts w:hint="eastAsia"/>
                      <w:color w:val="0000FF"/>
                      <w:kern w:val="0"/>
                      <w:szCs w:val="21"/>
                      <w:highlight w:val="none"/>
                      <w:vertAlign w:val="baseline"/>
                      <w:lang w:val="en-US" w:eastAsia="zh-CN" w:bidi="ar"/>
                    </w:rPr>
                    <w:t>，位于</w:t>
                  </w:r>
                  <w:r>
                    <w:rPr>
                      <w:rFonts w:hint="eastAsia"/>
                      <w:color w:val="0000FF"/>
                      <w:kern w:val="0"/>
                      <w:szCs w:val="21"/>
                      <w:highlight w:val="none"/>
                      <w:lang w:val="en-US" w:eastAsia="zh-CN" w:bidi="ar"/>
                    </w:rPr>
                    <w:t>蒸汽锅炉间西侧。</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color w:val="0000FF"/>
                      <w:kern w:val="0"/>
                      <w:szCs w:val="21"/>
                      <w:highlight w:val="none"/>
                      <w:lang w:val="en-US" w:eastAsia="zh-CN" w:bidi="ar"/>
                    </w:rPr>
                  </w:pPr>
                  <w:r>
                    <w:rPr>
                      <w:rFonts w:hint="eastAsia"/>
                      <w:color w:val="0000FF"/>
                      <w:kern w:val="0"/>
                      <w:szCs w:val="21"/>
                      <w:highlight w:val="none"/>
                      <w:lang w:val="en-US" w:eastAsia="zh-CN" w:bidi="ar"/>
                    </w:rPr>
                    <w:t>软水制备系统</w:t>
                  </w:r>
                </w:p>
              </w:tc>
              <w:tc>
                <w:tcPr>
                  <w:tcW w:w="4600"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lang w:val="en-US" w:eastAsia="zh-CN"/>
                    </w:rPr>
                    <w:t>生物质锅炉配套</w:t>
                  </w:r>
                  <w:r>
                    <w:rPr>
                      <w:rFonts w:hint="eastAsia"/>
                      <w:color w:val="0000FF"/>
                      <w:szCs w:val="21"/>
                      <w:highlight w:val="none"/>
                    </w:rPr>
                    <w:t>软化水设备一套，处理规模</w:t>
                  </w:r>
                  <w:r>
                    <w:rPr>
                      <w:rFonts w:hint="eastAsia"/>
                      <w:color w:val="0000FF"/>
                      <w:szCs w:val="21"/>
                      <w:highlight w:val="none"/>
                      <w:lang w:val="en-US" w:eastAsia="zh-CN"/>
                    </w:rPr>
                    <w:t>2.5</w:t>
                  </w:r>
                  <w:r>
                    <w:rPr>
                      <w:rFonts w:hint="eastAsia"/>
                      <w:color w:val="0000FF"/>
                      <w:szCs w:val="21"/>
                      <w:highlight w:val="none"/>
                    </w:rPr>
                    <w:t>t/h，软化水系统工艺为：离子交换原理。本项目不设置树脂再生工段，废离子交换树脂交厂家回收处置。</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color w:val="0000FF"/>
                      <w:kern w:val="0"/>
                      <w:szCs w:val="21"/>
                      <w:highlight w:val="none"/>
                      <w:lang w:val="en-US" w:eastAsia="zh-CN" w:bidi="ar"/>
                    </w:rPr>
                  </w:pPr>
                  <w:r>
                    <w:rPr>
                      <w:rFonts w:hint="eastAsia"/>
                      <w:color w:val="0000FF"/>
                      <w:kern w:val="0"/>
                      <w:szCs w:val="21"/>
                      <w:highlight w:val="none"/>
                      <w:lang w:val="en-US" w:eastAsia="zh-CN" w:bidi="ar"/>
                    </w:rPr>
                    <w:t>空压机房</w:t>
                  </w:r>
                </w:p>
              </w:tc>
              <w:tc>
                <w:tcPr>
                  <w:tcW w:w="4600" w:type="dxa"/>
                  <w:tcBorders>
                    <w:tl2br w:val="nil"/>
                    <w:tr2bl w:val="nil"/>
                  </w:tcBorders>
                  <w:vAlign w:val="center"/>
                </w:tcPr>
                <w:p>
                  <w:pPr>
                    <w:autoSpaceDE w:val="0"/>
                    <w:autoSpaceDN w:val="0"/>
                    <w:adjustRightInd w:val="0"/>
                    <w:jc w:val="center"/>
                    <w:rPr>
                      <w:rFonts w:hint="eastAsia" w:eastAsia="宋体"/>
                      <w:color w:val="0000FF"/>
                      <w:szCs w:val="21"/>
                      <w:highlight w:val="none"/>
                      <w:lang w:eastAsia="zh-CN"/>
                    </w:rPr>
                  </w:pPr>
                  <w:r>
                    <w:rPr>
                      <w:rFonts w:hint="eastAsia"/>
                      <w:color w:val="0000FF"/>
                      <w:szCs w:val="21"/>
                      <w:highlight w:val="none"/>
                    </w:rPr>
                    <w:t>面积</w:t>
                  </w:r>
                  <w:r>
                    <w:rPr>
                      <w:rFonts w:hint="eastAsia"/>
                      <w:color w:val="0000FF"/>
                      <w:szCs w:val="21"/>
                      <w:highlight w:val="none"/>
                      <w:lang w:val="en-US" w:eastAsia="zh-CN"/>
                    </w:rPr>
                    <w:t>54</w:t>
                  </w:r>
                  <w:r>
                    <w:rPr>
                      <w:color w:val="0000FF"/>
                      <w:szCs w:val="21"/>
                      <w:highlight w:val="none"/>
                    </w:rPr>
                    <w:t>m</w:t>
                  </w:r>
                  <w:r>
                    <w:rPr>
                      <w:color w:val="0000FF"/>
                      <w:szCs w:val="21"/>
                      <w:highlight w:val="none"/>
                      <w:vertAlign w:val="superscript"/>
                    </w:rPr>
                    <w:t>2</w:t>
                  </w:r>
                  <w:r>
                    <w:rPr>
                      <w:rFonts w:hint="eastAsia"/>
                      <w:color w:val="0000FF"/>
                      <w:szCs w:val="21"/>
                      <w:highlight w:val="none"/>
                    </w:rPr>
                    <w:t>，位于生产车间西北角</w:t>
                  </w:r>
                  <w:r>
                    <w:rPr>
                      <w:rFonts w:hint="eastAsia"/>
                      <w:color w:val="0000FF"/>
                      <w:szCs w:val="21"/>
                      <w:highlight w:val="none"/>
                      <w:lang w:eastAsia="zh-CN"/>
                    </w:rPr>
                    <w:t>。</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idowControl/>
                    <w:jc w:val="center"/>
                    <w:rPr>
                      <w:rFonts w:hint="default"/>
                      <w:color w:val="0000FF"/>
                      <w:kern w:val="0"/>
                      <w:szCs w:val="21"/>
                      <w:highlight w:val="none"/>
                      <w:lang w:val="en-US" w:eastAsia="zh-CN" w:bidi="ar"/>
                    </w:rPr>
                  </w:pPr>
                  <w:r>
                    <w:rPr>
                      <w:rFonts w:hint="eastAsia"/>
                      <w:color w:val="0000FF"/>
                      <w:kern w:val="0"/>
                      <w:szCs w:val="21"/>
                      <w:highlight w:val="none"/>
                      <w:lang w:val="en-US" w:eastAsia="zh-CN" w:bidi="ar"/>
                    </w:rPr>
                    <w:t>车间配件间</w:t>
                  </w:r>
                </w:p>
              </w:tc>
              <w:tc>
                <w:tcPr>
                  <w:tcW w:w="4600" w:type="dxa"/>
                  <w:tcBorders>
                    <w:tl2br w:val="nil"/>
                    <w:tr2bl w:val="nil"/>
                  </w:tcBorders>
                  <w:vAlign w:val="center"/>
                </w:tcPr>
                <w:p>
                  <w:pPr>
                    <w:autoSpaceDE w:val="0"/>
                    <w:autoSpaceDN w:val="0"/>
                    <w:adjustRightInd w:val="0"/>
                    <w:jc w:val="center"/>
                    <w:rPr>
                      <w:rFonts w:hint="eastAsia" w:eastAsia="宋体"/>
                      <w:color w:val="0000FF"/>
                      <w:szCs w:val="21"/>
                      <w:highlight w:val="none"/>
                      <w:lang w:eastAsia="zh-CN"/>
                    </w:rPr>
                  </w:pPr>
                  <w:r>
                    <w:rPr>
                      <w:rFonts w:hint="eastAsia"/>
                      <w:color w:val="0000FF"/>
                      <w:szCs w:val="21"/>
                      <w:highlight w:val="none"/>
                    </w:rPr>
                    <w:t>面积</w:t>
                  </w:r>
                  <w:r>
                    <w:rPr>
                      <w:rFonts w:hint="eastAsia"/>
                      <w:color w:val="0000FF"/>
                      <w:szCs w:val="21"/>
                      <w:highlight w:val="none"/>
                      <w:lang w:val="en-US" w:eastAsia="zh-CN"/>
                    </w:rPr>
                    <w:t>81</w:t>
                  </w:r>
                  <w:r>
                    <w:rPr>
                      <w:color w:val="0000FF"/>
                      <w:szCs w:val="21"/>
                      <w:highlight w:val="none"/>
                    </w:rPr>
                    <w:t>m</w:t>
                  </w:r>
                  <w:r>
                    <w:rPr>
                      <w:color w:val="0000FF"/>
                      <w:szCs w:val="21"/>
                      <w:highlight w:val="none"/>
                      <w:vertAlign w:val="superscript"/>
                    </w:rPr>
                    <w:t>2</w:t>
                  </w:r>
                  <w:r>
                    <w:rPr>
                      <w:rFonts w:hint="eastAsia"/>
                      <w:color w:val="0000FF"/>
                      <w:szCs w:val="21"/>
                      <w:highlight w:val="none"/>
                    </w:rPr>
                    <w:t>，位于生产车间西北角</w:t>
                  </w:r>
                  <w:r>
                    <w:rPr>
                      <w:rFonts w:hint="eastAsia"/>
                      <w:color w:val="0000FF"/>
                      <w:szCs w:val="21"/>
                      <w:highlight w:val="none"/>
                      <w:lang w:eastAsia="zh-CN"/>
                    </w:rPr>
                    <w:t>，存储、管理、快速取用与生产设备配套的备品备件、专用工装和易耗品。</w:t>
                  </w:r>
                </w:p>
              </w:tc>
              <w:tc>
                <w:tcPr>
                  <w:tcW w:w="1241" w:type="dxa"/>
                  <w:tcBorders>
                    <w:tl2br w:val="nil"/>
                    <w:tr2bl w:val="nil"/>
                  </w:tcBorders>
                  <w:vAlign w:val="center"/>
                </w:tcPr>
                <w:p>
                  <w:pPr>
                    <w:autoSpaceDE w:val="0"/>
                    <w:autoSpaceDN w:val="0"/>
                    <w:adjustRightInd w:val="0"/>
                    <w:jc w:val="center"/>
                    <w:rPr>
                      <w:rFonts w:hint="eastAsia"/>
                      <w:color w:val="0000FF"/>
                      <w:szCs w:val="21"/>
                      <w:highlight w:val="none"/>
                    </w:rPr>
                  </w:pPr>
                  <w:r>
                    <w:rPr>
                      <w:rFonts w:hint="eastAsia"/>
                      <w:color w:val="0000FF"/>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67" w:type="dxa"/>
                  <w:vMerge w:val="restart"/>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办公生活</w:t>
                  </w:r>
                </w:p>
              </w:tc>
              <w:tc>
                <w:tcPr>
                  <w:tcW w:w="1483" w:type="dxa"/>
                  <w:gridSpan w:val="2"/>
                  <w:tcBorders>
                    <w:tl2br w:val="nil"/>
                    <w:tr2bl w:val="nil"/>
                  </w:tcBorders>
                  <w:vAlign w:val="center"/>
                </w:tcPr>
                <w:p>
                  <w:pPr>
                    <w:autoSpaceDE w:val="0"/>
                    <w:autoSpaceDN w:val="0"/>
                    <w:adjustRightInd w:val="0"/>
                    <w:jc w:val="center"/>
                    <w:rPr>
                      <w:rFonts w:hint="eastAsia" w:eastAsia="宋体"/>
                      <w:szCs w:val="21"/>
                      <w:highlight w:val="none"/>
                      <w:lang w:val="en-US" w:eastAsia="zh-CN"/>
                    </w:rPr>
                  </w:pPr>
                  <w:r>
                    <w:rPr>
                      <w:szCs w:val="21"/>
                      <w:highlight w:val="none"/>
                    </w:rPr>
                    <w:t>办公</w:t>
                  </w:r>
                  <w:r>
                    <w:rPr>
                      <w:rFonts w:hint="eastAsia"/>
                      <w:szCs w:val="21"/>
                      <w:highlight w:val="none"/>
                      <w:lang w:val="en-US" w:eastAsia="zh-CN"/>
                    </w:rPr>
                    <w:t>室</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面积</w:t>
                  </w:r>
                  <w:r>
                    <w:rPr>
                      <w:szCs w:val="21"/>
                      <w:highlight w:val="none"/>
                    </w:rPr>
                    <w:t>200m</w:t>
                  </w:r>
                  <w:r>
                    <w:rPr>
                      <w:szCs w:val="21"/>
                      <w:highlight w:val="none"/>
                      <w:vertAlign w:val="superscript"/>
                    </w:rPr>
                    <w:t>2</w:t>
                  </w:r>
                  <w:r>
                    <w:rPr>
                      <w:rFonts w:hint="eastAsia"/>
                      <w:szCs w:val="21"/>
                      <w:highlight w:val="none"/>
                    </w:rPr>
                    <w:t>，位于生产车间2层东北角</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rFonts w:hint="eastAsia" w:eastAsia="宋体"/>
                      <w:szCs w:val="21"/>
                      <w:highlight w:val="none"/>
                      <w:lang w:eastAsia="zh-CN"/>
                    </w:rPr>
                  </w:pPr>
                  <w:r>
                    <w:rPr>
                      <w:szCs w:val="21"/>
                      <w:highlight w:val="none"/>
                    </w:rPr>
                    <w:t>研发</w:t>
                  </w:r>
                  <w:r>
                    <w:rPr>
                      <w:rFonts w:hint="eastAsia"/>
                      <w:szCs w:val="21"/>
                      <w:highlight w:val="none"/>
                      <w:lang w:val="en-US" w:eastAsia="zh-CN"/>
                    </w:rPr>
                    <w:t>室</w:t>
                  </w:r>
                </w:p>
              </w:tc>
              <w:tc>
                <w:tcPr>
                  <w:tcW w:w="4600" w:type="dxa"/>
                  <w:tcBorders>
                    <w:tl2br w:val="nil"/>
                    <w:tr2bl w:val="nil"/>
                  </w:tcBorders>
                  <w:vAlign w:val="center"/>
                </w:tcPr>
                <w:p>
                  <w:pPr>
                    <w:autoSpaceDE w:val="0"/>
                    <w:autoSpaceDN w:val="0"/>
                    <w:adjustRightInd w:val="0"/>
                    <w:jc w:val="center"/>
                    <w:rPr>
                      <w:rFonts w:hint="eastAsia" w:eastAsia="宋体"/>
                      <w:szCs w:val="21"/>
                      <w:highlight w:val="none"/>
                      <w:lang w:eastAsia="zh-CN"/>
                    </w:rPr>
                  </w:pPr>
                  <w:r>
                    <w:rPr>
                      <w:rFonts w:hint="eastAsia"/>
                      <w:szCs w:val="21"/>
                      <w:highlight w:val="none"/>
                    </w:rPr>
                    <w:t>面积</w:t>
                  </w:r>
                  <w:r>
                    <w:rPr>
                      <w:szCs w:val="21"/>
                      <w:highlight w:val="none"/>
                    </w:rPr>
                    <w:t>150m</w:t>
                  </w:r>
                  <w:r>
                    <w:rPr>
                      <w:szCs w:val="21"/>
                      <w:highlight w:val="none"/>
                      <w:vertAlign w:val="superscript"/>
                    </w:rPr>
                    <w:t>2</w:t>
                  </w:r>
                  <w:r>
                    <w:rPr>
                      <w:rFonts w:hint="eastAsia"/>
                      <w:szCs w:val="21"/>
                      <w:highlight w:val="none"/>
                    </w:rPr>
                    <w:t>，位于生产车间2层东北角</w:t>
                  </w:r>
                  <w:r>
                    <w:rPr>
                      <w:rFonts w:hint="eastAsia"/>
                      <w:szCs w:val="21"/>
                      <w:highlight w:val="none"/>
                      <w:lang w:eastAsia="zh-CN"/>
                    </w:rPr>
                    <w:t>，</w:t>
                  </w:r>
                  <w:r>
                    <w:rPr>
                      <w:rFonts w:hint="eastAsia"/>
                      <w:color w:val="0000FF"/>
                      <w:szCs w:val="21"/>
                      <w:highlight w:val="none"/>
                      <w:lang w:val="en-US" w:eastAsia="zh-CN"/>
                    </w:rPr>
                    <w:t>主要</w:t>
                  </w:r>
                  <w:r>
                    <w:rPr>
                      <w:rFonts w:hint="eastAsia"/>
                      <w:color w:val="0000FF"/>
                      <w:szCs w:val="21"/>
                      <w:highlight w:val="none"/>
                      <w:lang w:eastAsia="zh-CN"/>
                    </w:rPr>
                    <w:t>进行产品配方研发，利用计算机模拟软件和数据分析工具，可以通过数学模型预测配方的性能，并且可以帮助预测产品的市场表现和用户偏好，研发过程不开展实验。</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综合实验室</w:t>
                  </w:r>
                </w:p>
              </w:tc>
              <w:tc>
                <w:tcPr>
                  <w:tcW w:w="4600" w:type="dxa"/>
                  <w:tcBorders>
                    <w:tl2br w:val="nil"/>
                    <w:tr2bl w:val="nil"/>
                  </w:tcBorders>
                  <w:vAlign w:val="center"/>
                </w:tcPr>
                <w:p>
                  <w:pPr>
                    <w:keepNext w:val="0"/>
                    <w:keepLines w:val="0"/>
                    <w:widowControl/>
                    <w:suppressLineNumbers w:val="0"/>
                    <w:jc w:val="left"/>
                    <w:rPr>
                      <w:rFonts w:hint="eastAsia" w:eastAsia="宋体"/>
                      <w:szCs w:val="21"/>
                      <w:highlight w:val="none"/>
                      <w:lang w:eastAsia="zh-CN"/>
                    </w:rPr>
                  </w:pPr>
                  <w:r>
                    <w:rPr>
                      <w:rFonts w:hint="eastAsia"/>
                      <w:szCs w:val="21"/>
                      <w:highlight w:val="none"/>
                    </w:rPr>
                    <w:t>面积</w:t>
                  </w:r>
                  <w:r>
                    <w:rPr>
                      <w:szCs w:val="21"/>
                      <w:highlight w:val="none"/>
                    </w:rPr>
                    <w:t>430 m</w:t>
                  </w:r>
                  <w:r>
                    <w:rPr>
                      <w:szCs w:val="21"/>
                      <w:highlight w:val="none"/>
                      <w:vertAlign w:val="superscript"/>
                    </w:rPr>
                    <w:t>2</w:t>
                  </w:r>
                  <w:r>
                    <w:rPr>
                      <w:rFonts w:hint="eastAsia"/>
                      <w:szCs w:val="21"/>
                      <w:highlight w:val="none"/>
                    </w:rPr>
                    <w:t>，位于生产车间2层北侧</w:t>
                  </w:r>
                  <w:r>
                    <w:rPr>
                      <w:rFonts w:hint="eastAsia"/>
                      <w:szCs w:val="21"/>
                      <w:highlight w:val="none"/>
                      <w:lang w:eastAsia="zh-CN"/>
                    </w:rPr>
                    <w:t>，</w:t>
                  </w:r>
                  <w:r>
                    <w:rPr>
                      <w:rFonts w:hint="eastAsia" w:ascii="宋体" w:hAnsi="宋体" w:eastAsia="宋体" w:cs="宋体"/>
                      <w:color w:val="0000FF"/>
                      <w:kern w:val="0"/>
                      <w:sz w:val="21"/>
                      <w:szCs w:val="21"/>
                      <w:highlight w:val="none"/>
                      <w:lang w:val="en-US" w:eastAsia="zh-CN" w:bidi="ar"/>
                    </w:rPr>
                    <w:t>内设水分测定仪、</w:t>
                  </w:r>
                  <w:r>
                    <w:rPr>
                      <w:rFonts w:hint="default" w:ascii="Times New Roman" w:hAnsi="Times New Roman" w:eastAsia="宋体" w:cs="Times New Roman"/>
                      <w:color w:val="0000FF"/>
                      <w:kern w:val="0"/>
                      <w:sz w:val="21"/>
                      <w:szCs w:val="21"/>
                      <w:highlight w:val="none"/>
                      <w:lang w:val="en-US" w:eastAsia="zh-CN" w:bidi="ar"/>
                    </w:rPr>
                    <w:t xml:space="preserve">pH </w:t>
                  </w:r>
                  <w:r>
                    <w:rPr>
                      <w:rFonts w:hint="eastAsia" w:ascii="宋体" w:hAnsi="宋体" w:eastAsia="宋体" w:cs="宋体"/>
                      <w:color w:val="0000FF"/>
                      <w:kern w:val="0"/>
                      <w:sz w:val="21"/>
                      <w:szCs w:val="21"/>
                      <w:highlight w:val="none"/>
                      <w:lang w:val="en-US" w:eastAsia="zh-CN" w:bidi="ar"/>
                    </w:rPr>
                    <w:t xml:space="preserve">计等。主要负责产品水分检测、干物质含量检测、产品黏度检测、产品 </w:t>
                  </w:r>
                  <w:r>
                    <w:rPr>
                      <w:rFonts w:hint="default" w:ascii="Times New Roman" w:hAnsi="Times New Roman" w:eastAsia="宋体" w:cs="Times New Roman"/>
                      <w:color w:val="0000FF"/>
                      <w:kern w:val="0"/>
                      <w:sz w:val="21"/>
                      <w:szCs w:val="21"/>
                      <w:highlight w:val="none"/>
                      <w:lang w:val="en-US" w:eastAsia="zh-CN" w:bidi="ar"/>
                    </w:rPr>
                    <w:t xml:space="preserve">pH </w:t>
                  </w:r>
                  <w:r>
                    <w:rPr>
                      <w:rFonts w:hint="eastAsia" w:ascii="宋体" w:hAnsi="宋体" w:eastAsia="宋体" w:cs="宋体"/>
                      <w:color w:val="0000FF"/>
                      <w:kern w:val="0"/>
                      <w:sz w:val="21"/>
                      <w:szCs w:val="21"/>
                      <w:highlight w:val="none"/>
                      <w:lang w:val="en-US" w:eastAsia="zh-CN" w:bidi="ar"/>
                    </w:rPr>
                    <w:t>值检测、产品色差检测等。</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szCs w:val="21"/>
                      <w:highlight w:val="none"/>
                    </w:rPr>
                    <w:t>微生物检测室</w:t>
                  </w:r>
                </w:p>
              </w:tc>
              <w:tc>
                <w:tcPr>
                  <w:tcW w:w="4600" w:type="dxa"/>
                  <w:tcBorders>
                    <w:tl2br w:val="nil"/>
                    <w:tr2bl w:val="nil"/>
                  </w:tcBorders>
                  <w:vAlign w:val="center"/>
                </w:tcPr>
                <w:p>
                  <w:pPr>
                    <w:autoSpaceDE w:val="0"/>
                    <w:autoSpaceDN w:val="0"/>
                    <w:adjustRightInd w:val="0"/>
                    <w:jc w:val="center"/>
                    <w:rPr>
                      <w:rFonts w:hint="eastAsia" w:eastAsia="宋体"/>
                      <w:szCs w:val="21"/>
                      <w:highlight w:val="none"/>
                      <w:lang w:eastAsia="zh-CN"/>
                    </w:rPr>
                  </w:pPr>
                  <w:r>
                    <w:rPr>
                      <w:rFonts w:hint="eastAsia"/>
                      <w:szCs w:val="21"/>
                      <w:highlight w:val="none"/>
                    </w:rPr>
                    <w:t>面积</w:t>
                  </w:r>
                  <w:r>
                    <w:rPr>
                      <w:szCs w:val="21"/>
                      <w:highlight w:val="none"/>
                    </w:rPr>
                    <w:t>20 m</w:t>
                  </w:r>
                  <w:r>
                    <w:rPr>
                      <w:szCs w:val="21"/>
                      <w:highlight w:val="none"/>
                      <w:vertAlign w:val="superscript"/>
                    </w:rPr>
                    <w:t>2</w:t>
                  </w:r>
                  <w:r>
                    <w:rPr>
                      <w:rFonts w:hint="eastAsia"/>
                      <w:szCs w:val="21"/>
                      <w:highlight w:val="none"/>
                    </w:rPr>
                    <w:t>，位于生产车间2层北侧</w:t>
                  </w:r>
                  <w:r>
                    <w:rPr>
                      <w:rFonts w:hint="eastAsia"/>
                      <w:szCs w:val="21"/>
                      <w:highlight w:val="none"/>
                      <w:lang w:eastAsia="zh-CN"/>
                    </w:rPr>
                    <w:t>，</w:t>
                  </w:r>
                  <w:r>
                    <w:rPr>
                      <w:rFonts w:hint="eastAsia"/>
                      <w:color w:val="0000FF"/>
                      <w:szCs w:val="21"/>
                      <w:highlight w:val="none"/>
                      <w:lang w:eastAsia="zh-CN"/>
                    </w:rPr>
                    <w:t>内设恒温培养箱、冰箱等。主要负责产品微生物检测等。</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rFonts w:hint="eastAsia" w:eastAsia="宋体"/>
                      <w:color w:val="0000FF"/>
                      <w:szCs w:val="21"/>
                      <w:highlight w:val="none"/>
                      <w:lang w:val="en-US" w:eastAsia="zh-CN"/>
                    </w:rPr>
                  </w:pPr>
                  <w:r>
                    <w:rPr>
                      <w:rFonts w:hint="eastAsia"/>
                      <w:color w:val="0000FF"/>
                      <w:szCs w:val="21"/>
                      <w:highlight w:val="none"/>
                      <w:lang w:val="en-US" w:eastAsia="zh-CN"/>
                    </w:rPr>
                    <w:t>员工宿舍</w:t>
                  </w:r>
                </w:p>
              </w:tc>
              <w:tc>
                <w:tcPr>
                  <w:tcW w:w="4600" w:type="dxa"/>
                  <w:tcBorders>
                    <w:tl2br w:val="nil"/>
                    <w:tr2bl w:val="nil"/>
                  </w:tcBorders>
                  <w:vAlign w:val="center"/>
                </w:tcPr>
                <w:p>
                  <w:pPr>
                    <w:autoSpaceDE w:val="0"/>
                    <w:autoSpaceDN w:val="0"/>
                    <w:adjustRightInd w:val="0"/>
                    <w:jc w:val="center"/>
                    <w:rPr>
                      <w:rFonts w:hint="default" w:eastAsia="宋体"/>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依托项目西侧</w:t>
                  </w:r>
                  <w:r>
                    <w:rPr>
                      <w:rFonts w:hint="eastAsia" w:ascii="Times New Roman" w:hAnsi="Times New Roman" w:eastAsia="宋体" w:cs="Times New Roman"/>
                      <w:color w:val="0000FF"/>
                      <w:szCs w:val="21"/>
                      <w:highlight w:val="none"/>
                      <w:lang w:eastAsia="zh-CN"/>
                    </w:rPr>
                    <w:t>庐山市华林镇吉山村华林板岩加工园</w:t>
                  </w:r>
                  <w:r>
                    <w:rPr>
                      <w:rFonts w:hint="eastAsia" w:ascii="Times New Roman" w:hAnsi="Times New Roman" w:eastAsia="宋体" w:cs="Times New Roman"/>
                      <w:color w:val="0000FF"/>
                      <w:szCs w:val="21"/>
                      <w:highlight w:val="none"/>
                      <w:lang w:val="en-US" w:eastAsia="zh-CN"/>
                    </w:rPr>
                    <w:t>已建宿舍楼。</w:t>
                  </w:r>
                </w:p>
              </w:tc>
              <w:tc>
                <w:tcPr>
                  <w:tcW w:w="1241" w:type="dxa"/>
                  <w:tcBorders>
                    <w:tl2br w:val="nil"/>
                    <w:tr2bl w:val="nil"/>
                  </w:tcBorders>
                  <w:vAlign w:val="center"/>
                </w:tcPr>
                <w:p>
                  <w:pPr>
                    <w:autoSpaceDE w:val="0"/>
                    <w:autoSpaceDN w:val="0"/>
                    <w:adjustRightInd w:val="0"/>
                    <w:jc w:val="center"/>
                    <w:rPr>
                      <w:rFonts w:hint="eastAsia" w:eastAsia="宋体"/>
                      <w:color w:val="0000FF"/>
                      <w:szCs w:val="21"/>
                      <w:highlight w:val="none"/>
                      <w:lang w:val="en-US" w:eastAsia="zh-CN"/>
                    </w:rPr>
                  </w:pPr>
                  <w:r>
                    <w:rPr>
                      <w:rFonts w:hint="eastAsia"/>
                      <w:color w:val="0000FF"/>
                      <w:szCs w:val="21"/>
                      <w:highlight w:val="none"/>
                      <w:lang w:val="en-US" w:eastAsia="zh-CN"/>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restart"/>
                  <w:tcBorders>
                    <w:tl2br w:val="nil"/>
                    <w:tr2bl w:val="nil"/>
                  </w:tcBorders>
                  <w:vAlign w:val="center"/>
                </w:tcPr>
                <w:p>
                  <w:pPr>
                    <w:autoSpaceDE w:val="0"/>
                    <w:autoSpaceDN w:val="0"/>
                    <w:adjustRightInd w:val="0"/>
                    <w:jc w:val="center"/>
                    <w:rPr>
                      <w:szCs w:val="21"/>
                      <w:highlight w:val="none"/>
                    </w:rPr>
                  </w:pPr>
                  <w:r>
                    <w:rPr>
                      <w:szCs w:val="21"/>
                      <w:highlight w:val="none"/>
                    </w:rPr>
                    <w:t>公用工程</w:t>
                  </w: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供水</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市政自来水管网供给</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排水</w:t>
                  </w:r>
                </w:p>
              </w:tc>
              <w:tc>
                <w:tcPr>
                  <w:tcW w:w="4600" w:type="dxa"/>
                  <w:tcBorders>
                    <w:tl2br w:val="nil"/>
                    <w:tr2bl w:val="nil"/>
                  </w:tcBorders>
                  <w:vAlign w:val="center"/>
                </w:tcPr>
                <w:p>
                  <w:pPr>
                    <w:autoSpaceDE w:val="0"/>
                    <w:autoSpaceDN w:val="0"/>
                    <w:adjustRightInd w:val="0"/>
                    <w:jc w:val="center"/>
                    <w:rPr>
                      <w:szCs w:val="21"/>
                      <w:highlight w:val="none"/>
                    </w:rPr>
                  </w:pPr>
                  <w:r>
                    <w:rPr>
                      <w:rStyle w:val="138"/>
                      <w:rFonts w:hint="eastAsia"/>
                      <w:highlight w:val="none"/>
                    </w:rPr>
                    <w:t>雨污分流，经市政雨污</w:t>
                  </w:r>
                  <w:r>
                    <w:rPr>
                      <w:rStyle w:val="138"/>
                      <w:highlight w:val="none"/>
                    </w:rPr>
                    <w:t>管网</w:t>
                  </w:r>
                  <w:r>
                    <w:rPr>
                      <w:rStyle w:val="138"/>
                      <w:rFonts w:hint="eastAsia"/>
                      <w:highlight w:val="none"/>
                    </w:rPr>
                    <w:t>排放</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供电</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市</w:t>
                  </w:r>
                  <w:r>
                    <w:rPr>
                      <w:rStyle w:val="138"/>
                      <w:rFonts w:hint="eastAsia"/>
                      <w:highlight w:val="none"/>
                    </w:rPr>
                    <w:t>政电网</w:t>
                  </w:r>
                  <w:r>
                    <w:rPr>
                      <w:rStyle w:val="138"/>
                      <w:highlight w:val="none"/>
                    </w:rPr>
                    <w:t>提供</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autoSpaceDE w:val="0"/>
                    <w:autoSpaceDN w:val="0"/>
                    <w:adjustRightInd w:val="0"/>
                    <w:jc w:val="center"/>
                    <w:rPr>
                      <w:szCs w:val="21"/>
                      <w:highlight w:val="none"/>
                    </w:rPr>
                  </w:pPr>
                  <w:r>
                    <w:rPr>
                      <w:rFonts w:hint="eastAsia"/>
                      <w:szCs w:val="21"/>
                      <w:highlight w:val="none"/>
                    </w:rPr>
                    <w:t>供热</w:t>
                  </w:r>
                </w:p>
              </w:tc>
              <w:tc>
                <w:tcPr>
                  <w:tcW w:w="4600"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lang w:val="en-US" w:eastAsia="zh-CN"/>
                    </w:rPr>
                    <w:t>1台</w:t>
                  </w:r>
                  <w:r>
                    <w:rPr>
                      <w:rFonts w:hint="eastAsia"/>
                      <w:szCs w:val="21"/>
                      <w:highlight w:val="none"/>
                    </w:rPr>
                    <w:t>2.5t/h生物质</w:t>
                  </w:r>
                  <w:r>
                    <w:rPr>
                      <w:rFonts w:hint="eastAsia"/>
                      <w:color w:val="0000FF"/>
                      <w:szCs w:val="21"/>
                      <w:highlight w:val="none"/>
                    </w:rPr>
                    <w:t>蒸汽</w:t>
                  </w:r>
                  <w:r>
                    <w:rPr>
                      <w:rFonts w:hint="eastAsia"/>
                      <w:color w:val="0000FF"/>
                      <w:szCs w:val="21"/>
                      <w:highlight w:val="none"/>
                      <w:lang w:val="en-US" w:eastAsia="zh-CN"/>
                    </w:rPr>
                    <w:t>锅炉</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restart"/>
                  <w:tcBorders>
                    <w:tl2br w:val="nil"/>
                    <w:tr2bl w:val="nil"/>
                  </w:tcBorders>
                  <w:vAlign w:val="center"/>
                </w:tcPr>
                <w:p>
                  <w:pPr>
                    <w:autoSpaceDE w:val="0"/>
                    <w:autoSpaceDN w:val="0"/>
                    <w:adjustRightInd w:val="0"/>
                    <w:jc w:val="center"/>
                    <w:rPr>
                      <w:szCs w:val="21"/>
                      <w:highlight w:val="none"/>
                    </w:rPr>
                  </w:pPr>
                  <w:r>
                    <w:rPr>
                      <w:rFonts w:hint="eastAsia"/>
                      <w:szCs w:val="21"/>
                      <w:highlight w:val="none"/>
                    </w:rPr>
                    <w:t>环保工程</w:t>
                  </w:r>
                </w:p>
              </w:tc>
              <w:tc>
                <w:tcPr>
                  <w:tcW w:w="1483" w:type="dxa"/>
                  <w:gridSpan w:val="2"/>
                  <w:tcBorders>
                    <w:tl2br w:val="nil"/>
                    <w:tr2bl w:val="nil"/>
                  </w:tcBorders>
                  <w:vAlign w:val="center"/>
                </w:tcPr>
                <w:p>
                  <w:pPr>
                    <w:wordWrap w:val="0"/>
                    <w:snapToGrid w:val="0"/>
                    <w:jc w:val="center"/>
                    <w:rPr>
                      <w:szCs w:val="21"/>
                      <w:highlight w:val="none"/>
                    </w:rPr>
                  </w:pPr>
                  <w:r>
                    <w:rPr>
                      <w:szCs w:val="21"/>
                      <w:highlight w:val="none"/>
                    </w:rPr>
                    <w:t>废水</w:t>
                  </w:r>
                </w:p>
              </w:tc>
              <w:tc>
                <w:tcPr>
                  <w:tcW w:w="4600" w:type="dxa"/>
                  <w:tcBorders>
                    <w:tl2br w:val="nil"/>
                    <w:tr2bl w:val="nil"/>
                  </w:tcBorders>
                  <w:vAlign w:val="center"/>
                </w:tcPr>
                <w:p>
                  <w:pPr>
                    <w:autoSpaceDE w:val="0"/>
                    <w:autoSpaceDN w:val="0"/>
                    <w:adjustRightInd w:val="0"/>
                    <w:jc w:val="center"/>
                    <w:rPr>
                      <w:szCs w:val="21"/>
                      <w:highlight w:val="none"/>
                    </w:rPr>
                  </w:pPr>
                  <w:r>
                    <w:rPr>
                      <w:spacing w:val="-5"/>
                      <w:szCs w:val="21"/>
                      <w:highlight w:val="none"/>
                    </w:rPr>
                    <w:t>自建</w:t>
                  </w:r>
                  <w:r>
                    <w:rPr>
                      <w:rFonts w:eastAsia="Times New Roman"/>
                      <w:spacing w:val="-5"/>
                      <w:szCs w:val="21"/>
                      <w:highlight w:val="none"/>
                    </w:rPr>
                    <w:t>1</w:t>
                  </w:r>
                  <w:r>
                    <w:rPr>
                      <w:spacing w:val="-5"/>
                      <w:szCs w:val="21"/>
                      <w:highlight w:val="none"/>
                    </w:rPr>
                    <w:t>套处理规模为</w:t>
                  </w:r>
                  <w:r>
                    <w:rPr>
                      <w:rFonts w:hint="eastAsia"/>
                      <w:spacing w:val="-5"/>
                      <w:szCs w:val="21"/>
                      <w:highlight w:val="none"/>
                    </w:rPr>
                    <w:t>200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eastAsia="Times New Roman"/>
                      <w:spacing w:val="-5"/>
                      <w:szCs w:val="21"/>
                      <w:highlight w:val="none"/>
                    </w:rPr>
                    <w:t>/d</w:t>
                  </w:r>
                  <w:r>
                    <w:rPr>
                      <w:spacing w:val="-5"/>
                      <w:szCs w:val="21"/>
                      <w:highlight w:val="none"/>
                    </w:rPr>
                    <w:t>的污水处理站</w:t>
                  </w:r>
                  <w:r>
                    <w:rPr>
                      <w:spacing w:val="-3"/>
                      <w:szCs w:val="21"/>
                      <w:highlight w:val="none"/>
                    </w:rPr>
                    <w:t>（地埋式）处理生产废水，位于厂区东侧</w:t>
                  </w:r>
                  <w:r>
                    <w:rPr>
                      <w:spacing w:val="13"/>
                      <w:szCs w:val="21"/>
                      <w:highlight w:val="none"/>
                    </w:rPr>
                    <w:t>厂房外侧空地处</w:t>
                  </w:r>
                  <w:r>
                    <w:rPr>
                      <w:spacing w:val="-3"/>
                      <w:szCs w:val="21"/>
                      <w:highlight w:val="none"/>
                    </w:rPr>
                    <w:t>，</w:t>
                  </w:r>
                  <w:r>
                    <w:rPr>
                      <w:color w:val="0000FF"/>
                      <w:spacing w:val="-3"/>
                      <w:szCs w:val="21"/>
                      <w:highlight w:val="none"/>
                    </w:rPr>
                    <w:t>采用“</w:t>
                  </w:r>
                  <w:r>
                    <w:rPr>
                      <w:rFonts w:hint="eastAsia"/>
                      <w:color w:val="0000FF"/>
                      <w:spacing w:val="-3"/>
                      <w:szCs w:val="21"/>
                      <w:highlight w:val="none"/>
                    </w:rPr>
                    <w:t>兼氧FMBR+催化氧化</w:t>
                  </w:r>
                  <w:r>
                    <w:rPr>
                      <w:rFonts w:hint="eastAsia"/>
                      <w:color w:val="0000FF"/>
                      <w:spacing w:val="-9"/>
                      <w:szCs w:val="21"/>
                      <w:highlight w:val="none"/>
                      <w:lang w:val="en-US" w:eastAsia="zh-CN"/>
                    </w:rPr>
                    <w:t>处理</w:t>
                  </w:r>
                  <w:r>
                    <w:rPr>
                      <w:color w:val="0000FF"/>
                      <w:spacing w:val="-9"/>
                      <w:szCs w:val="21"/>
                      <w:highlight w:val="none"/>
                    </w:rPr>
                    <w:t>”</w:t>
                  </w:r>
                  <w:r>
                    <w:rPr>
                      <w:rFonts w:hint="eastAsia"/>
                      <w:color w:val="0000FF"/>
                      <w:spacing w:val="-3"/>
                      <w:szCs w:val="21"/>
                      <w:highlight w:val="none"/>
                      <w:lang w:val="en-US" w:eastAsia="zh-CN"/>
                    </w:rPr>
                    <w:t>工艺</w:t>
                  </w:r>
                  <w:r>
                    <w:rPr>
                      <w:spacing w:val="-9"/>
                      <w:szCs w:val="21"/>
                      <w:highlight w:val="none"/>
                    </w:rPr>
                    <w:t>；生活污水通过</w:t>
                  </w:r>
                  <w:r>
                    <w:rPr>
                      <w:spacing w:val="-4"/>
                      <w:szCs w:val="21"/>
                      <w:highlight w:val="none"/>
                    </w:rPr>
                    <w:t>化粪池处理</w:t>
                  </w:r>
                  <w:r>
                    <w:rPr>
                      <w:rFonts w:hint="eastAsia"/>
                      <w:spacing w:val="-4"/>
                      <w:szCs w:val="21"/>
                      <w:highlight w:val="none"/>
                    </w:rPr>
                    <w:t>后排入厂区污水处理站</w:t>
                  </w:r>
                  <w:r>
                    <w:rPr>
                      <w:spacing w:val="-1"/>
                      <w:szCs w:val="21"/>
                      <w:highlight w:val="none"/>
                    </w:rPr>
                    <w:t>。</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rFonts w:hint="eastAsia"/>
                      <w:szCs w:val="21"/>
                      <w:highlight w:val="none"/>
                    </w:rPr>
                  </w:pPr>
                </w:p>
              </w:tc>
              <w:tc>
                <w:tcPr>
                  <w:tcW w:w="1483" w:type="dxa"/>
                  <w:gridSpan w:val="2"/>
                  <w:tcBorders>
                    <w:tl2br w:val="nil"/>
                    <w:tr2bl w:val="nil"/>
                  </w:tcBorders>
                  <w:vAlign w:val="center"/>
                </w:tcPr>
                <w:p>
                  <w:pPr>
                    <w:wordWrap w:val="0"/>
                    <w:snapToGrid w:val="0"/>
                    <w:jc w:val="center"/>
                    <w:rPr>
                      <w:rFonts w:hint="default" w:eastAsia="宋体"/>
                      <w:color w:val="0000FF"/>
                      <w:szCs w:val="21"/>
                      <w:highlight w:val="none"/>
                      <w:lang w:val="en-US" w:eastAsia="zh-CN"/>
                    </w:rPr>
                  </w:pPr>
                  <w:r>
                    <w:rPr>
                      <w:rFonts w:hint="eastAsia"/>
                      <w:color w:val="0000FF"/>
                      <w:szCs w:val="21"/>
                      <w:highlight w:val="none"/>
                      <w:lang w:val="en-US" w:eastAsia="zh-CN"/>
                    </w:rPr>
                    <w:t>厂区绿化</w:t>
                  </w:r>
                </w:p>
              </w:tc>
              <w:tc>
                <w:tcPr>
                  <w:tcW w:w="4600" w:type="dxa"/>
                  <w:tcBorders>
                    <w:tl2br w:val="nil"/>
                    <w:tr2bl w:val="nil"/>
                  </w:tcBorders>
                  <w:vAlign w:val="center"/>
                </w:tcPr>
                <w:p>
                  <w:pPr>
                    <w:autoSpaceDE w:val="0"/>
                    <w:autoSpaceDN w:val="0"/>
                    <w:adjustRightInd w:val="0"/>
                    <w:jc w:val="center"/>
                    <w:rPr>
                      <w:rFonts w:hint="default" w:eastAsia="宋体"/>
                      <w:color w:val="0000FF"/>
                      <w:spacing w:val="-5"/>
                      <w:szCs w:val="21"/>
                      <w:highlight w:val="none"/>
                      <w:lang w:val="en-US" w:eastAsia="zh-CN"/>
                    </w:rPr>
                  </w:pPr>
                  <w:r>
                    <w:rPr>
                      <w:rFonts w:hint="eastAsia"/>
                      <w:color w:val="0000FF"/>
                      <w:spacing w:val="-5"/>
                      <w:szCs w:val="21"/>
                      <w:highlight w:val="none"/>
                      <w:lang w:val="en-US" w:eastAsia="zh-CN"/>
                    </w:rPr>
                    <w:t>厂区绿化面积约3045m</w:t>
                  </w:r>
                  <w:r>
                    <w:rPr>
                      <w:rFonts w:hint="eastAsia"/>
                      <w:color w:val="0000FF"/>
                      <w:spacing w:val="-5"/>
                      <w:szCs w:val="21"/>
                      <w:highlight w:val="none"/>
                      <w:vertAlign w:val="superscript"/>
                      <w:lang w:val="en-US" w:eastAsia="zh-CN"/>
                    </w:rPr>
                    <w:t>2</w:t>
                  </w:r>
                  <w:r>
                    <w:rPr>
                      <w:rFonts w:hint="eastAsia"/>
                      <w:color w:val="0000FF"/>
                      <w:spacing w:val="-5"/>
                      <w:szCs w:val="21"/>
                      <w:highlight w:val="none"/>
                      <w:vertAlign w:val="baseline"/>
                      <w:lang w:val="en-US" w:eastAsia="zh-CN"/>
                    </w:rPr>
                    <w:t>。</w:t>
                  </w:r>
                </w:p>
              </w:tc>
              <w:tc>
                <w:tcPr>
                  <w:tcW w:w="1241" w:type="dxa"/>
                  <w:tcBorders>
                    <w:tl2br w:val="nil"/>
                    <w:tr2bl w:val="nil"/>
                  </w:tcBorders>
                  <w:vAlign w:val="center"/>
                </w:tcPr>
                <w:p>
                  <w:pPr>
                    <w:autoSpaceDE w:val="0"/>
                    <w:autoSpaceDN w:val="0"/>
                    <w:adjustRightInd w:val="0"/>
                    <w:jc w:val="center"/>
                    <w:rPr>
                      <w:rFonts w:hint="eastAsia"/>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366" w:type="dxa"/>
                  <w:vMerge w:val="restart"/>
                  <w:tcBorders>
                    <w:tl2br w:val="nil"/>
                    <w:tr2bl w:val="nil"/>
                  </w:tcBorders>
                  <w:vAlign w:val="center"/>
                </w:tcPr>
                <w:p>
                  <w:pPr>
                    <w:wordWrap w:val="0"/>
                    <w:snapToGrid w:val="0"/>
                    <w:jc w:val="center"/>
                    <w:rPr>
                      <w:szCs w:val="21"/>
                      <w:highlight w:val="none"/>
                    </w:rPr>
                  </w:pPr>
                  <w:r>
                    <w:rPr>
                      <w:color w:val="000000"/>
                      <w:szCs w:val="21"/>
                      <w:highlight w:val="none"/>
                    </w:rPr>
                    <w:t>废气</w:t>
                  </w:r>
                </w:p>
              </w:tc>
              <w:tc>
                <w:tcPr>
                  <w:tcW w:w="1117" w:type="dxa"/>
                  <w:tcBorders>
                    <w:tl2br w:val="nil"/>
                    <w:tr2bl w:val="nil"/>
                  </w:tcBorders>
                  <w:vAlign w:val="center"/>
                </w:tcPr>
                <w:p>
                  <w:pPr>
                    <w:pStyle w:val="104"/>
                    <w:spacing w:before="35" w:line="223" w:lineRule="auto"/>
                    <w:jc w:val="center"/>
                    <w:rPr>
                      <w:rFonts w:ascii="Times New Roman" w:hAnsi="Times New Roman" w:cs="Times New Roman"/>
                      <w:color w:val="000000"/>
                      <w:sz w:val="21"/>
                      <w:szCs w:val="21"/>
                      <w:highlight w:val="none"/>
                      <w:lang w:eastAsia="zh-CN"/>
                    </w:rPr>
                  </w:pPr>
                  <w:r>
                    <w:rPr>
                      <w:spacing w:val="-5"/>
                      <w:sz w:val="21"/>
                      <w:szCs w:val="21"/>
                      <w:highlight w:val="none"/>
                    </w:rPr>
                    <w:t>蒸汽</w:t>
                  </w:r>
                  <w:r>
                    <w:rPr>
                      <w:rFonts w:hint="eastAsia"/>
                      <w:spacing w:val="-6"/>
                      <w:sz w:val="21"/>
                      <w:szCs w:val="21"/>
                      <w:highlight w:val="none"/>
                      <w:lang w:eastAsia="zh-CN"/>
                    </w:rPr>
                    <w:t>锅炉燃烧</w:t>
                  </w:r>
                  <w:r>
                    <w:rPr>
                      <w:spacing w:val="-8"/>
                      <w:sz w:val="21"/>
                      <w:szCs w:val="21"/>
                      <w:highlight w:val="none"/>
                    </w:rPr>
                    <w:t>废</w:t>
                  </w:r>
                  <w:r>
                    <w:rPr>
                      <w:sz w:val="21"/>
                      <w:szCs w:val="21"/>
                      <w:highlight w:val="none"/>
                    </w:rPr>
                    <w:t>气</w:t>
                  </w:r>
                </w:p>
              </w:tc>
              <w:tc>
                <w:tcPr>
                  <w:tcW w:w="4600" w:type="dxa"/>
                  <w:tcBorders>
                    <w:tl2br w:val="nil"/>
                    <w:tr2bl w:val="nil"/>
                  </w:tcBorders>
                  <w:vAlign w:val="center"/>
                </w:tcPr>
                <w:p>
                  <w:pPr>
                    <w:autoSpaceDE w:val="0"/>
                    <w:autoSpaceDN w:val="0"/>
                    <w:adjustRightInd w:val="0"/>
                    <w:jc w:val="center"/>
                    <w:rPr>
                      <w:szCs w:val="21"/>
                      <w:highlight w:val="none"/>
                    </w:rPr>
                  </w:pPr>
                  <w:r>
                    <w:rPr>
                      <w:szCs w:val="21"/>
                      <w:highlight w:val="none"/>
                    </w:rPr>
                    <w:t>采用</w:t>
                  </w:r>
                  <w:r>
                    <w:rPr>
                      <w:rFonts w:hint="eastAsia"/>
                      <w:szCs w:val="21"/>
                      <w:highlight w:val="none"/>
                    </w:rPr>
                    <w:t>袋式除尘</w:t>
                  </w:r>
                  <w:r>
                    <w:rPr>
                      <w:szCs w:val="21"/>
                      <w:highlight w:val="none"/>
                    </w:rPr>
                    <w:t>，燃烧废气经</w:t>
                  </w:r>
                  <w:r>
                    <w:rPr>
                      <w:rFonts w:hint="eastAsia"/>
                      <w:szCs w:val="21"/>
                      <w:highlight w:val="none"/>
                    </w:rPr>
                    <w:t>30</w:t>
                  </w:r>
                  <w:r>
                    <w:rPr>
                      <w:szCs w:val="21"/>
                      <w:highlight w:val="none"/>
                    </w:rPr>
                    <w:t>米高烟囱（DA001）排放。</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366" w:type="dxa"/>
                  <w:vMerge w:val="continue"/>
                  <w:tcBorders>
                    <w:tl2br w:val="nil"/>
                    <w:tr2bl w:val="nil"/>
                  </w:tcBorders>
                  <w:vAlign w:val="center"/>
                </w:tcPr>
                <w:p>
                  <w:pPr>
                    <w:wordWrap w:val="0"/>
                    <w:snapToGrid w:val="0"/>
                    <w:jc w:val="center"/>
                    <w:rPr>
                      <w:color w:val="000000"/>
                      <w:szCs w:val="21"/>
                      <w:highlight w:val="none"/>
                    </w:rPr>
                  </w:pPr>
                </w:p>
              </w:tc>
              <w:tc>
                <w:tcPr>
                  <w:tcW w:w="1117" w:type="dxa"/>
                  <w:tcBorders>
                    <w:tl2br w:val="nil"/>
                    <w:tr2bl w:val="nil"/>
                  </w:tcBorders>
                  <w:vAlign w:val="center"/>
                </w:tcPr>
                <w:p>
                  <w:pPr>
                    <w:pStyle w:val="104"/>
                    <w:spacing w:before="35" w:line="223" w:lineRule="auto"/>
                    <w:jc w:val="center"/>
                    <w:rPr>
                      <w:spacing w:val="-8"/>
                      <w:sz w:val="21"/>
                      <w:szCs w:val="21"/>
                      <w:highlight w:val="none"/>
                    </w:rPr>
                  </w:pPr>
                  <w:r>
                    <w:rPr>
                      <w:spacing w:val="-5"/>
                      <w:sz w:val="21"/>
                      <w:szCs w:val="21"/>
                      <w:highlight w:val="none"/>
                    </w:rPr>
                    <w:t>污水处理站臭气</w:t>
                  </w:r>
                </w:p>
              </w:tc>
              <w:tc>
                <w:tcPr>
                  <w:tcW w:w="4600" w:type="dxa"/>
                  <w:tcBorders>
                    <w:tl2br w:val="nil"/>
                    <w:tr2bl w:val="nil"/>
                  </w:tcBorders>
                  <w:vAlign w:val="center"/>
                </w:tcPr>
                <w:p>
                  <w:pPr>
                    <w:autoSpaceDE w:val="0"/>
                    <w:autoSpaceDN w:val="0"/>
                    <w:adjustRightInd w:val="0"/>
                    <w:jc w:val="center"/>
                    <w:rPr>
                      <w:szCs w:val="21"/>
                      <w:highlight w:val="none"/>
                    </w:rPr>
                  </w:pPr>
                  <w:r>
                    <w:rPr>
                      <w:color w:val="0000FF"/>
                      <w:spacing w:val="-1"/>
                      <w:szCs w:val="21"/>
                      <w:highlight w:val="none"/>
                    </w:rPr>
                    <w:t>自建污水处理站采用</w:t>
                  </w:r>
                  <w:r>
                    <w:rPr>
                      <w:rFonts w:hint="eastAsia"/>
                      <w:color w:val="0000FF"/>
                      <w:spacing w:val="-1"/>
                      <w:szCs w:val="21"/>
                      <w:highlight w:val="none"/>
                      <w:lang w:val="en-US" w:eastAsia="zh-CN"/>
                    </w:rPr>
                    <w:t>地埋式一体化污水处理设施，</w:t>
                  </w:r>
                  <w:r>
                    <w:rPr>
                      <w:color w:val="0000FF"/>
                      <w:spacing w:val="-1"/>
                      <w:szCs w:val="21"/>
                      <w:highlight w:val="none"/>
                    </w:rPr>
                    <w:t>加盖</w:t>
                  </w:r>
                  <w:r>
                    <w:rPr>
                      <w:rFonts w:hint="eastAsia"/>
                      <w:color w:val="0000FF"/>
                      <w:spacing w:val="-1"/>
                      <w:szCs w:val="21"/>
                      <w:highlight w:val="none"/>
                      <w:lang w:val="en-US" w:eastAsia="zh-CN"/>
                    </w:rPr>
                    <w:t>处理</w:t>
                  </w:r>
                  <w:r>
                    <w:rPr>
                      <w:rFonts w:hint="eastAsia"/>
                      <w:color w:val="0000FF"/>
                      <w:spacing w:val="-1"/>
                      <w:szCs w:val="21"/>
                      <w:highlight w:val="none"/>
                      <w:lang w:eastAsia="zh-CN"/>
                    </w:rPr>
                    <w:t>，</w:t>
                  </w:r>
                  <w:r>
                    <w:rPr>
                      <w:rFonts w:hint="eastAsia"/>
                      <w:color w:val="0000FF"/>
                      <w:spacing w:val="-1"/>
                      <w:szCs w:val="21"/>
                      <w:highlight w:val="none"/>
                      <w:lang w:val="en-US" w:eastAsia="zh-CN"/>
                    </w:rPr>
                    <w:t>厂区绿化</w:t>
                  </w:r>
                  <w:r>
                    <w:rPr>
                      <w:color w:val="0000FF"/>
                      <w:spacing w:val="-3"/>
                      <w:szCs w:val="21"/>
                      <w:highlight w:val="none"/>
                    </w:rPr>
                    <w:t>。</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tcBorders>
                    <w:tl2br w:val="nil"/>
                    <w:tr2bl w:val="nil"/>
                  </w:tcBorders>
                  <w:vAlign w:val="center"/>
                </w:tcPr>
                <w:p>
                  <w:pPr>
                    <w:wordWrap w:val="0"/>
                    <w:snapToGrid w:val="0"/>
                    <w:jc w:val="center"/>
                    <w:rPr>
                      <w:szCs w:val="21"/>
                      <w:highlight w:val="none"/>
                    </w:rPr>
                  </w:pPr>
                  <w:r>
                    <w:rPr>
                      <w:color w:val="000000"/>
                      <w:szCs w:val="21"/>
                      <w:highlight w:val="none"/>
                    </w:rPr>
                    <w:t>噪声</w:t>
                  </w:r>
                </w:p>
              </w:tc>
              <w:tc>
                <w:tcPr>
                  <w:tcW w:w="4600" w:type="dxa"/>
                  <w:tcBorders>
                    <w:tl2br w:val="nil"/>
                    <w:tr2bl w:val="nil"/>
                  </w:tcBorders>
                  <w:vAlign w:val="center"/>
                </w:tcPr>
                <w:p>
                  <w:pPr>
                    <w:autoSpaceDE w:val="0"/>
                    <w:autoSpaceDN w:val="0"/>
                    <w:adjustRightInd w:val="0"/>
                    <w:jc w:val="center"/>
                    <w:rPr>
                      <w:szCs w:val="21"/>
                      <w:highlight w:val="none"/>
                    </w:rPr>
                  </w:pPr>
                  <w:r>
                    <w:rPr>
                      <w:spacing w:val="-4"/>
                      <w:szCs w:val="21"/>
                      <w:highlight w:val="none"/>
                    </w:rPr>
                    <w:t>采用低噪声设备、基座减振、室内安装、建筑</w:t>
                  </w:r>
                  <w:r>
                    <w:rPr>
                      <w:spacing w:val="-11"/>
                      <w:szCs w:val="21"/>
                      <w:highlight w:val="none"/>
                    </w:rPr>
                    <w:t>隔声。</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vMerge w:val="restart"/>
                  <w:tcBorders>
                    <w:tl2br w:val="nil"/>
                    <w:tr2bl w:val="nil"/>
                  </w:tcBorders>
                  <w:vAlign w:val="center"/>
                </w:tcPr>
                <w:p>
                  <w:pPr>
                    <w:wordWrap w:val="0"/>
                    <w:snapToGrid w:val="0"/>
                    <w:jc w:val="center"/>
                    <w:rPr>
                      <w:szCs w:val="21"/>
                      <w:highlight w:val="none"/>
                    </w:rPr>
                  </w:pPr>
                  <w:r>
                    <w:rPr>
                      <w:color w:val="000000"/>
                      <w:szCs w:val="21"/>
                      <w:highlight w:val="none"/>
                    </w:rPr>
                    <w:t>固废</w:t>
                  </w:r>
                </w:p>
              </w:tc>
              <w:tc>
                <w:tcPr>
                  <w:tcW w:w="4600" w:type="dxa"/>
                  <w:tcBorders>
                    <w:tl2br w:val="nil"/>
                    <w:tr2bl w:val="nil"/>
                  </w:tcBorders>
                  <w:vAlign w:val="center"/>
                </w:tcPr>
                <w:p>
                  <w:pPr>
                    <w:autoSpaceDE w:val="0"/>
                    <w:autoSpaceDN w:val="0"/>
                    <w:adjustRightInd w:val="0"/>
                    <w:jc w:val="center"/>
                    <w:rPr>
                      <w:szCs w:val="21"/>
                      <w:highlight w:val="none"/>
                    </w:rPr>
                  </w:pPr>
                  <w:r>
                    <w:rPr>
                      <w:spacing w:val="7"/>
                      <w:szCs w:val="21"/>
                      <w:highlight w:val="none"/>
                    </w:rPr>
                    <w:t>生活垃圾分类收集后，交由环卫部门清</w:t>
                  </w:r>
                  <w:r>
                    <w:rPr>
                      <w:spacing w:val="-4"/>
                      <w:szCs w:val="21"/>
                      <w:highlight w:val="none"/>
                    </w:rPr>
                    <w:t>运</w:t>
                  </w:r>
                  <w:r>
                    <w:rPr>
                      <w:rFonts w:hint="eastAsia"/>
                      <w:spacing w:val="-4"/>
                      <w:szCs w:val="21"/>
                      <w:highlight w:val="none"/>
                    </w:rPr>
                    <w:t>。</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vMerge w:val="continue"/>
                  <w:tcBorders>
                    <w:tl2br w:val="nil"/>
                    <w:tr2bl w:val="nil"/>
                  </w:tcBorders>
                  <w:vAlign w:val="center"/>
                </w:tcPr>
                <w:p>
                  <w:pPr>
                    <w:wordWrap w:val="0"/>
                    <w:snapToGrid w:val="0"/>
                    <w:jc w:val="center"/>
                    <w:rPr>
                      <w:szCs w:val="21"/>
                      <w:highlight w:val="none"/>
                    </w:rPr>
                  </w:pPr>
                </w:p>
              </w:tc>
              <w:tc>
                <w:tcPr>
                  <w:tcW w:w="4600" w:type="dxa"/>
                  <w:tcBorders>
                    <w:tl2br w:val="nil"/>
                    <w:tr2bl w:val="nil"/>
                  </w:tcBorders>
                  <w:vAlign w:val="center"/>
                </w:tcPr>
                <w:p>
                  <w:pPr>
                    <w:autoSpaceDE w:val="0"/>
                    <w:autoSpaceDN w:val="0"/>
                    <w:adjustRightInd w:val="0"/>
                    <w:jc w:val="center"/>
                    <w:rPr>
                      <w:szCs w:val="21"/>
                      <w:highlight w:val="none"/>
                    </w:rPr>
                  </w:pPr>
                  <w:r>
                    <w:rPr>
                      <w:color w:val="0000FF"/>
                      <w:szCs w:val="21"/>
                      <w:highlight w:val="none"/>
                    </w:rPr>
                    <w:t>设置一间</w:t>
                  </w:r>
                  <w:r>
                    <w:rPr>
                      <w:rFonts w:hint="eastAsia"/>
                      <w:color w:val="0000FF"/>
                      <w:szCs w:val="21"/>
                      <w:highlight w:val="none"/>
                    </w:rPr>
                    <w:t>一般</w:t>
                  </w:r>
                  <w:r>
                    <w:rPr>
                      <w:color w:val="0000FF"/>
                      <w:szCs w:val="21"/>
                      <w:highlight w:val="none"/>
                    </w:rPr>
                    <w:t>固废间，位于</w:t>
                  </w:r>
                  <w:r>
                    <w:rPr>
                      <w:rFonts w:hint="eastAsia"/>
                      <w:color w:val="0000FF"/>
                      <w:szCs w:val="21"/>
                      <w:highlight w:val="none"/>
                    </w:rPr>
                    <w:t>生产</w:t>
                  </w:r>
                  <w:r>
                    <w:rPr>
                      <w:color w:val="0000FF"/>
                      <w:szCs w:val="21"/>
                      <w:highlight w:val="none"/>
                    </w:rPr>
                    <w:t>车间</w:t>
                  </w:r>
                  <w:r>
                    <w:rPr>
                      <w:rFonts w:hint="eastAsia"/>
                      <w:color w:val="0000FF"/>
                      <w:szCs w:val="21"/>
                      <w:highlight w:val="none"/>
                    </w:rPr>
                    <w:t>南</w:t>
                  </w:r>
                  <w:r>
                    <w:rPr>
                      <w:color w:val="0000FF"/>
                      <w:szCs w:val="21"/>
                      <w:highlight w:val="none"/>
                    </w:rPr>
                    <w:t>侧，建筑面积为</w:t>
                  </w:r>
                  <w:r>
                    <w:rPr>
                      <w:rFonts w:hint="eastAsia"/>
                      <w:color w:val="0000FF"/>
                      <w:szCs w:val="21"/>
                      <w:highlight w:val="none"/>
                    </w:rPr>
                    <w:t>5</w:t>
                  </w:r>
                  <w:r>
                    <w:rPr>
                      <w:color w:val="0000FF"/>
                      <w:szCs w:val="21"/>
                      <w:highlight w:val="none"/>
                    </w:rPr>
                    <w:t>0</w:t>
                  </w:r>
                  <w:r>
                    <w:rPr>
                      <w:rFonts w:hint="eastAsia"/>
                      <w:color w:val="0000FF"/>
                      <w:szCs w:val="21"/>
                      <w:highlight w:val="none"/>
                    </w:rPr>
                    <w:t>m</w:t>
                  </w:r>
                  <w:r>
                    <w:rPr>
                      <w:rFonts w:hint="eastAsia"/>
                      <w:color w:val="0000FF"/>
                      <w:szCs w:val="21"/>
                      <w:highlight w:val="none"/>
                      <w:vertAlign w:val="superscript"/>
                    </w:rPr>
                    <w:t>2</w:t>
                  </w:r>
                  <w:r>
                    <w:rPr>
                      <w:color w:val="0000FF"/>
                      <w:szCs w:val="21"/>
                      <w:highlight w:val="none"/>
                    </w:rPr>
                    <w:t>，用于</w:t>
                  </w:r>
                  <w:r>
                    <w:rPr>
                      <w:rFonts w:hint="eastAsia"/>
                      <w:color w:val="0000FF"/>
                      <w:szCs w:val="21"/>
                      <w:highlight w:val="none"/>
                    </w:rPr>
                    <w:t>一般</w:t>
                  </w:r>
                  <w:r>
                    <w:rPr>
                      <w:color w:val="0000FF"/>
                      <w:szCs w:val="21"/>
                      <w:highlight w:val="none"/>
                    </w:rPr>
                    <w:t>固废的堆放。</w:t>
                  </w:r>
                  <w:r>
                    <w:rPr>
                      <w:color w:val="0000FF"/>
                      <w:spacing w:val="-4"/>
                      <w:szCs w:val="21"/>
                      <w:highlight w:val="none"/>
                    </w:rPr>
                    <w:t>蛋壳</w:t>
                  </w:r>
                  <w:r>
                    <w:rPr>
                      <w:rFonts w:hint="eastAsia"/>
                      <w:color w:val="0000FF"/>
                      <w:spacing w:val="-4"/>
                      <w:szCs w:val="21"/>
                      <w:highlight w:val="none"/>
                    </w:rPr>
                    <w:t>暂存于蛋壳暂存间</w:t>
                  </w:r>
                  <w:r>
                    <w:rPr>
                      <w:rFonts w:hint="eastAsia"/>
                      <w:color w:val="0000FF"/>
                      <w:spacing w:val="-4"/>
                      <w:szCs w:val="21"/>
                      <w:highlight w:val="none"/>
                      <w:lang w:eastAsia="zh-CN"/>
                    </w:rPr>
                    <w:t>（</w:t>
                  </w:r>
                  <w:r>
                    <w:rPr>
                      <w:rFonts w:hint="eastAsia"/>
                      <w:color w:val="0000FF"/>
                      <w:spacing w:val="-4"/>
                      <w:szCs w:val="21"/>
                      <w:highlight w:val="none"/>
                      <w:lang w:val="en-US" w:eastAsia="zh-CN"/>
                    </w:rPr>
                    <w:t>35</w:t>
                  </w:r>
                  <w:r>
                    <w:rPr>
                      <w:rFonts w:hint="eastAsia"/>
                      <w:color w:val="0000FF"/>
                      <w:szCs w:val="21"/>
                      <w:highlight w:val="none"/>
                    </w:rPr>
                    <w:t>m</w:t>
                  </w:r>
                  <w:r>
                    <w:rPr>
                      <w:rFonts w:hint="eastAsia"/>
                      <w:color w:val="0000FF"/>
                      <w:szCs w:val="21"/>
                      <w:highlight w:val="none"/>
                      <w:vertAlign w:val="superscript"/>
                    </w:rPr>
                    <w:t>2</w:t>
                  </w:r>
                  <w:r>
                    <w:rPr>
                      <w:rFonts w:hint="eastAsia"/>
                      <w:color w:val="0000FF"/>
                      <w:spacing w:val="-4"/>
                      <w:szCs w:val="21"/>
                      <w:highlight w:val="none"/>
                      <w:lang w:eastAsia="zh-CN"/>
                    </w:rPr>
                    <w:t>）</w:t>
                  </w:r>
                  <w:r>
                    <w:rPr>
                      <w:color w:val="0000FF"/>
                      <w:spacing w:val="-4"/>
                      <w:szCs w:val="21"/>
                      <w:highlight w:val="none"/>
                    </w:rPr>
                    <w:t>，日产日清</w:t>
                  </w:r>
                  <w:r>
                    <w:rPr>
                      <w:rFonts w:hint="eastAsia"/>
                      <w:color w:val="0000FF"/>
                      <w:spacing w:val="-4"/>
                      <w:szCs w:val="21"/>
                      <w:highlight w:val="none"/>
                    </w:rPr>
                    <w:t>。</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7" w:type="dxa"/>
                  <w:vMerge w:val="continue"/>
                  <w:tcBorders>
                    <w:tl2br w:val="nil"/>
                    <w:tr2bl w:val="nil"/>
                  </w:tcBorders>
                  <w:vAlign w:val="center"/>
                </w:tcPr>
                <w:p>
                  <w:pPr>
                    <w:autoSpaceDE w:val="0"/>
                    <w:autoSpaceDN w:val="0"/>
                    <w:adjustRightInd w:val="0"/>
                    <w:jc w:val="center"/>
                    <w:rPr>
                      <w:szCs w:val="21"/>
                      <w:highlight w:val="none"/>
                    </w:rPr>
                  </w:pPr>
                </w:p>
              </w:tc>
              <w:tc>
                <w:tcPr>
                  <w:tcW w:w="1483" w:type="dxa"/>
                  <w:gridSpan w:val="2"/>
                  <w:vMerge w:val="continue"/>
                  <w:tcBorders>
                    <w:tl2br w:val="nil"/>
                    <w:tr2bl w:val="nil"/>
                  </w:tcBorders>
                  <w:vAlign w:val="center"/>
                </w:tcPr>
                <w:p>
                  <w:pPr>
                    <w:autoSpaceDE w:val="0"/>
                    <w:autoSpaceDN w:val="0"/>
                    <w:adjustRightInd w:val="0"/>
                    <w:jc w:val="center"/>
                    <w:rPr>
                      <w:szCs w:val="21"/>
                      <w:highlight w:val="none"/>
                    </w:rPr>
                  </w:pPr>
                </w:p>
              </w:tc>
              <w:tc>
                <w:tcPr>
                  <w:tcW w:w="4600" w:type="dxa"/>
                  <w:tcBorders>
                    <w:tl2br w:val="nil"/>
                    <w:tr2bl w:val="nil"/>
                  </w:tcBorders>
                  <w:vAlign w:val="center"/>
                </w:tcPr>
                <w:p>
                  <w:pPr>
                    <w:autoSpaceDE w:val="0"/>
                    <w:autoSpaceDN w:val="0"/>
                    <w:adjustRightInd w:val="0"/>
                    <w:jc w:val="center"/>
                    <w:rPr>
                      <w:szCs w:val="21"/>
                      <w:highlight w:val="none"/>
                    </w:rPr>
                  </w:pPr>
                  <w:r>
                    <w:rPr>
                      <w:szCs w:val="21"/>
                      <w:highlight w:val="none"/>
                    </w:rPr>
                    <w:t>设置一间危废间，位于</w:t>
                  </w:r>
                  <w:r>
                    <w:rPr>
                      <w:rFonts w:hint="eastAsia"/>
                      <w:szCs w:val="21"/>
                      <w:highlight w:val="none"/>
                    </w:rPr>
                    <w:t>生产</w:t>
                  </w:r>
                  <w:r>
                    <w:rPr>
                      <w:szCs w:val="21"/>
                      <w:highlight w:val="none"/>
                    </w:rPr>
                    <w:t>车间</w:t>
                  </w:r>
                  <w:r>
                    <w:rPr>
                      <w:rFonts w:hint="eastAsia"/>
                      <w:szCs w:val="21"/>
                      <w:highlight w:val="none"/>
                    </w:rPr>
                    <w:t>南侧</w:t>
                  </w:r>
                  <w:r>
                    <w:rPr>
                      <w:szCs w:val="21"/>
                      <w:highlight w:val="none"/>
                    </w:rPr>
                    <w:t>，建筑面积为</w:t>
                  </w:r>
                  <w:r>
                    <w:rPr>
                      <w:rFonts w:hint="eastAsia"/>
                      <w:szCs w:val="21"/>
                      <w:highlight w:val="none"/>
                    </w:rPr>
                    <w:t>10m</w:t>
                  </w:r>
                  <w:r>
                    <w:rPr>
                      <w:rFonts w:hint="eastAsia"/>
                      <w:szCs w:val="21"/>
                      <w:highlight w:val="none"/>
                      <w:vertAlign w:val="superscript"/>
                    </w:rPr>
                    <w:t>2</w:t>
                  </w:r>
                  <w:r>
                    <w:rPr>
                      <w:szCs w:val="21"/>
                      <w:highlight w:val="none"/>
                    </w:rPr>
                    <w:t>，用于危废的堆放。</w:t>
                  </w:r>
                  <w:r>
                    <w:rPr>
                      <w:spacing w:val="-4"/>
                      <w:szCs w:val="21"/>
                      <w:highlight w:val="none"/>
                    </w:rPr>
                    <w:t>废机油、含油废弃物等属于危险废物，暂存于危废</w:t>
                  </w:r>
                  <w:r>
                    <w:rPr>
                      <w:rFonts w:hint="eastAsia"/>
                      <w:spacing w:val="-4"/>
                      <w:szCs w:val="21"/>
                      <w:highlight w:val="none"/>
                    </w:rPr>
                    <w:t>间</w:t>
                  </w:r>
                  <w:r>
                    <w:rPr>
                      <w:spacing w:val="-4"/>
                      <w:szCs w:val="21"/>
                      <w:highlight w:val="none"/>
                    </w:rPr>
                    <w:t>后定</w:t>
                  </w:r>
                  <w:r>
                    <w:rPr>
                      <w:spacing w:val="-2"/>
                      <w:szCs w:val="21"/>
                      <w:highlight w:val="none"/>
                    </w:rPr>
                    <w:t>期交有资质的单位进行处置。</w:t>
                  </w:r>
                </w:p>
              </w:tc>
              <w:tc>
                <w:tcPr>
                  <w:tcW w:w="1241" w:type="dxa"/>
                  <w:tcBorders>
                    <w:tl2br w:val="nil"/>
                    <w:tr2bl w:val="nil"/>
                  </w:tcBorders>
                  <w:vAlign w:val="center"/>
                </w:tcPr>
                <w:p>
                  <w:pPr>
                    <w:autoSpaceDE w:val="0"/>
                    <w:autoSpaceDN w:val="0"/>
                    <w:adjustRightInd w:val="0"/>
                    <w:jc w:val="center"/>
                    <w:rPr>
                      <w:szCs w:val="21"/>
                      <w:highlight w:val="none"/>
                    </w:rPr>
                  </w:pPr>
                  <w:r>
                    <w:rPr>
                      <w:rFonts w:hint="eastAsia"/>
                      <w:szCs w:val="21"/>
                      <w:highlight w:val="none"/>
                    </w:rPr>
                    <w:t>新建</w:t>
                  </w:r>
                </w:p>
              </w:tc>
            </w:tr>
          </w:tbl>
          <w:p>
            <w:pPr>
              <w:rPr>
                <w:highlight w:val="none"/>
              </w:rPr>
            </w:pPr>
          </w:p>
          <w:p>
            <w:pPr>
              <w:spacing w:line="360" w:lineRule="auto"/>
              <w:ind w:firstLine="481" w:firstLineChars="200"/>
              <w:rPr>
                <w:b/>
                <w:bCs/>
                <w:sz w:val="24"/>
                <w:highlight w:val="none"/>
              </w:rPr>
            </w:pPr>
            <w:r>
              <w:rPr>
                <w:rFonts w:hint="eastAsia"/>
                <w:b/>
                <w:bCs/>
                <w:sz w:val="24"/>
                <w:highlight w:val="none"/>
              </w:rPr>
              <w:t>3、产品方案及原辅材料、能源消耗情况</w:t>
            </w:r>
          </w:p>
          <w:p>
            <w:pPr>
              <w:spacing w:line="360" w:lineRule="auto"/>
              <w:ind w:firstLine="480" w:firstLineChars="200"/>
              <w:rPr>
                <w:sz w:val="24"/>
                <w:highlight w:val="none"/>
              </w:rPr>
            </w:pPr>
            <w:r>
              <w:rPr>
                <w:rFonts w:hint="eastAsia"/>
                <w:sz w:val="24"/>
                <w:highlight w:val="none"/>
              </w:rPr>
              <w:t>项目产品方案详见表2-2。</w:t>
            </w:r>
          </w:p>
          <w:p>
            <w:pPr>
              <w:jc w:val="center"/>
              <w:rPr>
                <w:b/>
                <w:bCs/>
                <w:szCs w:val="21"/>
                <w:highlight w:val="none"/>
              </w:rPr>
            </w:pPr>
            <w:r>
              <w:rPr>
                <w:b/>
                <w:bCs/>
                <w:szCs w:val="21"/>
                <w:highlight w:val="none"/>
              </w:rPr>
              <w:t>表</w:t>
            </w:r>
            <w:r>
              <w:rPr>
                <w:rFonts w:hint="eastAsia"/>
                <w:b/>
                <w:bCs/>
                <w:szCs w:val="21"/>
                <w:highlight w:val="none"/>
              </w:rPr>
              <w:t>2</w:t>
            </w:r>
            <w:r>
              <w:rPr>
                <w:b/>
                <w:bCs/>
                <w:szCs w:val="21"/>
                <w:highlight w:val="none"/>
              </w:rPr>
              <w:t>-</w:t>
            </w:r>
            <w:r>
              <w:rPr>
                <w:rFonts w:hint="eastAsia"/>
                <w:b/>
                <w:bCs/>
                <w:szCs w:val="21"/>
                <w:highlight w:val="none"/>
              </w:rPr>
              <w:t>2</w:t>
            </w:r>
            <w:r>
              <w:rPr>
                <w:b/>
                <w:bCs/>
                <w:szCs w:val="21"/>
                <w:highlight w:val="none"/>
              </w:rPr>
              <w:t>产品方案一览表</w:t>
            </w:r>
          </w:p>
          <w:tbl>
            <w:tblPr>
              <w:tblStyle w:val="39"/>
              <w:tblW w:w="5000" w:type="pct"/>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691"/>
              <w:gridCol w:w="1192"/>
              <w:gridCol w:w="1407"/>
              <w:gridCol w:w="3326"/>
            </w:tblGrid>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75" w:type="dxa"/>
                  <w:tcBorders>
                    <w:tl2br w:val="nil"/>
                    <w:tr2bl w:val="nil"/>
                  </w:tcBorders>
                  <w:vAlign w:val="center"/>
                </w:tcPr>
                <w:p>
                  <w:pPr>
                    <w:pStyle w:val="102"/>
                    <w:rPr>
                      <w:highlight w:val="none"/>
                    </w:rPr>
                  </w:pPr>
                  <w:r>
                    <w:rPr>
                      <w:highlight w:val="none"/>
                    </w:rPr>
                    <w:t>序号</w:t>
                  </w:r>
                </w:p>
              </w:tc>
              <w:tc>
                <w:tcPr>
                  <w:tcW w:w="1691" w:type="dxa"/>
                  <w:tcBorders>
                    <w:tl2br w:val="nil"/>
                    <w:tr2bl w:val="nil"/>
                  </w:tcBorders>
                  <w:vAlign w:val="center"/>
                </w:tcPr>
                <w:p>
                  <w:pPr>
                    <w:pStyle w:val="102"/>
                    <w:rPr>
                      <w:highlight w:val="none"/>
                    </w:rPr>
                  </w:pPr>
                  <w:r>
                    <w:rPr>
                      <w:highlight w:val="none"/>
                    </w:rPr>
                    <w:t>产品</w:t>
                  </w:r>
                </w:p>
              </w:tc>
              <w:tc>
                <w:tcPr>
                  <w:tcW w:w="1192" w:type="dxa"/>
                  <w:tcBorders>
                    <w:tl2br w:val="nil"/>
                    <w:tr2bl w:val="nil"/>
                  </w:tcBorders>
                  <w:vAlign w:val="center"/>
                </w:tcPr>
                <w:p>
                  <w:pPr>
                    <w:pStyle w:val="102"/>
                    <w:rPr>
                      <w:highlight w:val="none"/>
                    </w:rPr>
                  </w:pPr>
                  <w:r>
                    <w:rPr>
                      <w:highlight w:val="none"/>
                    </w:rPr>
                    <w:t>产品规格</w:t>
                  </w:r>
                </w:p>
              </w:tc>
              <w:tc>
                <w:tcPr>
                  <w:tcW w:w="1407" w:type="dxa"/>
                  <w:tcBorders>
                    <w:tl2br w:val="nil"/>
                    <w:tr2bl w:val="nil"/>
                  </w:tcBorders>
                  <w:vAlign w:val="center"/>
                </w:tcPr>
                <w:p>
                  <w:pPr>
                    <w:pStyle w:val="102"/>
                    <w:rPr>
                      <w:highlight w:val="none"/>
                    </w:rPr>
                  </w:pPr>
                  <w:r>
                    <w:rPr>
                      <w:highlight w:val="none"/>
                    </w:rPr>
                    <w:t>年产量t</w:t>
                  </w:r>
                </w:p>
              </w:tc>
              <w:tc>
                <w:tcPr>
                  <w:tcW w:w="3326" w:type="dxa"/>
                  <w:tcBorders>
                    <w:tl2br w:val="nil"/>
                    <w:tr2bl w:val="nil"/>
                  </w:tcBorders>
                  <w:vAlign w:val="center"/>
                </w:tcPr>
                <w:p>
                  <w:pPr>
                    <w:pStyle w:val="102"/>
                    <w:rPr>
                      <w:highlight w:val="none"/>
                    </w:rPr>
                  </w:pPr>
                  <w:r>
                    <w:rPr>
                      <w:highlight w:val="none"/>
                    </w:rPr>
                    <w:t>产品标准</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75" w:type="dxa"/>
                  <w:tcBorders>
                    <w:tl2br w:val="nil"/>
                    <w:tr2bl w:val="nil"/>
                  </w:tcBorders>
                  <w:vAlign w:val="center"/>
                </w:tcPr>
                <w:p>
                  <w:pPr>
                    <w:pStyle w:val="102"/>
                    <w:rPr>
                      <w:highlight w:val="none"/>
                    </w:rPr>
                  </w:pPr>
                  <w:r>
                    <w:rPr>
                      <w:highlight w:val="none"/>
                    </w:rPr>
                    <w:t>1</w:t>
                  </w:r>
                </w:p>
              </w:tc>
              <w:tc>
                <w:tcPr>
                  <w:tcW w:w="1691" w:type="dxa"/>
                  <w:tcBorders>
                    <w:tl2br w:val="nil"/>
                    <w:tr2bl w:val="nil"/>
                  </w:tcBorders>
                  <w:vAlign w:val="center"/>
                </w:tcPr>
                <w:p>
                  <w:pPr>
                    <w:pStyle w:val="102"/>
                    <w:rPr>
                      <w:highlight w:val="none"/>
                    </w:rPr>
                  </w:pPr>
                  <w:r>
                    <w:rPr>
                      <w:highlight w:val="none"/>
                    </w:rPr>
                    <w:t xml:space="preserve">巴氏杀菌全蛋液         </w:t>
                  </w:r>
                </w:p>
              </w:tc>
              <w:tc>
                <w:tcPr>
                  <w:tcW w:w="1192" w:type="dxa"/>
                  <w:tcBorders>
                    <w:tl2br w:val="nil"/>
                    <w:tr2bl w:val="nil"/>
                  </w:tcBorders>
                  <w:vAlign w:val="center"/>
                </w:tcPr>
                <w:p>
                  <w:pPr>
                    <w:pStyle w:val="102"/>
                    <w:rPr>
                      <w:highlight w:val="none"/>
                    </w:rPr>
                  </w:pPr>
                  <w:r>
                    <w:rPr>
                      <w:highlight w:val="none"/>
                    </w:rPr>
                    <w:t>10kg</w:t>
                  </w:r>
                </w:p>
              </w:tc>
              <w:tc>
                <w:tcPr>
                  <w:tcW w:w="1407" w:type="dxa"/>
                  <w:tcBorders>
                    <w:tl2br w:val="nil"/>
                    <w:tr2bl w:val="nil"/>
                  </w:tcBorders>
                  <w:vAlign w:val="center"/>
                </w:tcPr>
                <w:p>
                  <w:pPr>
                    <w:pStyle w:val="102"/>
                    <w:rPr>
                      <w:highlight w:val="none"/>
                    </w:rPr>
                  </w:pPr>
                  <w:r>
                    <w:rPr>
                      <w:rFonts w:hint="eastAsia"/>
                      <w:highlight w:val="none"/>
                    </w:rPr>
                    <w:t>13000</w:t>
                  </w:r>
                </w:p>
              </w:tc>
              <w:tc>
                <w:tcPr>
                  <w:tcW w:w="3326" w:type="dxa"/>
                  <w:vMerge w:val="restart"/>
                  <w:tcBorders>
                    <w:tl2br w:val="nil"/>
                    <w:tr2bl w:val="nil"/>
                  </w:tcBorders>
                  <w:vAlign w:val="center"/>
                </w:tcPr>
                <w:p>
                  <w:pPr>
                    <w:pStyle w:val="102"/>
                    <w:jc w:val="both"/>
                    <w:rPr>
                      <w:highlight w:val="none"/>
                    </w:rPr>
                  </w:pPr>
                  <w:r>
                    <w:rPr>
                      <w:highlight w:val="none"/>
                    </w:rPr>
                    <w:t>《食品安全国家标准 蛋与蛋制品》 （GB 2749-2015）</w:t>
                  </w:r>
                  <w:r>
                    <w:rPr>
                      <w:rFonts w:hint="eastAsia"/>
                      <w:highlight w:val="none"/>
                      <w:lang w:eastAsia="zh-CN"/>
                    </w:rPr>
                    <w:t>、</w:t>
                  </w:r>
                  <w:r>
                    <w:rPr>
                      <w:rFonts w:hint="eastAsia"/>
                      <w:color w:val="0000FF"/>
                      <w:highlight w:val="none"/>
                      <w:lang w:eastAsia="zh-CN"/>
                    </w:rPr>
                    <w:t>《</w:t>
                  </w:r>
                  <w:r>
                    <w:rPr>
                      <w:rFonts w:hint="eastAsia"/>
                      <w:color w:val="0000FF"/>
                      <w:highlight w:val="none"/>
                      <w:lang w:val="en-US" w:eastAsia="zh-CN"/>
                    </w:rPr>
                    <w:t>蛋液质量通则</w:t>
                  </w:r>
                  <w:r>
                    <w:rPr>
                      <w:rFonts w:hint="eastAsia"/>
                      <w:color w:val="0000FF"/>
                      <w:highlight w:val="none"/>
                      <w:lang w:eastAsia="zh-CN"/>
                    </w:rPr>
                    <w:t>》（</w:t>
                  </w:r>
                  <w:r>
                    <w:rPr>
                      <w:rFonts w:hint="eastAsia"/>
                      <w:color w:val="0000FF"/>
                      <w:highlight w:val="none"/>
                      <w:lang w:val="en-US" w:eastAsia="zh-CN"/>
                    </w:rPr>
                    <w:t>GB/T42235-2022</w:t>
                  </w:r>
                  <w:r>
                    <w:rPr>
                      <w:rFonts w:hint="eastAsia"/>
                      <w:color w:val="0000FF"/>
                      <w:highlight w:val="none"/>
                      <w:lang w:eastAsia="zh-CN"/>
                    </w:rPr>
                    <w:t>）</w:t>
                  </w:r>
                  <w:r>
                    <w:rPr>
                      <w:highlight w:val="none"/>
                    </w:rPr>
                    <w:t>。产品属于液蛋、再制蛋制品；具有产品正常的形状、形态， 无酸败、霉变、生虫及其他危害食品安全的异物等。</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775" w:type="dxa"/>
                  <w:tcBorders>
                    <w:tl2br w:val="nil"/>
                    <w:tr2bl w:val="nil"/>
                  </w:tcBorders>
                  <w:vAlign w:val="center"/>
                </w:tcPr>
                <w:p>
                  <w:pPr>
                    <w:pStyle w:val="102"/>
                    <w:rPr>
                      <w:highlight w:val="none"/>
                    </w:rPr>
                  </w:pPr>
                  <w:r>
                    <w:rPr>
                      <w:highlight w:val="none"/>
                    </w:rPr>
                    <w:t>2</w:t>
                  </w:r>
                </w:p>
              </w:tc>
              <w:tc>
                <w:tcPr>
                  <w:tcW w:w="1691" w:type="dxa"/>
                  <w:tcBorders>
                    <w:tl2br w:val="nil"/>
                    <w:tr2bl w:val="nil"/>
                  </w:tcBorders>
                  <w:vAlign w:val="center"/>
                </w:tcPr>
                <w:p>
                  <w:pPr>
                    <w:pStyle w:val="102"/>
                    <w:rPr>
                      <w:highlight w:val="none"/>
                    </w:rPr>
                  </w:pPr>
                  <w:r>
                    <w:rPr>
                      <w:highlight w:val="none"/>
                    </w:rPr>
                    <w:t xml:space="preserve">巴氏杀菌蛋黄液   </w:t>
                  </w:r>
                </w:p>
              </w:tc>
              <w:tc>
                <w:tcPr>
                  <w:tcW w:w="1192" w:type="dxa"/>
                  <w:tcBorders>
                    <w:tl2br w:val="nil"/>
                    <w:tr2bl w:val="nil"/>
                  </w:tcBorders>
                  <w:vAlign w:val="center"/>
                </w:tcPr>
                <w:p>
                  <w:pPr>
                    <w:pStyle w:val="102"/>
                    <w:rPr>
                      <w:highlight w:val="none"/>
                    </w:rPr>
                  </w:pPr>
                  <w:r>
                    <w:rPr>
                      <w:highlight w:val="none"/>
                    </w:rPr>
                    <w:t>10kg</w:t>
                  </w:r>
                </w:p>
              </w:tc>
              <w:tc>
                <w:tcPr>
                  <w:tcW w:w="1407" w:type="dxa"/>
                  <w:tcBorders>
                    <w:tl2br w:val="nil"/>
                    <w:tr2bl w:val="nil"/>
                  </w:tcBorders>
                  <w:vAlign w:val="center"/>
                </w:tcPr>
                <w:p>
                  <w:pPr>
                    <w:pStyle w:val="102"/>
                    <w:rPr>
                      <w:highlight w:val="none"/>
                    </w:rPr>
                  </w:pPr>
                  <w:r>
                    <w:rPr>
                      <w:rFonts w:hint="eastAsia"/>
                      <w:highlight w:val="none"/>
                    </w:rPr>
                    <w:t>3500</w:t>
                  </w:r>
                </w:p>
              </w:tc>
              <w:tc>
                <w:tcPr>
                  <w:tcW w:w="3326" w:type="dxa"/>
                  <w:vMerge w:val="continue"/>
                  <w:tcBorders>
                    <w:tl2br w:val="nil"/>
                    <w:tr2bl w:val="nil"/>
                  </w:tcBorders>
                  <w:vAlign w:val="center"/>
                </w:tcPr>
                <w:p>
                  <w:pPr>
                    <w:pStyle w:val="102"/>
                    <w:rPr>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775" w:type="dxa"/>
                  <w:tcBorders>
                    <w:tl2br w:val="nil"/>
                    <w:tr2bl w:val="nil"/>
                  </w:tcBorders>
                  <w:vAlign w:val="center"/>
                </w:tcPr>
                <w:p>
                  <w:pPr>
                    <w:pStyle w:val="102"/>
                    <w:rPr>
                      <w:highlight w:val="none"/>
                    </w:rPr>
                  </w:pPr>
                  <w:r>
                    <w:rPr>
                      <w:highlight w:val="none"/>
                    </w:rPr>
                    <w:t>3</w:t>
                  </w:r>
                </w:p>
              </w:tc>
              <w:tc>
                <w:tcPr>
                  <w:tcW w:w="1691" w:type="dxa"/>
                  <w:tcBorders>
                    <w:tl2br w:val="nil"/>
                    <w:tr2bl w:val="nil"/>
                  </w:tcBorders>
                  <w:vAlign w:val="center"/>
                </w:tcPr>
                <w:p>
                  <w:pPr>
                    <w:pStyle w:val="102"/>
                    <w:rPr>
                      <w:highlight w:val="none"/>
                    </w:rPr>
                  </w:pPr>
                  <w:r>
                    <w:rPr>
                      <w:highlight w:val="none"/>
                    </w:rPr>
                    <w:t xml:space="preserve">巴氏杀菌蛋白液    </w:t>
                  </w:r>
                </w:p>
              </w:tc>
              <w:tc>
                <w:tcPr>
                  <w:tcW w:w="1192" w:type="dxa"/>
                  <w:tcBorders>
                    <w:tl2br w:val="nil"/>
                    <w:tr2bl w:val="nil"/>
                  </w:tcBorders>
                  <w:vAlign w:val="center"/>
                </w:tcPr>
                <w:p>
                  <w:pPr>
                    <w:pStyle w:val="102"/>
                    <w:rPr>
                      <w:highlight w:val="none"/>
                    </w:rPr>
                  </w:pPr>
                  <w:r>
                    <w:rPr>
                      <w:highlight w:val="none"/>
                    </w:rPr>
                    <w:t>10kg</w:t>
                  </w:r>
                </w:p>
              </w:tc>
              <w:tc>
                <w:tcPr>
                  <w:tcW w:w="1407" w:type="dxa"/>
                  <w:tcBorders>
                    <w:tl2br w:val="nil"/>
                    <w:tr2bl w:val="nil"/>
                  </w:tcBorders>
                  <w:vAlign w:val="center"/>
                </w:tcPr>
                <w:p>
                  <w:pPr>
                    <w:pStyle w:val="102"/>
                    <w:rPr>
                      <w:highlight w:val="none"/>
                    </w:rPr>
                  </w:pPr>
                  <w:r>
                    <w:rPr>
                      <w:rFonts w:hint="eastAsia"/>
                      <w:highlight w:val="none"/>
                    </w:rPr>
                    <w:t>8500</w:t>
                  </w:r>
                </w:p>
              </w:tc>
              <w:tc>
                <w:tcPr>
                  <w:tcW w:w="3326" w:type="dxa"/>
                  <w:vMerge w:val="continue"/>
                  <w:tcBorders>
                    <w:tl2br w:val="nil"/>
                    <w:tr2bl w:val="nil"/>
                  </w:tcBorders>
                  <w:vAlign w:val="center"/>
                </w:tcPr>
                <w:p>
                  <w:pPr>
                    <w:pStyle w:val="102"/>
                    <w:rPr>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3658" w:type="dxa"/>
                  <w:gridSpan w:val="3"/>
                  <w:tcBorders>
                    <w:tl2br w:val="nil"/>
                    <w:tr2bl w:val="nil"/>
                  </w:tcBorders>
                  <w:vAlign w:val="center"/>
                </w:tcPr>
                <w:p>
                  <w:pPr>
                    <w:pStyle w:val="102"/>
                    <w:rPr>
                      <w:highlight w:val="none"/>
                    </w:rPr>
                  </w:pPr>
                  <w:r>
                    <w:rPr>
                      <w:rFonts w:hint="eastAsia"/>
                      <w:highlight w:val="none"/>
                    </w:rPr>
                    <w:t>合计</w:t>
                  </w:r>
                  <w:r>
                    <w:rPr>
                      <w:highlight w:val="none"/>
                    </w:rPr>
                    <w:t xml:space="preserve">         </w:t>
                  </w:r>
                </w:p>
              </w:tc>
              <w:tc>
                <w:tcPr>
                  <w:tcW w:w="1407" w:type="dxa"/>
                  <w:tcBorders>
                    <w:tl2br w:val="nil"/>
                    <w:tr2bl w:val="nil"/>
                  </w:tcBorders>
                  <w:vAlign w:val="center"/>
                </w:tcPr>
                <w:p>
                  <w:pPr>
                    <w:pStyle w:val="102"/>
                    <w:rPr>
                      <w:highlight w:val="none"/>
                    </w:rPr>
                  </w:pPr>
                  <w:r>
                    <w:rPr>
                      <w:rFonts w:hint="eastAsia"/>
                      <w:highlight w:val="none"/>
                    </w:rPr>
                    <w:t>25000</w:t>
                  </w:r>
                </w:p>
              </w:tc>
              <w:tc>
                <w:tcPr>
                  <w:tcW w:w="3326" w:type="dxa"/>
                  <w:vMerge w:val="continue"/>
                  <w:tcBorders>
                    <w:tl2br w:val="nil"/>
                    <w:tr2bl w:val="nil"/>
                  </w:tcBorders>
                  <w:vAlign w:val="center"/>
                </w:tcPr>
                <w:p>
                  <w:pPr>
                    <w:pStyle w:val="102"/>
                    <w:rPr>
                      <w:highlight w:val="none"/>
                    </w:rPr>
                  </w:pPr>
                </w:p>
              </w:tc>
            </w:tr>
          </w:tbl>
          <w:p>
            <w:pPr>
              <w:jc w:val="center"/>
              <w:rPr>
                <w:b/>
                <w:bCs/>
                <w:szCs w:val="21"/>
                <w:highlight w:val="none"/>
              </w:rPr>
            </w:pPr>
          </w:p>
          <w:p>
            <w:pPr>
              <w:spacing w:line="360" w:lineRule="auto"/>
              <w:ind w:firstLine="480" w:firstLineChars="200"/>
              <w:rPr>
                <w:rFonts w:hint="default" w:eastAsia="宋体"/>
                <w:color w:val="0000FF"/>
                <w:sz w:val="24"/>
                <w:highlight w:val="none"/>
                <w:lang w:val="en-US" w:eastAsia="zh-CN"/>
              </w:rPr>
            </w:pPr>
            <w:r>
              <w:rPr>
                <w:rFonts w:hint="eastAsia"/>
                <w:color w:val="0000FF"/>
                <w:sz w:val="24"/>
                <w:highlight w:val="none"/>
                <w:lang w:val="en-US" w:eastAsia="zh-CN"/>
              </w:rPr>
              <w:t>项目产品相关技术要求详见下表：</w:t>
            </w:r>
          </w:p>
          <w:p>
            <w:pPr>
              <w:jc w:val="center"/>
              <w:rPr>
                <w:b/>
                <w:bCs/>
                <w:color w:val="0000FF"/>
                <w:szCs w:val="21"/>
                <w:highlight w:val="none"/>
              </w:rPr>
            </w:pPr>
            <w:r>
              <w:rPr>
                <w:b/>
                <w:bCs/>
                <w:color w:val="0000FF"/>
                <w:szCs w:val="21"/>
                <w:highlight w:val="none"/>
              </w:rPr>
              <w:t>表</w:t>
            </w:r>
            <w:r>
              <w:rPr>
                <w:rFonts w:hint="eastAsia"/>
                <w:b/>
                <w:bCs/>
                <w:color w:val="0000FF"/>
                <w:szCs w:val="21"/>
                <w:highlight w:val="none"/>
              </w:rPr>
              <w:t>2</w:t>
            </w:r>
            <w:r>
              <w:rPr>
                <w:b/>
                <w:bCs/>
                <w:color w:val="0000FF"/>
                <w:szCs w:val="21"/>
                <w:highlight w:val="none"/>
              </w:rPr>
              <w:t>-</w:t>
            </w:r>
            <w:r>
              <w:rPr>
                <w:rFonts w:hint="eastAsia"/>
                <w:b/>
                <w:bCs/>
                <w:color w:val="0000FF"/>
                <w:szCs w:val="21"/>
                <w:highlight w:val="none"/>
                <w:lang w:val="en-US" w:eastAsia="zh-CN"/>
              </w:rPr>
              <w:t>3</w:t>
            </w:r>
            <w:r>
              <w:rPr>
                <w:b/>
                <w:bCs/>
                <w:color w:val="0000FF"/>
                <w:szCs w:val="21"/>
                <w:highlight w:val="none"/>
              </w:rPr>
              <w:t>产品</w:t>
            </w:r>
            <w:r>
              <w:rPr>
                <w:rFonts w:hint="eastAsia"/>
                <w:b/>
                <w:bCs/>
                <w:color w:val="0000FF"/>
                <w:szCs w:val="21"/>
                <w:highlight w:val="none"/>
                <w:lang w:val="en-US" w:eastAsia="zh-CN"/>
              </w:rPr>
              <w:t>相关技术要求</w:t>
            </w:r>
          </w:p>
          <w:tbl>
            <w:tblPr>
              <w:tblStyle w:val="39"/>
              <w:tblW w:w="5000" w:type="pct"/>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23"/>
              <w:gridCol w:w="1580"/>
              <w:gridCol w:w="1648"/>
              <w:gridCol w:w="1594"/>
              <w:gridCol w:w="1866"/>
            </w:tblGrid>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580" w:type="dxa"/>
                  <w:vMerge w:val="restart"/>
                  <w:tcBorders>
                    <w:tl2br w:val="nil"/>
                    <w:tr2bl w:val="nil"/>
                  </w:tcBorders>
                  <w:vAlign w:val="center"/>
                </w:tcPr>
                <w:p>
                  <w:pPr>
                    <w:pStyle w:val="102"/>
                    <w:rPr>
                      <w:b/>
                      <w:bCs/>
                      <w:color w:val="0000FF"/>
                      <w:highlight w:val="none"/>
                    </w:rPr>
                  </w:pPr>
                  <w:r>
                    <w:rPr>
                      <w:b/>
                      <w:bCs/>
                      <w:color w:val="0000FF"/>
                      <w:highlight w:val="none"/>
                    </w:rPr>
                    <w:t>序号</w:t>
                  </w:r>
                </w:p>
              </w:tc>
              <w:tc>
                <w:tcPr>
                  <w:tcW w:w="1123" w:type="dxa"/>
                  <w:vMerge w:val="restart"/>
                  <w:tcBorders>
                    <w:tl2br w:val="nil"/>
                    <w:tr2bl w:val="nil"/>
                  </w:tcBorders>
                  <w:vAlign w:val="center"/>
                </w:tcPr>
                <w:p>
                  <w:pPr>
                    <w:pStyle w:val="102"/>
                    <w:rPr>
                      <w:rFonts w:hint="eastAsia" w:eastAsia="宋体"/>
                      <w:b/>
                      <w:bCs/>
                      <w:color w:val="0000FF"/>
                      <w:highlight w:val="none"/>
                      <w:lang w:eastAsia="zh-CN"/>
                    </w:rPr>
                  </w:pPr>
                  <w:r>
                    <w:rPr>
                      <w:rFonts w:hint="eastAsia"/>
                      <w:b/>
                      <w:bCs/>
                      <w:color w:val="0000FF"/>
                      <w:highlight w:val="none"/>
                      <w:lang w:val="en-US" w:eastAsia="zh-CN"/>
                    </w:rPr>
                    <w:t>项目</w:t>
                  </w:r>
                </w:p>
              </w:tc>
              <w:tc>
                <w:tcPr>
                  <w:tcW w:w="4822" w:type="dxa"/>
                  <w:gridSpan w:val="3"/>
                  <w:tcBorders>
                    <w:tl2br w:val="nil"/>
                    <w:tr2bl w:val="nil"/>
                  </w:tcBorders>
                  <w:vAlign w:val="center"/>
                </w:tcPr>
                <w:p>
                  <w:pPr>
                    <w:pStyle w:val="102"/>
                    <w:rPr>
                      <w:rFonts w:hint="default" w:eastAsia="宋体"/>
                      <w:b/>
                      <w:bCs/>
                      <w:color w:val="0000FF"/>
                      <w:highlight w:val="none"/>
                      <w:lang w:val="en-US" w:eastAsia="zh-CN"/>
                    </w:rPr>
                  </w:pPr>
                  <w:r>
                    <w:rPr>
                      <w:rFonts w:hint="eastAsia"/>
                      <w:b/>
                      <w:bCs/>
                      <w:color w:val="0000FF"/>
                      <w:highlight w:val="none"/>
                      <w:lang w:val="en-US" w:eastAsia="zh-CN"/>
                    </w:rPr>
                    <w:t>要求/指标</w:t>
                  </w:r>
                </w:p>
              </w:tc>
              <w:tc>
                <w:tcPr>
                  <w:tcW w:w="1866" w:type="dxa"/>
                  <w:vMerge w:val="restart"/>
                  <w:tcBorders>
                    <w:tl2br w:val="nil"/>
                    <w:tr2bl w:val="nil"/>
                  </w:tcBorders>
                  <w:vAlign w:val="center"/>
                </w:tcPr>
                <w:p>
                  <w:pPr>
                    <w:pStyle w:val="102"/>
                    <w:rPr>
                      <w:b/>
                      <w:bCs/>
                      <w:color w:val="0000FF"/>
                      <w:highlight w:val="none"/>
                    </w:rPr>
                  </w:pPr>
                  <w:r>
                    <w:rPr>
                      <w:b/>
                      <w:bCs/>
                      <w:color w:val="0000FF"/>
                      <w:highlight w:val="none"/>
                    </w:rPr>
                    <w:t>产品标准</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88" w:hRule="atLeast"/>
                <w:jc w:val="center"/>
              </w:trPr>
              <w:tc>
                <w:tcPr>
                  <w:tcW w:w="580" w:type="dxa"/>
                  <w:vMerge w:val="continue"/>
                  <w:tcBorders>
                    <w:tl2br w:val="nil"/>
                    <w:tr2bl w:val="nil"/>
                  </w:tcBorders>
                  <w:vAlign w:val="center"/>
                </w:tcPr>
                <w:p>
                  <w:pPr>
                    <w:pStyle w:val="102"/>
                    <w:rPr>
                      <w:color w:val="0000FF"/>
                      <w:highlight w:val="none"/>
                    </w:rPr>
                  </w:pPr>
                </w:p>
              </w:tc>
              <w:tc>
                <w:tcPr>
                  <w:tcW w:w="1123" w:type="dxa"/>
                  <w:vMerge w:val="continue"/>
                  <w:tcBorders>
                    <w:tl2br w:val="nil"/>
                    <w:tr2bl w:val="nil"/>
                  </w:tcBorders>
                  <w:vAlign w:val="center"/>
                </w:tcPr>
                <w:p>
                  <w:pPr>
                    <w:pStyle w:val="102"/>
                    <w:rPr>
                      <w:rFonts w:hint="eastAsia"/>
                      <w:color w:val="0000FF"/>
                      <w:highlight w:val="none"/>
                      <w:lang w:val="en-US" w:eastAsia="zh-CN"/>
                    </w:rPr>
                  </w:pPr>
                </w:p>
              </w:tc>
              <w:tc>
                <w:tcPr>
                  <w:tcW w:w="1580" w:type="dxa"/>
                  <w:tcBorders>
                    <w:tl2br w:val="nil"/>
                    <w:tr2bl w:val="nil"/>
                  </w:tcBorders>
                  <w:vAlign w:val="center"/>
                </w:tcPr>
                <w:p>
                  <w:pPr>
                    <w:pStyle w:val="102"/>
                    <w:rPr>
                      <w:color w:val="0000FF"/>
                      <w:highlight w:val="none"/>
                    </w:rPr>
                  </w:pPr>
                  <w:r>
                    <w:rPr>
                      <w:color w:val="0000FF"/>
                      <w:highlight w:val="none"/>
                    </w:rPr>
                    <w:t>全蛋液</w:t>
                  </w:r>
                </w:p>
              </w:tc>
              <w:tc>
                <w:tcPr>
                  <w:tcW w:w="1648" w:type="dxa"/>
                  <w:tcBorders>
                    <w:tl2br w:val="nil"/>
                    <w:tr2bl w:val="nil"/>
                  </w:tcBorders>
                  <w:vAlign w:val="center"/>
                </w:tcPr>
                <w:p>
                  <w:pPr>
                    <w:pStyle w:val="102"/>
                    <w:rPr>
                      <w:color w:val="0000FF"/>
                      <w:highlight w:val="none"/>
                    </w:rPr>
                  </w:pPr>
                  <w:r>
                    <w:rPr>
                      <w:color w:val="0000FF"/>
                      <w:highlight w:val="none"/>
                    </w:rPr>
                    <w:t>蛋黄液</w:t>
                  </w:r>
                </w:p>
              </w:tc>
              <w:tc>
                <w:tcPr>
                  <w:tcW w:w="1594" w:type="dxa"/>
                  <w:tcBorders>
                    <w:tl2br w:val="nil"/>
                    <w:tr2bl w:val="nil"/>
                  </w:tcBorders>
                  <w:vAlign w:val="center"/>
                </w:tcPr>
                <w:p>
                  <w:pPr>
                    <w:pStyle w:val="102"/>
                    <w:rPr>
                      <w:color w:val="0000FF"/>
                      <w:highlight w:val="none"/>
                    </w:rPr>
                  </w:pPr>
                  <w:r>
                    <w:rPr>
                      <w:color w:val="0000FF"/>
                      <w:highlight w:val="none"/>
                    </w:rPr>
                    <w:t>蛋白液</w:t>
                  </w:r>
                </w:p>
              </w:tc>
              <w:tc>
                <w:tcPr>
                  <w:tcW w:w="1866" w:type="dxa"/>
                  <w:vMerge w:val="continue"/>
                  <w:tcBorders>
                    <w:tl2br w:val="nil"/>
                    <w:tr2bl w:val="nil"/>
                  </w:tcBorders>
                  <w:vAlign w:val="center"/>
                </w:tcPr>
                <w:p>
                  <w:pPr>
                    <w:pStyle w:val="102"/>
                    <w:rPr>
                      <w:color w:val="0000FF"/>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580" w:type="dxa"/>
                  <w:tcBorders>
                    <w:tl2br w:val="nil"/>
                    <w:tr2bl w:val="nil"/>
                  </w:tcBorders>
                  <w:vAlign w:val="center"/>
                </w:tcPr>
                <w:p>
                  <w:pPr>
                    <w:pStyle w:val="102"/>
                    <w:rPr>
                      <w:color w:val="0000FF"/>
                      <w:highlight w:val="none"/>
                    </w:rPr>
                  </w:pPr>
                  <w:r>
                    <w:rPr>
                      <w:color w:val="0000FF"/>
                      <w:highlight w:val="none"/>
                    </w:rPr>
                    <w:t>1</w:t>
                  </w:r>
                </w:p>
              </w:tc>
              <w:tc>
                <w:tcPr>
                  <w:tcW w:w="1123"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色泽</w:t>
                  </w:r>
                </w:p>
              </w:tc>
              <w:tc>
                <w:tcPr>
                  <w:tcW w:w="1580" w:type="dxa"/>
                  <w:tcBorders>
                    <w:tl2br w:val="nil"/>
                    <w:tr2bl w:val="nil"/>
                  </w:tcBorders>
                  <w:vAlign w:val="center"/>
                </w:tcPr>
                <w:p>
                  <w:pPr>
                    <w:pStyle w:val="102"/>
                    <w:rPr>
                      <w:color w:val="0000FF"/>
                      <w:highlight w:val="none"/>
                    </w:rPr>
                  </w:pPr>
                  <w:r>
                    <w:rPr>
                      <w:rFonts w:hint="eastAsia"/>
                      <w:color w:val="0000FF"/>
                      <w:highlight w:val="none"/>
                    </w:rPr>
                    <w:t>略显淡黄色、均匀一致</w:t>
                  </w:r>
                </w:p>
              </w:tc>
              <w:tc>
                <w:tcPr>
                  <w:tcW w:w="1648" w:type="dxa"/>
                  <w:tcBorders>
                    <w:tl2br w:val="nil"/>
                    <w:tr2bl w:val="nil"/>
                  </w:tcBorders>
                  <w:vAlign w:val="center"/>
                </w:tcPr>
                <w:p>
                  <w:pPr>
                    <w:pStyle w:val="102"/>
                    <w:rPr>
                      <w:color w:val="0000FF"/>
                      <w:highlight w:val="none"/>
                    </w:rPr>
                  </w:pPr>
                  <w:r>
                    <w:rPr>
                      <w:rFonts w:hint="eastAsia"/>
                      <w:color w:val="0000FF"/>
                      <w:highlight w:val="none"/>
                    </w:rPr>
                    <w:t>黄色、均匀一致</w:t>
                  </w:r>
                </w:p>
              </w:tc>
              <w:tc>
                <w:tcPr>
                  <w:tcW w:w="1594" w:type="dxa"/>
                  <w:tcBorders>
                    <w:tl2br w:val="nil"/>
                    <w:tr2bl w:val="nil"/>
                  </w:tcBorders>
                  <w:vAlign w:val="center"/>
                </w:tcPr>
                <w:p>
                  <w:pPr>
                    <w:pStyle w:val="102"/>
                    <w:rPr>
                      <w:rFonts w:hint="eastAsia"/>
                      <w:color w:val="0000FF"/>
                      <w:highlight w:val="none"/>
                    </w:rPr>
                  </w:pPr>
                  <w:r>
                    <w:rPr>
                      <w:rFonts w:hint="eastAsia"/>
                      <w:color w:val="0000FF"/>
                      <w:highlight w:val="none"/>
                    </w:rPr>
                    <w:t>半透明、略显淡黄色、均匀一致</w:t>
                  </w:r>
                </w:p>
              </w:tc>
              <w:tc>
                <w:tcPr>
                  <w:tcW w:w="1866" w:type="dxa"/>
                  <w:vMerge w:val="restart"/>
                  <w:tcBorders>
                    <w:tl2br w:val="nil"/>
                    <w:tr2bl w:val="nil"/>
                  </w:tcBorders>
                  <w:vAlign w:val="center"/>
                </w:tcPr>
                <w:p>
                  <w:pPr>
                    <w:pStyle w:val="102"/>
                    <w:jc w:val="both"/>
                    <w:rPr>
                      <w:color w:val="0000FF"/>
                      <w:highlight w:val="none"/>
                    </w:rPr>
                  </w:pPr>
                  <w:r>
                    <w:rPr>
                      <w:color w:val="0000FF"/>
                      <w:highlight w:val="none"/>
                    </w:rPr>
                    <w:t>《食品安全国家标准 蛋与蛋制品》 （GB 2749-2015）</w:t>
                  </w:r>
                  <w:r>
                    <w:rPr>
                      <w:rFonts w:hint="eastAsia"/>
                      <w:color w:val="0000FF"/>
                      <w:highlight w:val="none"/>
                      <w:lang w:eastAsia="zh-CN"/>
                    </w:rPr>
                    <w:t>、《</w:t>
                  </w:r>
                  <w:r>
                    <w:rPr>
                      <w:rFonts w:hint="eastAsia"/>
                      <w:color w:val="0000FF"/>
                      <w:highlight w:val="none"/>
                      <w:lang w:val="en-US" w:eastAsia="zh-CN"/>
                    </w:rPr>
                    <w:t>蛋液质量通则</w:t>
                  </w:r>
                  <w:r>
                    <w:rPr>
                      <w:rFonts w:hint="eastAsia"/>
                      <w:color w:val="0000FF"/>
                      <w:highlight w:val="none"/>
                      <w:lang w:eastAsia="zh-CN"/>
                    </w:rPr>
                    <w:t>》（</w:t>
                  </w:r>
                  <w:r>
                    <w:rPr>
                      <w:rFonts w:hint="eastAsia"/>
                      <w:color w:val="0000FF"/>
                      <w:highlight w:val="none"/>
                      <w:lang w:val="en-US" w:eastAsia="zh-CN"/>
                    </w:rPr>
                    <w:t>GB/T42235-2022</w:t>
                  </w:r>
                  <w:r>
                    <w:rPr>
                      <w:rFonts w:hint="eastAsia"/>
                      <w:color w:val="0000FF"/>
                      <w:highlight w:val="none"/>
                      <w:lang w:eastAsia="zh-CN"/>
                    </w:rPr>
                    <w:t>）</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580" w:type="dxa"/>
                  <w:tcBorders>
                    <w:tl2br w:val="nil"/>
                    <w:tr2bl w:val="nil"/>
                  </w:tcBorders>
                  <w:vAlign w:val="center"/>
                </w:tcPr>
                <w:p>
                  <w:pPr>
                    <w:pStyle w:val="102"/>
                    <w:rPr>
                      <w:color w:val="0000FF"/>
                      <w:highlight w:val="none"/>
                    </w:rPr>
                  </w:pPr>
                  <w:r>
                    <w:rPr>
                      <w:color w:val="0000FF"/>
                      <w:highlight w:val="none"/>
                    </w:rPr>
                    <w:t>2</w:t>
                  </w:r>
                </w:p>
              </w:tc>
              <w:tc>
                <w:tcPr>
                  <w:tcW w:w="1123"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气味</w:t>
                  </w:r>
                </w:p>
              </w:tc>
              <w:tc>
                <w:tcPr>
                  <w:tcW w:w="1580" w:type="dxa"/>
                  <w:tcBorders>
                    <w:tl2br w:val="nil"/>
                    <w:tr2bl w:val="nil"/>
                  </w:tcBorders>
                  <w:vAlign w:val="center"/>
                </w:tcPr>
                <w:p>
                  <w:pPr>
                    <w:pStyle w:val="102"/>
                    <w:rPr>
                      <w:color w:val="0000FF"/>
                      <w:highlight w:val="none"/>
                    </w:rPr>
                  </w:pPr>
                  <w:r>
                    <w:rPr>
                      <w:rFonts w:hint="eastAsia"/>
                      <w:color w:val="0000FF"/>
                      <w:highlight w:val="none"/>
                    </w:rPr>
                    <w:t>具有全蛋液的正常气味、无异味</w:t>
                  </w:r>
                </w:p>
              </w:tc>
              <w:tc>
                <w:tcPr>
                  <w:tcW w:w="1648" w:type="dxa"/>
                  <w:tcBorders>
                    <w:tl2br w:val="nil"/>
                    <w:tr2bl w:val="nil"/>
                  </w:tcBorders>
                  <w:vAlign w:val="center"/>
                </w:tcPr>
                <w:p>
                  <w:pPr>
                    <w:pStyle w:val="102"/>
                    <w:rPr>
                      <w:color w:val="0000FF"/>
                      <w:highlight w:val="none"/>
                    </w:rPr>
                  </w:pPr>
                  <w:r>
                    <w:rPr>
                      <w:rFonts w:hint="eastAsia"/>
                      <w:color w:val="0000FF"/>
                      <w:highlight w:val="none"/>
                    </w:rPr>
                    <w:t>具有蛋黄液的正常气味、无异味</w:t>
                  </w:r>
                </w:p>
              </w:tc>
              <w:tc>
                <w:tcPr>
                  <w:tcW w:w="1594" w:type="dxa"/>
                  <w:tcBorders>
                    <w:tl2br w:val="nil"/>
                    <w:tr2bl w:val="nil"/>
                  </w:tcBorders>
                  <w:vAlign w:val="center"/>
                </w:tcPr>
                <w:p>
                  <w:pPr>
                    <w:pStyle w:val="102"/>
                    <w:rPr>
                      <w:rFonts w:hint="eastAsia"/>
                      <w:color w:val="0000FF"/>
                      <w:highlight w:val="none"/>
                    </w:rPr>
                  </w:pPr>
                  <w:r>
                    <w:rPr>
                      <w:rFonts w:hint="eastAsia"/>
                      <w:color w:val="0000FF"/>
                      <w:highlight w:val="none"/>
                    </w:rPr>
                    <w:t>具有蛋白液的正常气味、无异味</w:t>
                  </w:r>
                </w:p>
              </w:tc>
              <w:tc>
                <w:tcPr>
                  <w:tcW w:w="1866" w:type="dxa"/>
                  <w:vMerge w:val="continue"/>
                  <w:tcBorders>
                    <w:tl2br w:val="nil"/>
                    <w:tr2bl w:val="nil"/>
                  </w:tcBorders>
                  <w:vAlign w:val="center"/>
                </w:tcPr>
                <w:p>
                  <w:pPr>
                    <w:pStyle w:val="102"/>
                    <w:rPr>
                      <w:color w:val="0000FF"/>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580" w:type="dxa"/>
                  <w:tcBorders>
                    <w:tl2br w:val="nil"/>
                    <w:tr2bl w:val="nil"/>
                  </w:tcBorders>
                  <w:vAlign w:val="center"/>
                </w:tcPr>
                <w:p>
                  <w:pPr>
                    <w:pStyle w:val="102"/>
                    <w:rPr>
                      <w:color w:val="0000FF"/>
                      <w:highlight w:val="none"/>
                    </w:rPr>
                  </w:pPr>
                  <w:r>
                    <w:rPr>
                      <w:color w:val="0000FF"/>
                      <w:highlight w:val="none"/>
                    </w:rPr>
                    <w:t>3</w:t>
                  </w:r>
                </w:p>
              </w:tc>
              <w:tc>
                <w:tcPr>
                  <w:tcW w:w="1123"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杂质</w:t>
                  </w:r>
                </w:p>
              </w:tc>
              <w:tc>
                <w:tcPr>
                  <w:tcW w:w="4822" w:type="dxa"/>
                  <w:gridSpan w:val="3"/>
                  <w:tcBorders>
                    <w:tl2br w:val="nil"/>
                    <w:tr2bl w:val="nil"/>
                  </w:tcBorders>
                  <w:vAlign w:val="center"/>
                </w:tcPr>
                <w:p>
                  <w:pPr>
                    <w:pStyle w:val="102"/>
                    <w:rPr>
                      <w:rFonts w:hint="eastAsia"/>
                      <w:color w:val="0000FF"/>
                      <w:highlight w:val="none"/>
                    </w:rPr>
                  </w:pPr>
                  <w:r>
                    <w:rPr>
                      <w:rFonts w:hint="eastAsia"/>
                      <w:color w:val="0000FF"/>
                      <w:highlight w:val="none"/>
                    </w:rPr>
                    <w:t>无正常视力可见外来杂质</w:t>
                  </w:r>
                </w:p>
              </w:tc>
              <w:tc>
                <w:tcPr>
                  <w:tcW w:w="1866" w:type="dxa"/>
                  <w:vMerge w:val="continue"/>
                  <w:tcBorders>
                    <w:tl2br w:val="nil"/>
                    <w:tr2bl w:val="nil"/>
                  </w:tcBorders>
                  <w:vAlign w:val="center"/>
                </w:tcPr>
                <w:p>
                  <w:pPr>
                    <w:pStyle w:val="102"/>
                    <w:rPr>
                      <w:color w:val="0000FF"/>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580"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4</w:t>
                  </w:r>
                </w:p>
              </w:tc>
              <w:tc>
                <w:tcPr>
                  <w:tcW w:w="1123"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水分/（g/100g）</w:t>
                  </w:r>
                </w:p>
              </w:tc>
              <w:tc>
                <w:tcPr>
                  <w:tcW w:w="1580"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≤78</w:t>
                  </w:r>
                </w:p>
              </w:tc>
              <w:tc>
                <w:tcPr>
                  <w:tcW w:w="1648" w:type="dxa"/>
                  <w:tcBorders>
                    <w:tl2br w:val="nil"/>
                    <w:tr2bl w:val="nil"/>
                  </w:tcBorders>
                  <w:vAlign w:val="center"/>
                </w:tcPr>
                <w:p>
                  <w:pPr>
                    <w:pStyle w:val="102"/>
                    <w:rPr>
                      <w:rFonts w:hint="default"/>
                      <w:color w:val="0000FF"/>
                      <w:highlight w:val="none"/>
                      <w:lang w:val="en-US"/>
                    </w:rPr>
                  </w:pPr>
                  <w:r>
                    <w:rPr>
                      <w:rFonts w:hint="eastAsia"/>
                      <w:color w:val="0000FF"/>
                      <w:highlight w:val="none"/>
                      <w:lang w:val="en-US" w:eastAsia="zh-CN"/>
                    </w:rPr>
                    <w:t>≤59</w:t>
                  </w:r>
                </w:p>
              </w:tc>
              <w:tc>
                <w:tcPr>
                  <w:tcW w:w="1594" w:type="dxa"/>
                  <w:tcBorders>
                    <w:tl2br w:val="nil"/>
                    <w:tr2bl w:val="nil"/>
                  </w:tcBorders>
                  <w:vAlign w:val="center"/>
                </w:tcPr>
                <w:p>
                  <w:pPr>
                    <w:pStyle w:val="102"/>
                    <w:rPr>
                      <w:rFonts w:hint="default"/>
                      <w:color w:val="0000FF"/>
                      <w:highlight w:val="none"/>
                      <w:lang w:val="en-US"/>
                    </w:rPr>
                  </w:pPr>
                  <w:r>
                    <w:rPr>
                      <w:rFonts w:hint="eastAsia"/>
                      <w:color w:val="0000FF"/>
                      <w:highlight w:val="none"/>
                      <w:lang w:val="en-US" w:eastAsia="zh-CN"/>
                    </w:rPr>
                    <w:t>≤89</w:t>
                  </w:r>
                </w:p>
              </w:tc>
              <w:tc>
                <w:tcPr>
                  <w:tcW w:w="1866" w:type="dxa"/>
                  <w:vMerge w:val="continue"/>
                  <w:tcBorders>
                    <w:tl2br w:val="nil"/>
                    <w:tr2bl w:val="nil"/>
                  </w:tcBorders>
                  <w:vAlign w:val="center"/>
                </w:tcPr>
                <w:p>
                  <w:pPr>
                    <w:pStyle w:val="102"/>
                    <w:rPr>
                      <w:color w:val="0000FF"/>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580"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5</w:t>
                  </w:r>
                </w:p>
              </w:tc>
              <w:tc>
                <w:tcPr>
                  <w:tcW w:w="1123"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脂肪/（g/100g）</w:t>
                  </w:r>
                </w:p>
              </w:tc>
              <w:tc>
                <w:tcPr>
                  <w:tcW w:w="1580"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≥7</w:t>
                  </w:r>
                </w:p>
              </w:tc>
              <w:tc>
                <w:tcPr>
                  <w:tcW w:w="1648" w:type="dxa"/>
                  <w:tcBorders>
                    <w:tl2br w:val="nil"/>
                    <w:tr2bl w:val="nil"/>
                  </w:tcBorders>
                  <w:vAlign w:val="center"/>
                </w:tcPr>
                <w:p>
                  <w:pPr>
                    <w:pStyle w:val="102"/>
                    <w:rPr>
                      <w:rFonts w:hint="default"/>
                      <w:color w:val="0000FF"/>
                      <w:highlight w:val="none"/>
                      <w:lang w:val="en-US"/>
                    </w:rPr>
                  </w:pPr>
                  <w:r>
                    <w:rPr>
                      <w:rFonts w:hint="eastAsia"/>
                      <w:color w:val="0000FF"/>
                      <w:highlight w:val="none"/>
                      <w:lang w:val="en-US" w:eastAsia="zh-CN"/>
                    </w:rPr>
                    <w:t>≥23</w:t>
                  </w:r>
                </w:p>
              </w:tc>
              <w:tc>
                <w:tcPr>
                  <w:tcW w:w="159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w:t>
                  </w:r>
                </w:p>
              </w:tc>
              <w:tc>
                <w:tcPr>
                  <w:tcW w:w="1866" w:type="dxa"/>
                  <w:vMerge w:val="continue"/>
                  <w:tcBorders>
                    <w:tl2br w:val="nil"/>
                    <w:tr2bl w:val="nil"/>
                  </w:tcBorders>
                  <w:vAlign w:val="center"/>
                </w:tcPr>
                <w:p>
                  <w:pPr>
                    <w:pStyle w:val="102"/>
                    <w:rPr>
                      <w:color w:val="0000FF"/>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580"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6</w:t>
                  </w:r>
                </w:p>
              </w:tc>
              <w:tc>
                <w:tcPr>
                  <w:tcW w:w="1123"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蛋白质/（g/100g）</w:t>
                  </w:r>
                </w:p>
              </w:tc>
              <w:tc>
                <w:tcPr>
                  <w:tcW w:w="1580"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≥11</w:t>
                  </w:r>
                </w:p>
              </w:tc>
              <w:tc>
                <w:tcPr>
                  <w:tcW w:w="1648" w:type="dxa"/>
                  <w:tcBorders>
                    <w:tl2br w:val="nil"/>
                    <w:tr2bl w:val="nil"/>
                  </w:tcBorders>
                  <w:vAlign w:val="center"/>
                </w:tcPr>
                <w:p>
                  <w:pPr>
                    <w:pStyle w:val="102"/>
                    <w:rPr>
                      <w:rFonts w:hint="default"/>
                      <w:color w:val="0000FF"/>
                      <w:highlight w:val="none"/>
                      <w:lang w:val="en-US"/>
                    </w:rPr>
                  </w:pPr>
                  <w:r>
                    <w:rPr>
                      <w:rFonts w:hint="eastAsia"/>
                      <w:color w:val="0000FF"/>
                      <w:highlight w:val="none"/>
                      <w:lang w:val="en-US" w:eastAsia="zh-CN"/>
                    </w:rPr>
                    <w:t>≥13</w:t>
                  </w:r>
                </w:p>
              </w:tc>
              <w:tc>
                <w:tcPr>
                  <w:tcW w:w="1594" w:type="dxa"/>
                  <w:tcBorders>
                    <w:tl2br w:val="nil"/>
                    <w:tr2bl w:val="nil"/>
                  </w:tcBorders>
                  <w:vAlign w:val="center"/>
                </w:tcPr>
                <w:p>
                  <w:pPr>
                    <w:pStyle w:val="102"/>
                    <w:rPr>
                      <w:rFonts w:hint="eastAsia"/>
                      <w:color w:val="0000FF"/>
                      <w:highlight w:val="none"/>
                    </w:rPr>
                  </w:pPr>
                  <w:r>
                    <w:rPr>
                      <w:rFonts w:hint="eastAsia"/>
                      <w:color w:val="0000FF"/>
                      <w:highlight w:val="none"/>
                      <w:lang w:val="en-US" w:eastAsia="zh-CN"/>
                    </w:rPr>
                    <w:t>≥9</w:t>
                  </w:r>
                </w:p>
              </w:tc>
              <w:tc>
                <w:tcPr>
                  <w:tcW w:w="1866" w:type="dxa"/>
                  <w:vMerge w:val="continue"/>
                  <w:tcBorders>
                    <w:tl2br w:val="nil"/>
                    <w:tr2bl w:val="nil"/>
                  </w:tcBorders>
                  <w:vAlign w:val="center"/>
                </w:tcPr>
                <w:p>
                  <w:pPr>
                    <w:pStyle w:val="102"/>
                    <w:rPr>
                      <w:color w:val="0000FF"/>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580"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7</w:t>
                  </w:r>
                </w:p>
              </w:tc>
              <w:tc>
                <w:tcPr>
                  <w:tcW w:w="1123"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pH</w:t>
                  </w:r>
                </w:p>
              </w:tc>
              <w:tc>
                <w:tcPr>
                  <w:tcW w:w="1580"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7.0~8.0</w:t>
                  </w:r>
                </w:p>
              </w:tc>
              <w:tc>
                <w:tcPr>
                  <w:tcW w:w="1648" w:type="dxa"/>
                  <w:tcBorders>
                    <w:tl2br w:val="nil"/>
                    <w:tr2bl w:val="nil"/>
                  </w:tcBorders>
                  <w:vAlign w:val="center"/>
                </w:tcPr>
                <w:p>
                  <w:pPr>
                    <w:pStyle w:val="102"/>
                    <w:rPr>
                      <w:color w:val="0000FF"/>
                      <w:highlight w:val="none"/>
                    </w:rPr>
                  </w:pPr>
                  <w:r>
                    <w:rPr>
                      <w:rFonts w:hint="eastAsia"/>
                      <w:color w:val="0000FF"/>
                      <w:highlight w:val="none"/>
                      <w:lang w:val="en-US" w:eastAsia="zh-CN"/>
                    </w:rPr>
                    <w:t>6.0~7.0</w:t>
                  </w:r>
                </w:p>
              </w:tc>
              <w:tc>
                <w:tcPr>
                  <w:tcW w:w="1594" w:type="dxa"/>
                  <w:tcBorders>
                    <w:tl2br w:val="nil"/>
                    <w:tr2bl w:val="nil"/>
                  </w:tcBorders>
                  <w:vAlign w:val="center"/>
                </w:tcPr>
                <w:p>
                  <w:pPr>
                    <w:pStyle w:val="102"/>
                    <w:rPr>
                      <w:rFonts w:hint="eastAsia"/>
                      <w:color w:val="0000FF"/>
                      <w:highlight w:val="none"/>
                    </w:rPr>
                  </w:pPr>
                  <w:r>
                    <w:rPr>
                      <w:rFonts w:hint="eastAsia"/>
                      <w:color w:val="0000FF"/>
                      <w:highlight w:val="none"/>
                      <w:lang w:val="en-US" w:eastAsia="zh-CN"/>
                    </w:rPr>
                    <w:t>8.0~10.0</w:t>
                  </w:r>
                </w:p>
              </w:tc>
              <w:tc>
                <w:tcPr>
                  <w:tcW w:w="1866" w:type="dxa"/>
                  <w:vMerge w:val="continue"/>
                  <w:tcBorders>
                    <w:tl2br w:val="nil"/>
                    <w:tr2bl w:val="nil"/>
                  </w:tcBorders>
                  <w:vAlign w:val="center"/>
                </w:tcPr>
                <w:p>
                  <w:pPr>
                    <w:pStyle w:val="102"/>
                    <w:rPr>
                      <w:color w:val="0000FF"/>
                      <w:highlight w:val="none"/>
                    </w:rPr>
                  </w:pPr>
                </w:p>
              </w:tc>
            </w:tr>
          </w:tbl>
          <w:p>
            <w:pPr>
              <w:spacing w:line="360" w:lineRule="auto"/>
              <w:ind w:firstLine="480" w:firstLineChars="200"/>
              <w:rPr>
                <w:sz w:val="24"/>
                <w:highlight w:val="none"/>
              </w:rPr>
            </w:pPr>
            <w:r>
              <w:rPr>
                <w:rFonts w:hint="eastAsia"/>
                <w:sz w:val="24"/>
                <w:highlight w:val="none"/>
              </w:rPr>
              <w:t>项目</w:t>
            </w:r>
            <w:r>
              <w:rPr>
                <w:sz w:val="24"/>
                <w:highlight w:val="none"/>
              </w:rPr>
              <w:t>原辅材料、能源消耗情况见表</w:t>
            </w:r>
            <w:r>
              <w:rPr>
                <w:rFonts w:hint="eastAsia"/>
                <w:sz w:val="24"/>
                <w:highlight w:val="none"/>
              </w:rPr>
              <w:t>2-</w:t>
            </w:r>
            <w:r>
              <w:rPr>
                <w:rFonts w:hint="eastAsia"/>
                <w:sz w:val="24"/>
                <w:highlight w:val="none"/>
                <w:lang w:val="en-US" w:eastAsia="zh-CN"/>
              </w:rPr>
              <w:t>4</w:t>
            </w:r>
            <w:r>
              <w:rPr>
                <w:sz w:val="24"/>
                <w:highlight w:val="none"/>
              </w:rPr>
              <w:t>。</w:t>
            </w:r>
          </w:p>
          <w:p>
            <w:pPr>
              <w:jc w:val="center"/>
              <w:rPr>
                <w:b/>
                <w:szCs w:val="20"/>
                <w:highlight w:val="none"/>
              </w:rPr>
            </w:pPr>
            <w:r>
              <w:rPr>
                <w:b/>
                <w:szCs w:val="20"/>
                <w:highlight w:val="none"/>
              </w:rPr>
              <w:t>表</w:t>
            </w:r>
            <w:r>
              <w:rPr>
                <w:rFonts w:hint="eastAsia"/>
                <w:b/>
                <w:szCs w:val="20"/>
                <w:highlight w:val="none"/>
              </w:rPr>
              <w:t>2-</w:t>
            </w:r>
            <w:r>
              <w:rPr>
                <w:rFonts w:hint="eastAsia"/>
                <w:b/>
                <w:szCs w:val="20"/>
                <w:highlight w:val="none"/>
                <w:lang w:val="en-US" w:eastAsia="zh-CN"/>
              </w:rPr>
              <w:t>4</w:t>
            </w:r>
            <w:r>
              <w:rPr>
                <w:b/>
                <w:szCs w:val="20"/>
                <w:highlight w:val="none"/>
              </w:rPr>
              <w:t xml:space="preserve">  项目原辅材料及能源消耗情况</w:t>
            </w:r>
            <w:r>
              <w:rPr>
                <w:rFonts w:hint="eastAsia"/>
                <w:b/>
                <w:szCs w:val="20"/>
                <w:highlight w:val="none"/>
              </w:rPr>
              <w:t>一览</w:t>
            </w:r>
            <w:r>
              <w:rPr>
                <w:b/>
                <w:szCs w:val="20"/>
                <w:highlight w:val="none"/>
              </w:rPr>
              <w:t>表</w:t>
            </w:r>
          </w:p>
          <w:tbl>
            <w:tblPr>
              <w:tblStyle w:val="3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555"/>
              <w:gridCol w:w="962"/>
              <w:gridCol w:w="884"/>
              <w:gridCol w:w="962"/>
              <w:gridCol w:w="705"/>
              <w:gridCol w:w="765"/>
              <w:gridCol w:w="1258"/>
              <w:gridCol w:w="8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序号</w:t>
                  </w:r>
                </w:p>
              </w:tc>
              <w:tc>
                <w:tcPr>
                  <w:tcW w:w="1555" w:type="dxa"/>
                  <w:tcBorders>
                    <w:tl2br w:val="nil"/>
                    <w:tr2bl w:val="nil"/>
                  </w:tcBorders>
                  <w:vAlign w:val="center"/>
                </w:tcPr>
                <w:p>
                  <w:pPr>
                    <w:pStyle w:val="102"/>
                    <w:rPr>
                      <w:highlight w:val="none"/>
                    </w:rPr>
                  </w:pPr>
                  <w:r>
                    <w:rPr>
                      <w:rFonts w:hint="eastAsia"/>
                      <w:highlight w:val="none"/>
                    </w:rPr>
                    <w:t>项目</w:t>
                  </w:r>
                </w:p>
              </w:tc>
              <w:tc>
                <w:tcPr>
                  <w:tcW w:w="962" w:type="dxa"/>
                  <w:tcBorders>
                    <w:tl2br w:val="nil"/>
                    <w:tr2bl w:val="nil"/>
                  </w:tcBorders>
                  <w:vAlign w:val="center"/>
                </w:tcPr>
                <w:p>
                  <w:pPr>
                    <w:pStyle w:val="102"/>
                    <w:rPr>
                      <w:highlight w:val="none"/>
                    </w:rPr>
                  </w:pPr>
                  <w:r>
                    <w:rPr>
                      <w:rFonts w:hint="eastAsia"/>
                      <w:highlight w:val="none"/>
                    </w:rPr>
                    <w:t>单位</w:t>
                  </w:r>
                </w:p>
              </w:tc>
              <w:tc>
                <w:tcPr>
                  <w:tcW w:w="884" w:type="dxa"/>
                  <w:tcBorders>
                    <w:tl2br w:val="nil"/>
                    <w:tr2bl w:val="nil"/>
                  </w:tcBorders>
                  <w:vAlign w:val="center"/>
                </w:tcPr>
                <w:p>
                  <w:pPr>
                    <w:pStyle w:val="102"/>
                    <w:rPr>
                      <w:highlight w:val="none"/>
                    </w:rPr>
                  </w:pPr>
                  <w:r>
                    <w:rPr>
                      <w:rFonts w:hint="eastAsia"/>
                      <w:highlight w:val="none"/>
                    </w:rPr>
                    <w:t>年用量</w:t>
                  </w:r>
                </w:p>
              </w:tc>
              <w:tc>
                <w:tcPr>
                  <w:tcW w:w="962"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包装方式</w:t>
                  </w:r>
                </w:p>
              </w:tc>
              <w:tc>
                <w:tcPr>
                  <w:tcW w:w="705" w:type="dxa"/>
                  <w:tcBorders>
                    <w:tl2br w:val="nil"/>
                    <w:tr2bl w:val="nil"/>
                  </w:tcBorders>
                  <w:vAlign w:val="center"/>
                </w:tcPr>
                <w:p>
                  <w:pPr>
                    <w:pStyle w:val="102"/>
                    <w:rPr>
                      <w:highlight w:val="none"/>
                    </w:rPr>
                  </w:pPr>
                  <w:r>
                    <w:rPr>
                      <w:rFonts w:hint="eastAsia"/>
                      <w:highlight w:val="none"/>
                    </w:rPr>
                    <w:t>形态</w:t>
                  </w:r>
                </w:p>
              </w:tc>
              <w:tc>
                <w:tcPr>
                  <w:tcW w:w="765" w:type="dxa"/>
                  <w:tcBorders>
                    <w:tl2br w:val="nil"/>
                    <w:tr2bl w:val="nil"/>
                  </w:tcBorders>
                  <w:vAlign w:val="center"/>
                </w:tcPr>
                <w:p>
                  <w:pPr>
                    <w:pStyle w:val="102"/>
                    <w:rPr>
                      <w:rFonts w:hint="eastAsia" w:eastAsia="宋体"/>
                      <w:highlight w:val="none"/>
                      <w:lang w:eastAsia="zh-CN"/>
                    </w:rPr>
                  </w:pPr>
                  <w:r>
                    <w:rPr>
                      <w:rFonts w:hint="eastAsia"/>
                      <w:highlight w:val="none"/>
                    </w:rPr>
                    <w:t>最大存储量</w:t>
                  </w:r>
                </w:p>
              </w:tc>
              <w:tc>
                <w:tcPr>
                  <w:tcW w:w="1258" w:type="dxa"/>
                  <w:tcBorders>
                    <w:tl2br w:val="nil"/>
                    <w:tr2bl w:val="nil"/>
                  </w:tcBorders>
                  <w:vAlign w:val="center"/>
                </w:tcPr>
                <w:p>
                  <w:pPr>
                    <w:pStyle w:val="102"/>
                    <w:rPr>
                      <w:highlight w:val="none"/>
                    </w:rPr>
                  </w:pPr>
                  <w:r>
                    <w:rPr>
                      <w:rFonts w:hint="eastAsia"/>
                      <w:highlight w:val="none"/>
                    </w:rPr>
                    <w:t>储存方式及位置</w:t>
                  </w:r>
                </w:p>
              </w:tc>
              <w:tc>
                <w:tcPr>
                  <w:tcW w:w="826" w:type="dxa"/>
                  <w:tcBorders>
                    <w:tl2br w:val="nil"/>
                    <w:tr2bl w:val="nil"/>
                  </w:tcBorders>
                  <w:vAlign w:val="center"/>
                </w:tcPr>
                <w:p>
                  <w:pPr>
                    <w:pStyle w:val="102"/>
                    <w:rPr>
                      <w:highlight w:val="none"/>
                    </w:rPr>
                  </w:pPr>
                  <w:r>
                    <w:rPr>
                      <w:rFonts w:hint="eastAsia"/>
                      <w:highlight w:val="none"/>
                    </w:rPr>
                    <w:t>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391" w:type="dxa"/>
                  <w:gridSpan w:val="9"/>
                  <w:tcBorders>
                    <w:tl2br w:val="nil"/>
                    <w:tr2bl w:val="nil"/>
                  </w:tcBorders>
                  <w:vAlign w:val="center"/>
                </w:tcPr>
                <w:p>
                  <w:pPr>
                    <w:pStyle w:val="102"/>
                    <w:rPr>
                      <w:rFonts w:hint="eastAsia"/>
                      <w:highlight w:val="none"/>
                    </w:rPr>
                  </w:pPr>
                  <w:r>
                    <w:rPr>
                      <w:rFonts w:hint="eastAsia"/>
                      <w:highlight w:val="none"/>
                    </w:rPr>
                    <w:t>原辅材料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1</w:t>
                  </w:r>
                </w:p>
              </w:tc>
              <w:tc>
                <w:tcPr>
                  <w:tcW w:w="1555" w:type="dxa"/>
                  <w:tcBorders>
                    <w:tl2br w:val="nil"/>
                    <w:tr2bl w:val="nil"/>
                  </w:tcBorders>
                  <w:vAlign w:val="center"/>
                </w:tcPr>
                <w:p>
                  <w:pPr>
                    <w:pStyle w:val="102"/>
                    <w:rPr>
                      <w:highlight w:val="none"/>
                    </w:rPr>
                  </w:pPr>
                  <w:r>
                    <w:rPr>
                      <w:rFonts w:hint="eastAsia"/>
                      <w:highlight w:val="none"/>
                    </w:rPr>
                    <w:t>鲜鸡蛋</w:t>
                  </w:r>
                </w:p>
              </w:tc>
              <w:tc>
                <w:tcPr>
                  <w:tcW w:w="962" w:type="dxa"/>
                  <w:tcBorders>
                    <w:tl2br w:val="nil"/>
                    <w:tr2bl w:val="nil"/>
                  </w:tcBorders>
                  <w:vAlign w:val="center"/>
                </w:tcPr>
                <w:p>
                  <w:pPr>
                    <w:pStyle w:val="102"/>
                    <w:rPr>
                      <w:highlight w:val="none"/>
                    </w:rPr>
                  </w:pPr>
                  <w:r>
                    <w:rPr>
                      <w:rFonts w:hint="eastAsia"/>
                      <w:highlight w:val="none"/>
                    </w:rPr>
                    <w:t>吨/年</w:t>
                  </w:r>
                </w:p>
              </w:tc>
              <w:tc>
                <w:tcPr>
                  <w:tcW w:w="884" w:type="dxa"/>
                  <w:tcBorders>
                    <w:tl2br w:val="nil"/>
                    <w:tr2bl w:val="nil"/>
                  </w:tcBorders>
                  <w:vAlign w:val="center"/>
                </w:tcPr>
                <w:p>
                  <w:pPr>
                    <w:pStyle w:val="102"/>
                    <w:rPr>
                      <w:highlight w:val="none"/>
                    </w:rPr>
                  </w:pPr>
                  <w:r>
                    <w:rPr>
                      <w:rFonts w:hint="eastAsia"/>
                      <w:highlight w:val="none"/>
                    </w:rPr>
                    <w:t>28000</w:t>
                  </w:r>
                </w:p>
              </w:tc>
              <w:tc>
                <w:tcPr>
                  <w:tcW w:w="962" w:type="dxa"/>
                  <w:tcBorders>
                    <w:tl2br w:val="nil"/>
                    <w:tr2bl w:val="nil"/>
                  </w:tcBorders>
                  <w:vAlign w:val="center"/>
                </w:tcPr>
                <w:p>
                  <w:pPr>
                    <w:pStyle w:val="102"/>
                    <w:rPr>
                      <w:rFonts w:hint="default"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30枚/拖</w:t>
                  </w:r>
                </w:p>
              </w:tc>
              <w:tc>
                <w:tcPr>
                  <w:tcW w:w="705" w:type="dxa"/>
                  <w:tcBorders>
                    <w:tl2br w:val="nil"/>
                    <w:tr2bl w:val="nil"/>
                  </w:tcBorders>
                  <w:vAlign w:val="center"/>
                </w:tcPr>
                <w:p>
                  <w:pPr>
                    <w:pStyle w:val="102"/>
                    <w:rPr>
                      <w:highlight w:val="none"/>
                    </w:rPr>
                  </w:pPr>
                  <w:r>
                    <w:rPr>
                      <w:rFonts w:hint="eastAsia"/>
                      <w:highlight w:val="none"/>
                    </w:rPr>
                    <w:t>固态</w:t>
                  </w:r>
                </w:p>
              </w:tc>
              <w:tc>
                <w:tcPr>
                  <w:tcW w:w="765" w:type="dxa"/>
                  <w:tcBorders>
                    <w:tl2br w:val="nil"/>
                    <w:tr2bl w:val="nil"/>
                  </w:tcBorders>
                  <w:vAlign w:val="center"/>
                </w:tcPr>
                <w:p>
                  <w:pPr>
                    <w:pStyle w:val="102"/>
                    <w:rPr>
                      <w:highlight w:val="none"/>
                    </w:rPr>
                  </w:pPr>
                  <w:r>
                    <w:rPr>
                      <w:rFonts w:hint="eastAsia"/>
                      <w:highlight w:val="none"/>
                    </w:rPr>
                    <w:t>2500</w:t>
                  </w:r>
                </w:p>
              </w:tc>
              <w:tc>
                <w:tcPr>
                  <w:tcW w:w="1258" w:type="dxa"/>
                  <w:tcBorders>
                    <w:tl2br w:val="nil"/>
                    <w:tr2bl w:val="nil"/>
                  </w:tcBorders>
                  <w:vAlign w:val="center"/>
                </w:tcPr>
                <w:p>
                  <w:pPr>
                    <w:pStyle w:val="102"/>
                    <w:rPr>
                      <w:color w:val="0000FF"/>
                      <w:highlight w:val="none"/>
                    </w:rPr>
                  </w:pPr>
                  <w:r>
                    <w:rPr>
                      <w:rFonts w:hint="eastAsia"/>
                      <w:color w:val="0000FF"/>
                      <w:highlight w:val="none"/>
                    </w:rPr>
                    <w:t>保鲜库</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2</w:t>
                  </w:r>
                </w:p>
              </w:tc>
              <w:tc>
                <w:tcPr>
                  <w:tcW w:w="1555" w:type="dxa"/>
                  <w:tcBorders>
                    <w:tl2br w:val="nil"/>
                    <w:tr2bl w:val="nil"/>
                  </w:tcBorders>
                  <w:vAlign w:val="center"/>
                </w:tcPr>
                <w:p>
                  <w:pPr>
                    <w:pStyle w:val="102"/>
                    <w:rPr>
                      <w:highlight w:val="none"/>
                    </w:rPr>
                  </w:pPr>
                  <w:r>
                    <w:rPr>
                      <w:rFonts w:hint="eastAsia"/>
                      <w:highlight w:val="none"/>
                    </w:rPr>
                    <w:t>包装材料</w:t>
                  </w:r>
                </w:p>
              </w:tc>
              <w:tc>
                <w:tcPr>
                  <w:tcW w:w="962" w:type="dxa"/>
                  <w:tcBorders>
                    <w:tl2br w:val="nil"/>
                    <w:tr2bl w:val="nil"/>
                  </w:tcBorders>
                  <w:vAlign w:val="center"/>
                </w:tcPr>
                <w:p>
                  <w:pPr>
                    <w:pStyle w:val="102"/>
                    <w:rPr>
                      <w:highlight w:val="none"/>
                    </w:rPr>
                  </w:pPr>
                  <w:r>
                    <w:rPr>
                      <w:rFonts w:hint="eastAsia"/>
                      <w:highlight w:val="none"/>
                    </w:rPr>
                    <w:t>吨/年</w:t>
                  </w:r>
                </w:p>
              </w:tc>
              <w:tc>
                <w:tcPr>
                  <w:tcW w:w="884" w:type="dxa"/>
                  <w:tcBorders>
                    <w:tl2br w:val="nil"/>
                    <w:tr2bl w:val="nil"/>
                  </w:tcBorders>
                  <w:vAlign w:val="center"/>
                </w:tcPr>
                <w:p>
                  <w:pPr>
                    <w:pStyle w:val="102"/>
                    <w:rPr>
                      <w:highlight w:val="none"/>
                    </w:rPr>
                  </w:pPr>
                  <w:r>
                    <w:rPr>
                      <w:rFonts w:hint="eastAsia"/>
                      <w:highlight w:val="none"/>
                    </w:rPr>
                    <w:t>3000</w:t>
                  </w:r>
                </w:p>
              </w:tc>
              <w:tc>
                <w:tcPr>
                  <w:tcW w:w="962" w:type="dxa"/>
                  <w:tcBorders>
                    <w:tl2br w:val="nil"/>
                    <w:tr2bl w:val="nil"/>
                  </w:tcBorders>
                  <w:vAlign w:val="center"/>
                </w:tcPr>
                <w:p>
                  <w:pPr>
                    <w:pStyle w:val="102"/>
                    <w:rPr>
                      <w:rFonts w:hint="default"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1吨/袋</w:t>
                  </w:r>
                </w:p>
              </w:tc>
              <w:tc>
                <w:tcPr>
                  <w:tcW w:w="705" w:type="dxa"/>
                  <w:tcBorders>
                    <w:tl2br w:val="nil"/>
                    <w:tr2bl w:val="nil"/>
                  </w:tcBorders>
                  <w:vAlign w:val="center"/>
                </w:tcPr>
                <w:p>
                  <w:pPr>
                    <w:pStyle w:val="102"/>
                    <w:rPr>
                      <w:highlight w:val="none"/>
                    </w:rPr>
                  </w:pPr>
                  <w:r>
                    <w:rPr>
                      <w:rFonts w:hint="eastAsia"/>
                      <w:highlight w:val="none"/>
                    </w:rPr>
                    <w:t>固态</w:t>
                  </w:r>
                </w:p>
              </w:tc>
              <w:tc>
                <w:tcPr>
                  <w:tcW w:w="765" w:type="dxa"/>
                  <w:tcBorders>
                    <w:tl2br w:val="nil"/>
                    <w:tr2bl w:val="nil"/>
                  </w:tcBorders>
                  <w:vAlign w:val="center"/>
                </w:tcPr>
                <w:p>
                  <w:pPr>
                    <w:pStyle w:val="102"/>
                    <w:rPr>
                      <w:highlight w:val="none"/>
                    </w:rPr>
                  </w:pPr>
                  <w:r>
                    <w:rPr>
                      <w:rFonts w:hint="eastAsia"/>
                      <w:highlight w:val="none"/>
                    </w:rPr>
                    <w:t>25</w:t>
                  </w:r>
                </w:p>
              </w:tc>
              <w:tc>
                <w:tcPr>
                  <w:tcW w:w="1258"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原料库</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3</w:t>
                  </w:r>
                </w:p>
              </w:tc>
              <w:tc>
                <w:tcPr>
                  <w:tcW w:w="1555" w:type="dxa"/>
                  <w:tcBorders>
                    <w:tl2br w:val="nil"/>
                    <w:tr2bl w:val="nil"/>
                  </w:tcBorders>
                  <w:vAlign w:val="center"/>
                </w:tcPr>
                <w:p>
                  <w:pPr>
                    <w:pStyle w:val="102"/>
                    <w:rPr>
                      <w:highlight w:val="none"/>
                    </w:rPr>
                  </w:pPr>
                  <w:r>
                    <w:rPr>
                      <w:rFonts w:hint="eastAsia"/>
                      <w:highlight w:val="none"/>
                    </w:rPr>
                    <w:t>纸箱</w:t>
                  </w:r>
                </w:p>
              </w:tc>
              <w:tc>
                <w:tcPr>
                  <w:tcW w:w="962" w:type="dxa"/>
                  <w:tcBorders>
                    <w:tl2br w:val="nil"/>
                    <w:tr2bl w:val="nil"/>
                  </w:tcBorders>
                  <w:vAlign w:val="center"/>
                </w:tcPr>
                <w:p>
                  <w:pPr>
                    <w:pStyle w:val="102"/>
                    <w:rPr>
                      <w:highlight w:val="none"/>
                    </w:rPr>
                  </w:pPr>
                  <w:r>
                    <w:rPr>
                      <w:highlight w:val="none"/>
                    </w:rPr>
                    <w:t>万个/</w:t>
                  </w:r>
                  <w:r>
                    <w:rPr>
                      <w:rFonts w:hint="eastAsia"/>
                      <w:highlight w:val="none"/>
                    </w:rPr>
                    <w:t>年</w:t>
                  </w:r>
                </w:p>
              </w:tc>
              <w:tc>
                <w:tcPr>
                  <w:tcW w:w="884" w:type="dxa"/>
                  <w:tcBorders>
                    <w:tl2br w:val="nil"/>
                    <w:tr2bl w:val="nil"/>
                  </w:tcBorders>
                  <w:vAlign w:val="center"/>
                </w:tcPr>
                <w:p>
                  <w:pPr>
                    <w:pStyle w:val="102"/>
                    <w:rPr>
                      <w:highlight w:val="none"/>
                    </w:rPr>
                  </w:pPr>
                  <w:r>
                    <w:rPr>
                      <w:rFonts w:hint="eastAsia"/>
                      <w:highlight w:val="none"/>
                    </w:rPr>
                    <w:t>150</w:t>
                  </w:r>
                </w:p>
              </w:tc>
              <w:tc>
                <w:tcPr>
                  <w:tcW w:w="962" w:type="dxa"/>
                  <w:tcBorders>
                    <w:tl2br w:val="nil"/>
                    <w:tr2bl w:val="nil"/>
                  </w:tcBorders>
                  <w:vAlign w:val="center"/>
                </w:tcPr>
                <w:p>
                  <w:pPr>
                    <w:pStyle w:val="102"/>
                    <w:rPr>
                      <w:rFonts w:hint="default"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100个/袋</w:t>
                  </w:r>
                </w:p>
              </w:tc>
              <w:tc>
                <w:tcPr>
                  <w:tcW w:w="705" w:type="dxa"/>
                  <w:tcBorders>
                    <w:tl2br w:val="nil"/>
                    <w:tr2bl w:val="nil"/>
                  </w:tcBorders>
                  <w:vAlign w:val="center"/>
                </w:tcPr>
                <w:p>
                  <w:pPr>
                    <w:pStyle w:val="102"/>
                    <w:rPr>
                      <w:highlight w:val="none"/>
                    </w:rPr>
                  </w:pPr>
                  <w:r>
                    <w:rPr>
                      <w:rFonts w:hint="eastAsia"/>
                      <w:highlight w:val="none"/>
                    </w:rPr>
                    <w:t>固态</w:t>
                  </w:r>
                </w:p>
              </w:tc>
              <w:tc>
                <w:tcPr>
                  <w:tcW w:w="765" w:type="dxa"/>
                  <w:tcBorders>
                    <w:tl2br w:val="nil"/>
                    <w:tr2bl w:val="nil"/>
                  </w:tcBorders>
                  <w:vAlign w:val="center"/>
                </w:tcPr>
                <w:p>
                  <w:pPr>
                    <w:pStyle w:val="102"/>
                    <w:rPr>
                      <w:highlight w:val="none"/>
                    </w:rPr>
                  </w:pPr>
                  <w:r>
                    <w:rPr>
                      <w:rFonts w:hint="eastAsia"/>
                      <w:highlight w:val="none"/>
                    </w:rPr>
                    <w:t>6</w:t>
                  </w:r>
                </w:p>
              </w:tc>
              <w:tc>
                <w:tcPr>
                  <w:tcW w:w="1258" w:type="dxa"/>
                  <w:tcBorders>
                    <w:tl2br w:val="nil"/>
                    <w:tr2bl w:val="nil"/>
                  </w:tcBorders>
                  <w:vAlign w:val="center"/>
                </w:tcPr>
                <w:p>
                  <w:pPr>
                    <w:pStyle w:val="102"/>
                    <w:rPr>
                      <w:rFonts w:hint="default"/>
                      <w:color w:val="0000FF"/>
                      <w:highlight w:val="none"/>
                      <w:lang w:val="en-US"/>
                    </w:rPr>
                  </w:pPr>
                  <w:r>
                    <w:rPr>
                      <w:rFonts w:hint="eastAsia"/>
                      <w:color w:val="0000FF"/>
                      <w:highlight w:val="none"/>
                      <w:lang w:val="en-US" w:eastAsia="zh-CN"/>
                    </w:rPr>
                    <w:t>外包材库</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4</w:t>
                  </w:r>
                </w:p>
              </w:tc>
              <w:tc>
                <w:tcPr>
                  <w:tcW w:w="1555" w:type="dxa"/>
                  <w:tcBorders>
                    <w:tl2br w:val="nil"/>
                    <w:tr2bl w:val="nil"/>
                  </w:tcBorders>
                  <w:vAlign w:val="center"/>
                </w:tcPr>
                <w:p>
                  <w:pPr>
                    <w:pStyle w:val="102"/>
                    <w:rPr>
                      <w:highlight w:val="none"/>
                    </w:rPr>
                  </w:pPr>
                  <w:r>
                    <w:rPr>
                      <w:rFonts w:hint="eastAsia"/>
                      <w:highlight w:val="none"/>
                    </w:rPr>
                    <w:t>商标</w:t>
                  </w:r>
                </w:p>
              </w:tc>
              <w:tc>
                <w:tcPr>
                  <w:tcW w:w="962" w:type="dxa"/>
                  <w:tcBorders>
                    <w:tl2br w:val="nil"/>
                    <w:tr2bl w:val="nil"/>
                  </w:tcBorders>
                  <w:vAlign w:val="center"/>
                </w:tcPr>
                <w:p>
                  <w:pPr>
                    <w:pStyle w:val="102"/>
                    <w:rPr>
                      <w:highlight w:val="none"/>
                    </w:rPr>
                  </w:pPr>
                  <w:r>
                    <w:rPr>
                      <w:highlight w:val="none"/>
                    </w:rPr>
                    <w:t>万</w:t>
                  </w:r>
                  <w:r>
                    <w:rPr>
                      <w:rFonts w:hint="eastAsia"/>
                      <w:highlight w:val="none"/>
                    </w:rPr>
                    <w:t>枚</w:t>
                  </w:r>
                  <w:r>
                    <w:rPr>
                      <w:highlight w:val="none"/>
                    </w:rPr>
                    <w:t>/</w:t>
                  </w:r>
                  <w:r>
                    <w:rPr>
                      <w:rFonts w:hint="eastAsia"/>
                      <w:highlight w:val="none"/>
                    </w:rPr>
                    <w:t>年</w:t>
                  </w:r>
                </w:p>
              </w:tc>
              <w:tc>
                <w:tcPr>
                  <w:tcW w:w="884" w:type="dxa"/>
                  <w:tcBorders>
                    <w:tl2br w:val="nil"/>
                    <w:tr2bl w:val="nil"/>
                  </w:tcBorders>
                  <w:vAlign w:val="center"/>
                </w:tcPr>
                <w:p>
                  <w:pPr>
                    <w:pStyle w:val="102"/>
                    <w:rPr>
                      <w:highlight w:val="none"/>
                    </w:rPr>
                  </w:pPr>
                  <w:r>
                    <w:rPr>
                      <w:rFonts w:hint="eastAsia"/>
                      <w:highlight w:val="none"/>
                    </w:rPr>
                    <w:t>240</w:t>
                  </w:r>
                </w:p>
              </w:tc>
              <w:tc>
                <w:tcPr>
                  <w:tcW w:w="962" w:type="dxa"/>
                  <w:tcBorders>
                    <w:tl2br w:val="nil"/>
                    <w:tr2bl w:val="nil"/>
                  </w:tcBorders>
                  <w:vAlign w:val="center"/>
                </w:tcPr>
                <w:p>
                  <w:pPr>
                    <w:pStyle w:val="102"/>
                    <w:rPr>
                      <w:rFonts w:hint="eastAsia" w:eastAsia="宋体"/>
                      <w:color w:val="0000FF"/>
                      <w:highlight w:val="none"/>
                      <w:lang w:val="en-US" w:eastAsia="zh-CN"/>
                    </w:rPr>
                  </w:pPr>
                  <w:r>
                    <w:rPr>
                      <w:rFonts w:hint="eastAsia" w:ascii="Times New Roman" w:hAnsi="Times New Roman" w:eastAsia="宋体" w:cs="Times New Roman"/>
                      <w:color w:val="0000FF"/>
                      <w:highlight w:val="none"/>
                      <w:lang w:val="en-US" w:eastAsia="zh-CN"/>
                    </w:rPr>
                    <w:t>100枚/袋</w:t>
                  </w:r>
                </w:p>
              </w:tc>
              <w:tc>
                <w:tcPr>
                  <w:tcW w:w="705" w:type="dxa"/>
                  <w:tcBorders>
                    <w:tl2br w:val="nil"/>
                    <w:tr2bl w:val="nil"/>
                  </w:tcBorders>
                  <w:vAlign w:val="center"/>
                </w:tcPr>
                <w:p>
                  <w:pPr>
                    <w:pStyle w:val="102"/>
                    <w:rPr>
                      <w:highlight w:val="none"/>
                    </w:rPr>
                  </w:pPr>
                  <w:r>
                    <w:rPr>
                      <w:rFonts w:hint="eastAsia"/>
                      <w:highlight w:val="none"/>
                    </w:rPr>
                    <w:t>固态</w:t>
                  </w:r>
                </w:p>
              </w:tc>
              <w:tc>
                <w:tcPr>
                  <w:tcW w:w="765" w:type="dxa"/>
                  <w:tcBorders>
                    <w:tl2br w:val="nil"/>
                    <w:tr2bl w:val="nil"/>
                  </w:tcBorders>
                  <w:vAlign w:val="center"/>
                </w:tcPr>
                <w:p>
                  <w:pPr>
                    <w:pStyle w:val="102"/>
                    <w:rPr>
                      <w:highlight w:val="none"/>
                    </w:rPr>
                  </w:pPr>
                  <w:r>
                    <w:rPr>
                      <w:rFonts w:hint="eastAsia"/>
                      <w:highlight w:val="none"/>
                    </w:rPr>
                    <w:t>10</w:t>
                  </w:r>
                </w:p>
              </w:tc>
              <w:tc>
                <w:tcPr>
                  <w:tcW w:w="1258" w:type="dxa"/>
                  <w:tcBorders>
                    <w:tl2br w:val="nil"/>
                    <w:tr2bl w:val="nil"/>
                  </w:tcBorders>
                  <w:vAlign w:val="center"/>
                </w:tcPr>
                <w:p>
                  <w:pPr>
                    <w:pStyle w:val="102"/>
                    <w:rPr>
                      <w:rFonts w:hint="default"/>
                      <w:color w:val="0000FF"/>
                      <w:highlight w:val="none"/>
                      <w:lang w:val="en-US"/>
                    </w:rPr>
                  </w:pPr>
                  <w:r>
                    <w:rPr>
                      <w:rFonts w:hint="eastAsia"/>
                      <w:color w:val="0000FF"/>
                      <w:highlight w:val="none"/>
                      <w:lang w:val="en-US" w:eastAsia="zh-CN"/>
                    </w:rPr>
                    <w:t>外包材库</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p>
              </w:tc>
              <w:tc>
                <w:tcPr>
                  <w:tcW w:w="7091" w:type="dxa"/>
                  <w:gridSpan w:val="7"/>
                  <w:tcBorders>
                    <w:tl2br w:val="nil"/>
                    <w:tr2bl w:val="nil"/>
                  </w:tcBorders>
                  <w:vAlign w:val="center"/>
                </w:tcPr>
                <w:p>
                  <w:pPr>
                    <w:pStyle w:val="102"/>
                    <w:rPr>
                      <w:highlight w:val="none"/>
                    </w:rPr>
                  </w:pPr>
                  <w:r>
                    <w:rPr>
                      <w:rFonts w:hint="eastAsia"/>
                      <w:highlight w:val="none"/>
                    </w:rPr>
                    <w:t>设备清洗</w:t>
                  </w:r>
                </w:p>
              </w:tc>
              <w:tc>
                <w:tcPr>
                  <w:tcW w:w="826" w:type="dxa"/>
                  <w:tcBorders>
                    <w:tl2br w:val="nil"/>
                    <w:tr2bl w:val="nil"/>
                  </w:tcBorders>
                  <w:vAlign w:val="center"/>
                </w:tcPr>
                <w:p>
                  <w:pPr>
                    <w:pStyle w:val="102"/>
                    <w:rPr>
                      <w:rFonts w:hint="eastAsia"/>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5</w:t>
                  </w:r>
                </w:p>
              </w:tc>
              <w:tc>
                <w:tcPr>
                  <w:tcW w:w="1555" w:type="dxa"/>
                  <w:tcBorders>
                    <w:tl2br w:val="nil"/>
                    <w:tr2bl w:val="nil"/>
                  </w:tcBorders>
                  <w:vAlign w:val="center"/>
                </w:tcPr>
                <w:p>
                  <w:pPr>
                    <w:pStyle w:val="102"/>
                    <w:rPr>
                      <w:highlight w:val="none"/>
                    </w:rPr>
                  </w:pPr>
                  <w:r>
                    <w:rPr>
                      <w:rFonts w:hint="eastAsia"/>
                      <w:highlight w:val="none"/>
                    </w:rPr>
                    <w:t>复配型氢氧化钠清洁剂（45%）</w:t>
                  </w:r>
                </w:p>
              </w:tc>
              <w:tc>
                <w:tcPr>
                  <w:tcW w:w="962" w:type="dxa"/>
                  <w:tcBorders>
                    <w:tl2br w:val="nil"/>
                    <w:tr2bl w:val="nil"/>
                  </w:tcBorders>
                  <w:vAlign w:val="center"/>
                </w:tcPr>
                <w:p>
                  <w:pPr>
                    <w:pStyle w:val="102"/>
                    <w:rPr>
                      <w:highlight w:val="none"/>
                    </w:rPr>
                  </w:pPr>
                  <w:r>
                    <w:rPr>
                      <w:rFonts w:hint="eastAsia"/>
                      <w:highlight w:val="none"/>
                    </w:rPr>
                    <w:t>吨</w:t>
                  </w:r>
                </w:p>
              </w:tc>
              <w:tc>
                <w:tcPr>
                  <w:tcW w:w="884" w:type="dxa"/>
                  <w:tcBorders>
                    <w:tl2br w:val="nil"/>
                    <w:tr2bl w:val="nil"/>
                  </w:tcBorders>
                  <w:vAlign w:val="center"/>
                </w:tcPr>
                <w:p>
                  <w:pPr>
                    <w:pStyle w:val="102"/>
                    <w:rPr>
                      <w:rFonts w:hint="default" w:eastAsia="宋体"/>
                      <w:color w:val="auto"/>
                      <w:highlight w:val="none"/>
                      <w:lang w:val="en-US" w:eastAsia="zh-CN"/>
                    </w:rPr>
                  </w:pPr>
                  <w:r>
                    <w:rPr>
                      <w:rFonts w:hint="eastAsia"/>
                      <w:color w:val="auto"/>
                      <w:highlight w:val="none"/>
                      <w:lang w:val="en-US" w:eastAsia="zh-CN"/>
                    </w:rPr>
                    <w:t>30</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en-US" w:eastAsia="zh-CN"/>
                    </w:rPr>
                    <w:t>20kg/</w:t>
                  </w:r>
                  <w:r>
                    <w:rPr>
                      <w:rFonts w:hint="eastAsia" w:ascii="Times New Roman" w:hAnsi="Times New Roman" w:eastAsia="宋体" w:cs="Times New Roman"/>
                      <w:color w:val="0000FF"/>
                      <w:highlight w:val="none"/>
                      <w:lang w:val="en-US" w:eastAsia="zh-CN"/>
                    </w:rPr>
                    <w:t>桶</w:t>
                  </w:r>
                </w:p>
              </w:tc>
              <w:tc>
                <w:tcPr>
                  <w:tcW w:w="705" w:type="dxa"/>
                  <w:tcBorders>
                    <w:tl2br w:val="nil"/>
                    <w:tr2bl w:val="nil"/>
                  </w:tcBorders>
                  <w:vAlign w:val="center"/>
                </w:tcPr>
                <w:p>
                  <w:pPr>
                    <w:pStyle w:val="102"/>
                    <w:rPr>
                      <w:color w:val="0000FF"/>
                      <w:highlight w:val="none"/>
                    </w:rPr>
                  </w:pPr>
                  <w:r>
                    <w:rPr>
                      <w:rFonts w:hint="eastAsia"/>
                      <w:color w:val="0000FF"/>
                      <w:highlight w:val="none"/>
                    </w:rPr>
                    <w:t>液体</w:t>
                  </w:r>
                </w:p>
              </w:tc>
              <w:tc>
                <w:tcPr>
                  <w:tcW w:w="765" w:type="dxa"/>
                  <w:tcBorders>
                    <w:tl2br w:val="nil"/>
                    <w:tr2bl w:val="nil"/>
                  </w:tcBorders>
                  <w:vAlign w:val="center"/>
                </w:tcPr>
                <w:p>
                  <w:pPr>
                    <w:pStyle w:val="102"/>
                    <w:rPr>
                      <w:rFonts w:hint="eastAsia" w:eastAsia="宋体"/>
                      <w:color w:val="auto"/>
                      <w:highlight w:val="none"/>
                      <w:lang w:eastAsia="zh-CN"/>
                    </w:rPr>
                  </w:pPr>
                  <w:r>
                    <w:rPr>
                      <w:rFonts w:hint="eastAsia"/>
                      <w:color w:val="auto"/>
                      <w:highlight w:val="none"/>
                      <w:lang w:val="en-US" w:eastAsia="zh-CN"/>
                    </w:rPr>
                    <w:t>3</w:t>
                  </w:r>
                </w:p>
              </w:tc>
              <w:tc>
                <w:tcPr>
                  <w:tcW w:w="1258" w:type="dxa"/>
                  <w:tcBorders>
                    <w:tl2br w:val="nil"/>
                    <w:tr2bl w:val="nil"/>
                  </w:tcBorders>
                  <w:vAlign w:val="center"/>
                </w:tcPr>
                <w:p>
                  <w:pPr>
                    <w:pStyle w:val="102"/>
                    <w:rPr>
                      <w:highlight w:val="none"/>
                    </w:rPr>
                  </w:pPr>
                  <w:r>
                    <w:rPr>
                      <w:rFonts w:hint="eastAsia"/>
                      <w:highlight w:val="none"/>
                    </w:rPr>
                    <w:t>化学药品间</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6</w:t>
                  </w:r>
                </w:p>
              </w:tc>
              <w:tc>
                <w:tcPr>
                  <w:tcW w:w="1555" w:type="dxa"/>
                  <w:tcBorders>
                    <w:tl2br w:val="nil"/>
                    <w:tr2bl w:val="nil"/>
                  </w:tcBorders>
                  <w:vAlign w:val="center"/>
                </w:tcPr>
                <w:p>
                  <w:pPr>
                    <w:pStyle w:val="102"/>
                    <w:rPr>
                      <w:highlight w:val="none"/>
                    </w:rPr>
                  </w:pPr>
                  <w:r>
                    <w:rPr>
                      <w:rFonts w:hint="eastAsia"/>
                      <w:highlight w:val="none"/>
                    </w:rPr>
                    <w:t>复配型硝酸清洁剂（45%）</w:t>
                  </w:r>
                </w:p>
              </w:tc>
              <w:tc>
                <w:tcPr>
                  <w:tcW w:w="962" w:type="dxa"/>
                  <w:tcBorders>
                    <w:tl2br w:val="nil"/>
                    <w:tr2bl w:val="nil"/>
                  </w:tcBorders>
                  <w:vAlign w:val="center"/>
                </w:tcPr>
                <w:p>
                  <w:pPr>
                    <w:pStyle w:val="102"/>
                    <w:rPr>
                      <w:highlight w:val="none"/>
                    </w:rPr>
                  </w:pPr>
                  <w:r>
                    <w:rPr>
                      <w:rFonts w:hint="eastAsia"/>
                      <w:highlight w:val="none"/>
                    </w:rPr>
                    <w:t>吨</w:t>
                  </w:r>
                </w:p>
              </w:tc>
              <w:tc>
                <w:tcPr>
                  <w:tcW w:w="884" w:type="dxa"/>
                  <w:tcBorders>
                    <w:tl2br w:val="nil"/>
                    <w:tr2bl w:val="nil"/>
                  </w:tcBorders>
                  <w:vAlign w:val="center"/>
                </w:tcPr>
                <w:p>
                  <w:pPr>
                    <w:pStyle w:val="102"/>
                    <w:rPr>
                      <w:rFonts w:hint="default" w:eastAsia="宋体"/>
                      <w:color w:val="auto"/>
                      <w:highlight w:val="none"/>
                      <w:lang w:val="en-US" w:eastAsia="zh-CN"/>
                    </w:rPr>
                  </w:pPr>
                  <w:r>
                    <w:rPr>
                      <w:rFonts w:hint="eastAsia"/>
                      <w:color w:val="auto"/>
                      <w:highlight w:val="none"/>
                      <w:lang w:val="en-US" w:eastAsia="zh-CN"/>
                    </w:rPr>
                    <w:t>30</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en-US" w:eastAsia="zh-CN"/>
                    </w:rPr>
                    <w:t>20kg/</w:t>
                  </w:r>
                  <w:r>
                    <w:rPr>
                      <w:rFonts w:hint="eastAsia" w:ascii="Times New Roman" w:hAnsi="Times New Roman" w:eastAsia="宋体" w:cs="Times New Roman"/>
                      <w:color w:val="0000FF"/>
                      <w:highlight w:val="none"/>
                      <w:lang w:val="en-US" w:eastAsia="zh-CN"/>
                    </w:rPr>
                    <w:t>桶</w:t>
                  </w:r>
                </w:p>
              </w:tc>
              <w:tc>
                <w:tcPr>
                  <w:tcW w:w="705" w:type="dxa"/>
                  <w:tcBorders>
                    <w:tl2br w:val="nil"/>
                    <w:tr2bl w:val="nil"/>
                  </w:tcBorders>
                  <w:vAlign w:val="center"/>
                </w:tcPr>
                <w:p>
                  <w:pPr>
                    <w:pStyle w:val="102"/>
                    <w:rPr>
                      <w:color w:val="0000FF"/>
                      <w:highlight w:val="none"/>
                    </w:rPr>
                  </w:pPr>
                  <w:r>
                    <w:rPr>
                      <w:rFonts w:hint="eastAsia"/>
                      <w:color w:val="0000FF"/>
                      <w:highlight w:val="none"/>
                    </w:rPr>
                    <w:t>液体</w:t>
                  </w:r>
                </w:p>
              </w:tc>
              <w:tc>
                <w:tcPr>
                  <w:tcW w:w="765" w:type="dxa"/>
                  <w:tcBorders>
                    <w:tl2br w:val="nil"/>
                    <w:tr2bl w:val="nil"/>
                  </w:tcBorders>
                  <w:vAlign w:val="center"/>
                </w:tcPr>
                <w:p>
                  <w:pPr>
                    <w:pStyle w:val="102"/>
                    <w:rPr>
                      <w:rFonts w:hint="eastAsia" w:eastAsia="宋体"/>
                      <w:color w:val="auto"/>
                      <w:highlight w:val="none"/>
                      <w:lang w:eastAsia="zh-CN"/>
                    </w:rPr>
                  </w:pPr>
                  <w:r>
                    <w:rPr>
                      <w:rFonts w:hint="eastAsia"/>
                      <w:color w:val="auto"/>
                      <w:highlight w:val="none"/>
                      <w:lang w:val="en-US" w:eastAsia="zh-CN"/>
                    </w:rPr>
                    <w:t>3</w:t>
                  </w:r>
                </w:p>
              </w:tc>
              <w:tc>
                <w:tcPr>
                  <w:tcW w:w="1258" w:type="dxa"/>
                  <w:tcBorders>
                    <w:tl2br w:val="nil"/>
                    <w:tr2bl w:val="nil"/>
                  </w:tcBorders>
                  <w:vAlign w:val="center"/>
                </w:tcPr>
                <w:p>
                  <w:pPr>
                    <w:pStyle w:val="102"/>
                    <w:rPr>
                      <w:highlight w:val="none"/>
                    </w:rPr>
                  </w:pPr>
                  <w:r>
                    <w:rPr>
                      <w:rFonts w:hint="eastAsia"/>
                      <w:highlight w:val="none"/>
                    </w:rPr>
                    <w:t>化学药品间</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565" w:type="dxa"/>
                  <w:gridSpan w:val="8"/>
                  <w:tcBorders>
                    <w:tl2br w:val="nil"/>
                    <w:tr2bl w:val="nil"/>
                  </w:tcBorders>
                  <w:vAlign w:val="center"/>
                </w:tcPr>
                <w:p>
                  <w:pPr>
                    <w:pStyle w:val="102"/>
                    <w:rPr>
                      <w:highlight w:val="none"/>
                    </w:rPr>
                  </w:pPr>
                  <w:r>
                    <w:rPr>
                      <w:rFonts w:hint="eastAsia"/>
                      <w:highlight w:val="none"/>
                    </w:rPr>
                    <w:t>产品检验材料</w:t>
                  </w:r>
                </w:p>
              </w:tc>
              <w:tc>
                <w:tcPr>
                  <w:tcW w:w="826" w:type="dxa"/>
                  <w:tcBorders>
                    <w:tl2br w:val="nil"/>
                    <w:tr2bl w:val="nil"/>
                  </w:tcBorders>
                  <w:vAlign w:val="center"/>
                </w:tcPr>
                <w:p>
                  <w:pPr>
                    <w:pStyle w:val="102"/>
                    <w:rPr>
                      <w:rFonts w:hint="eastAsia"/>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7</w:t>
                  </w:r>
                </w:p>
              </w:tc>
              <w:tc>
                <w:tcPr>
                  <w:tcW w:w="1555" w:type="dxa"/>
                  <w:tcBorders>
                    <w:tl2br w:val="nil"/>
                    <w:tr2bl w:val="nil"/>
                  </w:tcBorders>
                  <w:vAlign w:val="center"/>
                </w:tcPr>
                <w:p>
                  <w:pPr>
                    <w:pStyle w:val="102"/>
                    <w:rPr>
                      <w:highlight w:val="none"/>
                    </w:rPr>
                  </w:pPr>
                  <w:r>
                    <w:rPr>
                      <w:rFonts w:hint="eastAsia"/>
                      <w:highlight w:val="none"/>
                    </w:rPr>
                    <w:t>大肠菌群测试片</w:t>
                  </w:r>
                </w:p>
              </w:tc>
              <w:tc>
                <w:tcPr>
                  <w:tcW w:w="962" w:type="dxa"/>
                  <w:tcBorders>
                    <w:tl2br w:val="nil"/>
                    <w:tr2bl w:val="nil"/>
                  </w:tcBorders>
                  <w:vAlign w:val="center"/>
                </w:tcPr>
                <w:p>
                  <w:pPr>
                    <w:pStyle w:val="102"/>
                    <w:rPr>
                      <w:highlight w:val="none"/>
                    </w:rPr>
                  </w:pPr>
                  <w:r>
                    <w:rPr>
                      <w:rFonts w:hint="eastAsia"/>
                      <w:highlight w:val="none"/>
                    </w:rPr>
                    <w:t>包</w:t>
                  </w:r>
                </w:p>
              </w:tc>
              <w:tc>
                <w:tcPr>
                  <w:tcW w:w="884" w:type="dxa"/>
                  <w:tcBorders>
                    <w:tl2br w:val="nil"/>
                    <w:tr2bl w:val="nil"/>
                  </w:tcBorders>
                  <w:vAlign w:val="center"/>
                </w:tcPr>
                <w:p>
                  <w:pPr>
                    <w:pStyle w:val="102"/>
                    <w:rPr>
                      <w:highlight w:val="none"/>
                    </w:rPr>
                  </w:pPr>
                  <w:r>
                    <w:rPr>
                      <w:rFonts w:hint="eastAsia"/>
                      <w:highlight w:val="none"/>
                    </w:rPr>
                    <w:t>10</w:t>
                  </w:r>
                  <w:r>
                    <w:rPr>
                      <w:highlight w:val="none"/>
                    </w:rPr>
                    <w:t xml:space="preserve"> </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eastAsia" w:ascii="Times New Roman" w:hAnsi="Times New Roman" w:eastAsia="宋体" w:cs="Times New Roman"/>
                      <w:color w:val="0000FF"/>
                      <w:highlight w:val="none"/>
                      <w:lang w:val="en-US" w:eastAsia="zh-CN"/>
                    </w:rPr>
                    <w:t>100</w:t>
                  </w:r>
                  <w:r>
                    <w:rPr>
                      <w:rFonts w:hint="eastAsia" w:ascii="Times New Roman" w:hAnsi="Times New Roman" w:eastAsia="宋体" w:cs="Times New Roman"/>
                      <w:color w:val="0000FF"/>
                      <w:highlight w:val="none"/>
                    </w:rPr>
                    <w:t>片/包</w:t>
                  </w:r>
                </w:p>
              </w:tc>
              <w:tc>
                <w:tcPr>
                  <w:tcW w:w="705" w:type="dxa"/>
                  <w:tcBorders>
                    <w:tl2br w:val="nil"/>
                    <w:tr2bl w:val="nil"/>
                  </w:tcBorders>
                  <w:vAlign w:val="center"/>
                </w:tcPr>
                <w:p>
                  <w:pPr>
                    <w:pStyle w:val="102"/>
                    <w:rPr>
                      <w:highlight w:val="none"/>
                    </w:rPr>
                  </w:pPr>
                  <w:r>
                    <w:rPr>
                      <w:rFonts w:hint="eastAsia"/>
                      <w:highlight w:val="none"/>
                    </w:rPr>
                    <w:t>试纸片</w:t>
                  </w:r>
                </w:p>
              </w:tc>
              <w:tc>
                <w:tcPr>
                  <w:tcW w:w="765" w:type="dxa"/>
                  <w:tcBorders>
                    <w:tl2br w:val="nil"/>
                    <w:tr2bl w:val="nil"/>
                  </w:tcBorders>
                  <w:vAlign w:val="center"/>
                </w:tcPr>
                <w:p>
                  <w:pPr>
                    <w:pStyle w:val="102"/>
                    <w:rPr>
                      <w:highlight w:val="none"/>
                    </w:rPr>
                  </w:pPr>
                  <w:r>
                    <w:rPr>
                      <w:rFonts w:hint="eastAsia"/>
                      <w:highlight w:val="none"/>
                    </w:rPr>
                    <w:t>5</w:t>
                  </w:r>
                </w:p>
              </w:tc>
              <w:tc>
                <w:tcPr>
                  <w:tcW w:w="1258" w:type="dxa"/>
                  <w:tcBorders>
                    <w:tl2br w:val="nil"/>
                    <w:tr2bl w:val="nil"/>
                  </w:tcBorders>
                  <w:vAlign w:val="center"/>
                </w:tcPr>
                <w:p>
                  <w:pPr>
                    <w:pStyle w:val="102"/>
                    <w:rPr>
                      <w:highlight w:val="none"/>
                    </w:rPr>
                  </w:pPr>
                  <w:r>
                    <w:rPr>
                      <w:rFonts w:hint="eastAsia"/>
                      <w:highlight w:val="none"/>
                    </w:rPr>
                    <w:t>综合实验室</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8</w:t>
                  </w:r>
                </w:p>
              </w:tc>
              <w:tc>
                <w:tcPr>
                  <w:tcW w:w="1555" w:type="dxa"/>
                  <w:tcBorders>
                    <w:tl2br w:val="nil"/>
                    <w:tr2bl w:val="nil"/>
                  </w:tcBorders>
                  <w:vAlign w:val="center"/>
                </w:tcPr>
                <w:p>
                  <w:pPr>
                    <w:pStyle w:val="102"/>
                    <w:rPr>
                      <w:highlight w:val="none"/>
                    </w:rPr>
                  </w:pPr>
                  <w:r>
                    <w:rPr>
                      <w:rFonts w:hint="eastAsia"/>
                      <w:highlight w:val="none"/>
                    </w:rPr>
                    <w:t>菌落总数测试片</w:t>
                  </w:r>
                </w:p>
              </w:tc>
              <w:tc>
                <w:tcPr>
                  <w:tcW w:w="962" w:type="dxa"/>
                  <w:tcBorders>
                    <w:tl2br w:val="nil"/>
                    <w:tr2bl w:val="nil"/>
                  </w:tcBorders>
                  <w:vAlign w:val="center"/>
                </w:tcPr>
                <w:p>
                  <w:pPr>
                    <w:pStyle w:val="102"/>
                    <w:rPr>
                      <w:highlight w:val="none"/>
                    </w:rPr>
                  </w:pPr>
                  <w:r>
                    <w:rPr>
                      <w:rFonts w:hint="eastAsia"/>
                      <w:highlight w:val="none"/>
                    </w:rPr>
                    <w:t>包</w:t>
                  </w:r>
                </w:p>
              </w:tc>
              <w:tc>
                <w:tcPr>
                  <w:tcW w:w="884" w:type="dxa"/>
                  <w:tcBorders>
                    <w:tl2br w:val="nil"/>
                    <w:tr2bl w:val="nil"/>
                  </w:tcBorders>
                  <w:vAlign w:val="center"/>
                </w:tcPr>
                <w:p>
                  <w:pPr>
                    <w:pStyle w:val="102"/>
                    <w:rPr>
                      <w:highlight w:val="none"/>
                    </w:rPr>
                  </w:pPr>
                  <w:r>
                    <w:rPr>
                      <w:rFonts w:hint="eastAsia"/>
                      <w:highlight w:val="none"/>
                    </w:rPr>
                    <w:t>10</w:t>
                  </w:r>
                  <w:r>
                    <w:rPr>
                      <w:highlight w:val="none"/>
                    </w:rPr>
                    <w:t xml:space="preserve"> </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eastAsia" w:ascii="Times New Roman" w:hAnsi="Times New Roman" w:eastAsia="宋体" w:cs="Times New Roman"/>
                      <w:color w:val="0000FF"/>
                      <w:highlight w:val="none"/>
                      <w:lang w:val="en-US" w:eastAsia="zh-CN"/>
                    </w:rPr>
                    <w:t>100</w:t>
                  </w:r>
                  <w:r>
                    <w:rPr>
                      <w:rFonts w:hint="eastAsia" w:ascii="Times New Roman" w:hAnsi="Times New Roman" w:eastAsia="宋体" w:cs="Times New Roman"/>
                      <w:color w:val="0000FF"/>
                      <w:highlight w:val="none"/>
                    </w:rPr>
                    <w:t>片/包</w:t>
                  </w:r>
                </w:p>
              </w:tc>
              <w:tc>
                <w:tcPr>
                  <w:tcW w:w="705" w:type="dxa"/>
                  <w:tcBorders>
                    <w:tl2br w:val="nil"/>
                    <w:tr2bl w:val="nil"/>
                  </w:tcBorders>
                  <w:vAlign w:val="center"/>
                </w:tcPr>
                <w:p>
                  <w:pPr>
                    <w:pStyle w:val="102"/>
                    <w:rPr>
                      <w:highlight w:val="none"/>
                    </w:rPr>
                  </w:pPr>
                  <w:r>
                    <w:rPr>
                      <w:rFonts w:hint="eastAsia"/>
                      <w:highlight w:val="none"/>
                    </w:rPr>
                    <w:t>试纸片</w:t>
                  </w:r>
                </w:p>
              </w:tc>
              <w:tc>
                <w:tcPr>
                  <w:tcW w:w="765" w:type="dxa"/>
                  <w:tcBorders>
                    <w:tl2br w:val="nil"/>
                    <w:tr2bl w:val="nil"/>
                  </w:tcBorders>
                  <w:vAlign w:val="center"/>
                </w:tcPr>
                <w:p>
                  <w:pPr>
                    <w:pStyle w:val="102"/>
                    <w:rPr>
                      <w:highlight w:val="none"/>
                    </w:rPr>
                  </w:pPr>
                  <w:r>
                    <w:rPr>
                      <w:rFonts w:hint="eastAsia"/>
                      <w:highlight w:val="none"/>
                    </w:rPr>
                    <w:t>5</w:t>
                  </w:r>
                </w:p>
              </w:tc>
              <w:tc>
                <w:tcPr>
                  <w:tcW w:w="1258" w:type="dxa"/>
                  <w:tcBorders>
                    <w:tl2br w:val="nil"/>
                    <w:tr2bl w:val="nil"/>
                  </w:tcBorders>
                  <w:vAlign w:val="center"/>
                </w:tcPr>
                <w:p>
                  <w:pPr>
                    <w:pStyle w:val="102"/>
                    <w:rPr>
                      <w:highlight w:val="none"/>
                    </w:rPr>
                  </w:pPr>
                  <w:r>
                    <w:rPr>
                      <w:rFonts w:hint="eastAsia"/>
                      <w:highlight w:val="none"/>
                    </w:rPr>
                    <w:t>综合实验室</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9</w:t>
                  </w:r>
                </w:p>
              </w:tc>
              <w:tc>
                <w:tcPr>
                  <w:tcW w:w="1555" w:type="dxa"/>
                  <w:tcBorders>
                    <w:tl2br w:val="nil"/>
                    <w:tr2bl w:val="nil"/>
                  </w:tcBorders>
                  <w:vAlign w:val="center"/>
                </w:tcPr>
                <w:p>
                  <w:pPr>
                    <w:pStyle w:val="102"/>
                    <w:rPr>
                      <w:highlight w:val="none"/>
                    </w:rPr>
                  </w:pPr>
                  <w:r>
                    <w:rPr>
                      <w:rFonts w:hint="eastAsia"/>
                      <w:highlight w:val="none"/>
                    </w:rPr>
                    <w:t>PCA 平板计数琼脂</w:t>
                  </w:r>
                </w:p>
              </w:tc>
              <w:tc>
                <w:tcPr>
                  <w:tcW w:w="962" w:type="dxa"/>
                  <w:tcBorders>
                    <w:tl2br w:val="nil"/>
                    <w:tr2bl w:val="nil"/>
                  </w:tcBorders>
                  <w:vAlign w:val="center"/>
                </w:tcPr>
                <w:p>
                  <w:pPr>
                    <w:pStyle w:val="102"/>
                    <w:rPr>
                      <w:highlight w:val="none"/>
                    </w:rPr>
                  </w:pPr>
                  <w:r>
                    <w:rPr>
                      <w:rFonts w:hint="eastAsia"/>
                      <w:highlight w:val="none"/>
                    </w:rPr>
                    <w:t>克</w:t>
                  </w:r>
                </w:p>
              </w:tc>
              <w:tc>
                <w:tcPr>
                  <w:tcW w:w="884" w:type="dxa"/>
                  <w:tcBorders>
                    <w:tl2br w:val="nil"/>
                    <w:tr2bl w:val="nil"/>
                  </w:tcBorders>
                  <w:vAlign w:val="center"/>
                </w:tcPr>
                <w:p>
                  <w:pPr>
                    <w:pStyle w:val="102"/>
                    <w:rPr>
                      <w:highlight w:val="none"/>
                    </w:rPr>
                  </w:pPr>
                  <w:r>
                    <w:rPr>
                      <w:highlight w:val="none"/>
                    </w:rPr>
                    <w:t>500</w:t>
                  </w:r>
                  <w:r>
                    <w:rPr>
                      <w:rFonts w:hint="eastAsia"/>
                      <w:highlight w:val="none"/>
                    </w:rPr>
                    <w:t>0</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en-US" w:eastAsia="zh-CN"/>
                    </w:rPr>
                    <w:t>250g/</w:t>
                  </w:r>
                  <w:r>
                    <w:rPr>
                      <w:rFonts w:hint="eastAsia" w:ascii="Times New Roman" w:hAnsi="Times New Roman" w:eastAsia="宋体" w:cs="Times New Roman"/>
                      <w:color w:val="0000FF"/>
                      <w:highlight w:val="none"/>
                      <w:lang w:val="en-US" w:eastAsia="zh-CN"/>
                    </w:rPr>
                    <w:t>瓶</w:t>
                  </w:r>
                </w:p>
              </w:tc>
              <w:tc>
                <w:tcPr>
                  <w:tcW w:w="705" w:type="dxa"/>
                  <w:tcBorders>
                    <w:tl2br w:val="nil"/>
                    <w:tr2bl w:val="nil"/>
                  </w:tcBorders>
                  <w:vAlign w:val="center"/>
                </w:tcPr>
                <w:p>
                  <w:pPr>
                    <w:pStyle w:val="102"/>
                    <w:rPr>
                      <w:highlight w:val="none"/>
                    </w:rPr>
                  </w:pPr>
                  <w:r>
                    <w:rPr>
                      <w:rFonts w:hint="eastAsia"/>
                      <w:highlight w:val="none"/>
                    </w:rPr>
                    <w:t>固体</w:t>
                  </w:r>
                </w:p>
              </w:tc>
              <w:tc>
                <w:tcPr>
                  <w:tcW w:w="765" w:type="dxa"/>
                  <w:tcBorders>
                    <w:tl2br w:val="nil"/>
                    <w:tr2bl w:val="nil"/>
                  </w:tcBorders>
                  <w:vAlign w:val="center"/>
                </w:tcPr>
                <w:p>
                  <w:pPr>
                    <w:pStyle w:val="102"/>
                    <w:rPr>
                      <w:highlight w:val="none"/>
                    </w:rPr>
                  </w:pPr>
                  <w:r>
                    <w:rPr>
                      <w:rFonts w:hint="eastAsia"/>
                      <w:highlight w:val="none"/>
                    </w:rPr>
                    <w:t>2500</w:t>
                  </w:r>
                </w:p>
              </w:tc>
              <w:tc>
                <w:tcPr>
                  <w:tcW w:w="1258" w:type="dxa"/>
                  <w:tcBorders>
                    <w:tl2br w:val="nil"/>
                    <w:tr2bl w:val="nil"/>
                  </w:tcBorders>
                  <w:vAlign w:val="center"/>
                </w:tcPr>
                <w:p>
                  <w:pPr>
                    <w:pStyle w:val="102"/>
                    <w:rPr>
                      <w:highlight w:val="none"/>
                    </w:rPr>
                  </w:pPr>
                  <w:r>
                    <w:rPr>
                      <w:rFonts w:hint="eastAsia"/>
                      <w:highlight w:val="none"/>
                    </w:rPr>
                    <w:t>综合实验室</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10</w:t>
                  </w:r>
                </w:p>
              </w:tc>
              <w:tc>
                <w:tcPr>
                  <w:tcW w:w="1555" w:type="dxa"/>
                  <w:tcBorders>
                    <w:tl2br w:val="nil"/>
                    <w:tr2bl w:val="nil"/>
                  </w:tcBorders>
                  <w:vAlign w:val="center"/>
                </w:tcPr>
                <w:p>
                  <w:pPr>
                    <w:pStyle w:val="102"/>
                    <w:rPr>
                      <w:highlight w:val="none"/>
                    </w:rPr>
                  </w:pPr>
                  <w:r>
                    <w:rPr>
                      <w:rFonts w:hint="eastAsia"/>
                      <w:highlight w:val="none"/>
                    </w:rPr>
                    <w:t>月桂基硫酸盐胰蛋白胨肉汤（LST 培养基）</w:t>
                  </w:r>
                </w:p>
              </w:tc>
              <w:tc>
                <w:tcPr>
                  <w:tcW w:w="962" w:type="dxa"/>
                  <w:tcBorders>
                    <w:tl2br w:val="nil"/>
                    <w:tr2bl w:val="nil"/>
                  </w:tcBorders>
                  <w:vAlign w:val="center"/>
                </w:tcPr>
                <w:p>
                  <w:pPr>
                    <w:pStyle w:val="102"/>
                    <w:rPr>
                      <w:highlight w:val="none"/>
                    </w:rPr>
                  </w:pPr>
                  <w:r>
                    <w:rPr>
                      <w:rFonts w:hint="eastAsia"/>
                      <w:highlight w:val="none"/>
                    </w:rPr>
                    <w:t>克</w:t>
                  </w:r>
                </w:p>
              </w:tc>
              <w:tc>
                <w:tcPr>
                  <w:tcW w:w="884" w:type="dxa"/>
                  <w:tcBorders>
                    <w:tl2br w:val="nil"/>
                    <w:tr2bl w:val="nil"/>
                  </w:tcBorders>
                  <w:vAlign w:val="center"/>
                </w:tcPr>
                <w:p>
                  <w:pPr>
                    <w:pStyle w:val="102"/>
                    <w:rPr>
                      <w:rFonts w:hint="eastAsia" w:eastAsia="宋体"/>
                      <w:highlight w:val="none"/>
                      <w:lang w:val="en-US" w:eastAsia="zh-CN"/>
                    </w:rPr>
                  </w:pPr>
                  <w:r>
                    <w:rPr>
                      <w:highlight w:val="none"/>
                    </w:rPr>
                    <w:t>100</w:t>
                  </w:r>
                  <w:r>
                    <w:rPr>
                      <w:rFonts w:hint="eastAsia"/>
                      <w:highlight w:val="none"/>
                      <w:lang w:val="en-US" w:eastAsia="zh-CN"/>
                    </w:rPr>
                    <w:t>0</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en-US" w:eastAsia="zh-CN"/>
                    </w:rPr>
                    <w:t>250g/</w:t>
                  </w:r>
                  <w:r>
                    <w:rPr>
                      <w:rFonts w:hint="eastAsia" w:ascii="Times New Roman" w:hAnsi="Times New Roman" w:eastAsia="宋体" w:cs="Times New Roman"/>
                      <w:color w:val="0000FF"/>
                      <w:highlight w:val="none"/>
                      <w:lang w:val="en-US" w:eastAsia="zh-CN"/>
                    </w:rPr>
                    <w:t>瓶</w:t>
                  </w:r>
                </w:p>
              </w:tc>
              <w:tc>
                <w:tcPr>
                  <w:tcW w:w="705" w:type="dxa"/>
                  <w:tcBorders>
                    <w:tl2br w:val="nil"/>
                    <w:tr2bl w:val="nil"/>
                  </w:tcBorders>
                  <w:vAlign w:val="center"/>
                </w:tcPr>
                <w:p>
                  <w:pPr>
                    <w:pStyle w:val="102"/>
                    <w:rPr>
                      <w:highlight w:val="none"/>
                    </w:rPr>
                  </w:pPr>
                  <w:r>
                    <w:rPr>
                      <w:rFonts w:hint="eastAsia"/>
                      <w:highlight w:val="none"/>
                    </w:rPr>
                    <w:t>液体</w:t>
                  </w:r>
                </w:p>
              </w:tc>
              <w:tc>
                <w:tcPr>
                  <w:tcW w:w="765" w:type="dxa"/>
                  <w:tcBorders>
                    <w:tl2br w:val="nil"/>
                    <w:tr2bl w:val="nil"/>
                  </w:tcBorders>
                  <w:vAlign w:val="center"/>
                </w:tcPr>
                <w:p>
                  <w:pPr>
                    <w:pStyle w:val="102"/>
                    <w:rPr>
                      <w:rFonts w:hint="eastAsia" w:eastAsia="宋体"/>
                      <w:highlight w:val="none"/>
                      <w:lang w:val="en-US" w:eastAsia="zh-CN"/>
                    </w:rPr>
                  </w:pPr>
                  <w:r>
                    <w:rPr>
                      <w:rFonts w:hint="eastAsia"/>
                      <w:highlight w:val="none"/>
                    </w:rPr>
                    <w:t>50</w:t>
                  </w:r>
                  <w:r>
                    <w:rPr>
                      <w:rFonts w:hint="eastAsia"/>
                      <w:highlight w:val="none"/>
                      <w:lang w:val="en-US" w:eastAsia="zh-CN"/>
                    </w:rPr>
                    <w:t>0</w:t>
                  </w:r>
                </w:p>
              </w:tc>
              <w:tc>
                <w:tcPr>
                  <w:tcW w:w="1258" w:type="dxa"/>
                  <w:tcBorders>
                    <w:tl2br w:val="nil"/>
                    <w:tr2bl w:val="nil"/>
                  </w:tcBorders>
                  <w:vAlign w:val="center"/>
                </w:tcPr>
                <w:p>
                  <w:pPr>
                    <w:pStyle w:val="102"/>
                    <w:rPr>
                      <w:highlight w:val="none"/>
                    </w:rPr>
                  </w:pPr>
                  <w:r>
                    <w:rPr>
                      <w:rFonts w:hint="eastAsia"/>
                      <w:highlight w:val="none"/>
                    </w:rPr>
                    <w:t>综合实验室</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11</w:t>
                  </w:r>
                </w:p>
              </w:tc>
              <w:tc>
                <w:tcPr>
                  <w:tcW w:w="1555" w:type="dxa"/>
                  <w:tcBorders>
                    <w:tl2br w:val="nil"/>
                    <w:tr2bl w:val="nil"/>
                  </w:tcBorders>
                  <w:vAlign w:val="center"/>
                </w:tcPr>
                <w:p>
                  <w:pPr>
                    <w:pStyle w:val="102"/>
                    <w:rPr>
                      <w:highlight w:val="none"/>
                    </w:rPr>
                  </w:pPr>
                  <w:r>
                    <w:rPr>
                      <w:rFonts w:hint="eastAsia"/>
                      <w:highlight w:val="none"/>
                    </w:rPr>
                    <w:t>煌绿乳糖胆盐肉汤（BGLB 培养基）</w:t>
                  </w:r>
                </w:p>
              </w:tc>
              <w:tc>
                <w:tcPr>
                  <w:tcW w:w="962" w:type="dxa"/>
                  <w:tcBorders>
                    <w:tl2br w:val="nil"/>
                    <w:tr2bl w:val="nil"/>
                  </w:tcBorders>
                  <w:vAlign w:val="center"/>
                </w:tcPr>
                <w:p>
                  <w:pPr>
                    <w:pStyle w:val="102"/>
                    <w:rPr>
                      <w:highlight w:val="none"/>
                    </w:rPr>
                  </w:pPr>
                  <w:r>
                    <w:rPr>
                      <w:rFonts w:hint="eastAsia"/>
                      <w:highlight w:val="none"/>
                    </w:rPr>
                    <w:t>克</w:t>
                  </w:r>
                </w:p>
              </w:tc>
              <w:tc>
                <w:tcPr>
                  <w:tcW w:w="884" w:type="dxa"/>
                  <w:tcBorders>
                    <w:tl2br w:val="nil"/>
                    <w:tr2bl w:val="nil"/>
                  </w:tcBorders>
                  <w:vAlign w:val="center"/>
                </w:tcPr>
                <w:p>
                  <w:pPr>
                    <w:pStyle w:val="102"/>
                    <w:rPr>
                      <w:rFonts w:hint="eastAsia" w:eastAsia="宋体"/>
                      <w:highlight w:val="none"/>
                      <w:lang w:val="en-US" w:eastAsia="zh-CN"/>
                    </w:rPr>
                  </w:pPr>
                  <w:r>
                    <w:rPr>
                      <w:highlight w:val="none"/>
                    </w:rPr>
                    <w:t>500</w:t>
                  </w:r>
                  <w:r>
                    <w:rPr>
                      <w:rFonts w:hint="eastAsia"/>
                      <w:highlight w:val="none"/>
                      <w:lang w:val="en-US" w:eastAsia="zh-CN"/>
                    </w:rPr>
                    <w:t>0</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rPr>
                  </w:pPr>
                  <w:r>
                    <w:rPr>
                      <w:rFonts w:hint="default" w:ascii="Times New Roman" w:hAnsi="Times New Roman" w:eastAsia="宋体" w:cs="Times New Roman"/>
                      <w:color w:val="0000FF"/>
                      <w:highlight w:val="none"/>
                      <w:lang w:val="en-US" w:eastAsia="zh-CN"/>
                    </w:rPr>
                    <w:t>250g/</w:t>
                  </w:r>
                  <w:r>
                    <w:rPr>
                      <w:rFonts w:hint="eastAsia" w:ascii="Times New Roman" w:hAnsi="Times New Roman" w:eastAsia="宋体" w:cs="Times New Roman"/>
                      <w:color w:val="0000FF"/>
                      <w:highlight w:val="none"/>
                      <w:lang w:val="en-US" w:eastAsia="zh-CN"/>
                    </w:rPr>
                    <w:t>瓶</w:t>
                  </w:r>
                </w:p>
              </w:tc>
              <w:tc>
                <w:tcPr>
                  <w:tcW w:w="705" w:type="dxa"/>
                  <w:tcBorders>
                    <w:tl2br w:val="nil"/>
                    <w:tr2bl w:val="nil"/>
                  </w:tcBorders>
                  <w:vAlign w:val="center"/>
                </w:tcPr>
                <w:p>
                  <w:pPr>
                    <w:pStyle w:val="102"/>
                    <w:rPr>
                      <w:highlight w:val="none"/>
                    </w:rPr>
                  </w:pPr>
                  <w:r>
                    <w:rPr>
                      <w:rFonts w:hint="eastAsia"/>
                      <w:highlight w:val="none"/>
                    </w:rPr>
                    <w:t>液体</w:t>
                  </w:r>
                </w:p>
              </w:tc>
              <w:tc>
                <w:tcPr>
                  <w:tcW w:w="765" w:type="dxa"/>
                  <w:tcBorders>
                    <w:tl2br w:val="nil"/>
                    <w:tr2bl w:val="nil"/>
                  </w:tcBorders>
                  <w:vAlign w:val="center"/>
                </w:tcPr>
                <w:p>
                  <w:pPr>
                    <w:pStyle w:val="102"/>
                    <w:rPr>
                      <w:rFonts w:hint="eastAsia" w:eastAsia="宋体"/>
                      <w:highlight w:val="none"/>
                      <w:lang w:val="en-US" w:eastAsia="zh-CN"/>
                    </w:rPr>
                  </w:pPr>
                  <w:r>
                    <w:rPr>
                      <w:rFonts w:hint="eastAsia"/>
                      <w:highlight w:val="none"/>
                    </w:rPr>
                    <w:t>250</w:t>
                  </w:r>
                  <w:r>
                    <w:rPr>
                      <w:rFonts w:hint="eastAsia"/>
                      <w:highlight w:val="none"/>
                      <w:lang w:val="en-US" w:eastAsia="zh-CN"/>
                    </w:rPr>
                    <w:t>0</w:t>
                  </w:r>
                </w:p>
              </w:tc>
              <w:tc>
                <w:tcPr>
                  <w:tcW w:w="1258" w:type="dxa"/>
                  <w:tcBorders>
                    <w:tl2br w:val="nil"/>
                    <w:tr2bl w:val="nil"/>
                  </w:tcBorders>
                  <w:vAlign w:val="center"/>
                </w:tcPr>
                <w:p>
                  <w:pPr>
                    <w:pStyle w:val="102"/>
                    <w:rPr>
                      <w:highlight w:val="none"/>
                    </w:rPr>
                  </w:pPr>
                  <w:r>
                    <w:rPr>
                      <w:rFonts w:hint="eastAsia"/>
                      <w:highlight w:val="none"/>
                    </w:rPr>
                    <w:t>综合实验室</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565" w:type="dxa"/>
                  <w:gridSpan w:val="8"/>
                  <w:tcBorders>
                    <w:tl2br w:val="nil"/>
                    <w:tr2bl w:val="nil"/>
                  </w:tcBorders>
                  <w:vAlign w:val="center"/>
                </w:tcPr>
                <w:p>
                  <w:pPr>
                    <w:pStyle w:val="102"/>
                    <w:rPr>
                      <w:highlight w:val="none"/>
                    </w:rPr>
                  </w:pPr>
                  <w:r>
                    <w:rPr>
                      <w:rFonts w:hint="eastAsia"/>
                      <w:highlight w:val="none"/>
                    </w:rPr>
                    <w:t>能源</w:t>
                  </w:r>
                </w:p>
              </w:tc>
              <w:tc>
                <w:tcPr>
                  <w:tcW w:w="826" w:type="dxa"/>
                  <w:tcBorders>
                    <w:tl2br w:val="nil"/>
                    <w:tr2bl w:val="nil"/>
                  </w:tcBorders>
                  <w:vAlign w:val="center"/>
                </w:tcPr>
                <w:p>
                  <w:pPr>
                    <w:pStyle w:val="102"/>
                    <w:rPr>
                      <w:rFonts w:hint="eastAsia"/>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12</w:t>
                  </w:r>
                </w:p>
              </w:tc>
              <w:tc>
                <w:tcPr>
                  <w:tcW w:w="1555" w:type="dxa"/>
                  <w:tcBorders>
                    <w:tl2br w:val="nil"/>
                    <w:tr2bl w:val="nil"/>
                  </w:tcBorders>
                  <w:vAlign w:val="center"/>
                </w:tcPr>
                <w:p>
                  <w:pPr>
                    <w:pStyle w:val="102"/>
                    <w:rPr>
                      <w:highlight w:val="none"/>
                    </w:rPr>
                  </w:pPr>
                  <w:r>
                    <w:rPr>
                      <w:rFonts w:hint="eastAsia"/>
                      <w:highlight w:val="none"/>
                    </w:rPr>
                    <w:t>水</w:t>
                  </w:r>
                </w:p>
              </w:tc>
              <w:tc>
                <w:tcPr>
                  <w:tcW w:w="962" w:type="dxa"/>
                  <w:tcBorders>
                    <w:tl2br w:val="nil"/>
                    <w:tr2bl w:val="nil"/>
                  </w:tcBorders>
                  <w:vAlign w:val="center"/>
                </w:tcPr>
                <w:p>
                  <w:pPr>
                    <w:pStyle w:val="102"/>
                    <w:rPr>
                      <w:highlight w:val="none"/>
                    </w:rPr>
                  </w:pPr>
                  <w:r>
                    <w:rPr>
                      <w:rFonts w:hint="eastAsia"/>
                      <w:highlight w:val="none"/>
                    </w:rPr>
                    <w:t>吨/年</w:t>
                  </w:r>
                </w:p>
              </w:tc>
              <w:tc>
                <w:tcPr>
                  <w:tcW w:w="884" w:type="dxa"/>
                  <w:tcBorders>
                    <w:tl2br w:val="nil"/>
                    <w:tr2bl w:val="nil"/>
                  </w:tcBorders>
                  <w:vAlign w:val="center"/>
                </w:tcPr>
                <w:p>
                  <w:pPr>
                    <w:pStyle w:val="102"/>
                    <w:rPr>
                      <w:highlight w:val="none"/>
                    </w:rPr>
                  </w:pPr>
                  <w:r>
                    <w:rPr>
                      <w:rFonts w:hint="eastAsia"/>
                      <w:highlight w:val="none"/>
                    </w:rPr>
                    <w:t>4.65万</w:t>
                  </w:r>
                </w:p>
              </w:tc>
              <w:tc>
                <w:tcPr>
                  <w:tcW w:w="962" w:type="dxa"/>
                  <w:tcBorders>
                    <w:tl2br w:val="nil"/>
                    <w:tr2bl w:val="nil"/>
                  </w:tcBorders>
                  <w:vAlign w:val="center"/>
                </w:tcPr>
                <w:p>
                  <w:pPr>
                    <w:pStyle w:val="102"/>
                    <w:rPr>
                      <w:rFonts w:hint="eastAsia" w:eastAsia="宋体"/>
                      <w:highlight w:val="none"/>
                      <w:lang w:val="en-US" w:eastAsia="zh-CN"/>
                    </w:rPr>
                  </w:pPr>
                  <w:r>
                    <w:rPr>
                      <w:rFonts w:hint="eastAsia"/>
                      <w:highlight w:val="none"/>
                      <w:lang w:val="en-US" w:eastAsia="zh-CN"/>
                    </w:rPr>
                    <w:t>/</w:t>
                  </w:r>
                </w:p>
              </w:tc>
              <w:tc>
                <w:tcPr>
                  <w:tcW w:w="705" w:type="dxa"/>
                  <w:tcBorders>
                    <w:tl2br w:val="nil"/>
                    <w:tr2bl w:val="nil"/>
                  </w:tcBorders>
                  <w:vAlign w:val="center"/>
                </w:tcPr>
                <w:p>
                  <w:pPr>
                    <w:pStyle w:val="102"/>
                    <w:rPr>
                      <w:highlight w:val="none"/>
                    </w:rPr>
                  </w:pPr>
                  <w:r>
                    <w:rPr>
                      <w:rFonts w:hint="eastAsia"/>
                      <w:highlight w:val="none"/>
                    </w:rPr>
                    <w:t>/</w:t>
                  </w:r>
                </w:p>
              </w:tc>
              <w:tc>
                <w:tcPr>
                  <w:tcW w:w="765" w:type="dxa"/>
                  <w:tcBorders>
                    <w:tl2br w:val="nil"/>
                    <w:tr2bl w:val="nil"/>
                  </w:tcBorders>
                  <w:vAlign w:val="center"/>
                </w:tcPr>
                <w:p>
                  <w:pPr>
                    <w:pStyle w:val="102"/>
                    <w:rPr>
                      <w:highlight w:val="none"/>
                    </w:rPr>
                  </w:pPr>
                  <w:r>
                    <w:rPr>
                      <w:rFonts w:hint="eastAsia"/>
                      <w:highlight w:val="none"/>
                    </w:rPr>
                    <w:t>/</w:t>
                  </w:r>
                </w:p>
              </w:tc>
              <w:tc>
                <w:tcPr>
                  <w:tcW w:w="1258" w:type="dxa"/>
                  <w:tcBorders>
                    <w:tl2br w:val="nil"/>
                    <w:tr2bl w:val="nil"/>
                  </w:tcBorders>
                  <w:vAlign w:val="center"/>
                </w:tcPr>
                <w:p>
                  <w:pPr>
                    <w:pStyle w:val="102"/>
                    <w:rPr>
                      <w:highlight w:val="none"/>
                    </w:rPr>
                  </w:pPr>
                  <w:r>
                    <w:rPr>
                      <w:rFonts w:hint="eastAsia"/>
                      <w:highlight w:val="none"/>
                    </w:rPr>
                    <w:t>/</w:t>
                  </w:r>
                </w:p>
              </w:tc>
              <w:tc>
                <w:tcPr>
                  <w:tcW w:w="826" w:type="dxa"/>
                  <w:tcBorders>
                    <w:tl2br w:val="nil"/>
                    <w:tr2bl w:val="nil"/>
                  </w:tcBorders>
                  <w:vAlign w:val="center"/>
                </w:tcPr>
                <w:p>
                  <w:pPr>
                    <w:pStyle w:val="102"/>
                    <w:rPr>
                      <w:highlight w:val="none"/>
                    </w:rPr>
                  </w:pPr>
                  <w:r>
                    <w:rPr>
                      <w:rFonts w:hint="eastAsia"/>
                      <w:highlight w:val="none"/>
                    </w:rPr>
                    <w:t>供水管网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74" w:type="dxa"/>
                  <w:tcBorders>
                    <w:tl2br w:val="nil"/>
                    <w:tr2bl w:val="nil"/>
                  </w:tcBorders>
                  <w:vAlign w:val="center"/>
                </w:tcPr>
                <w:p>
                  <w:pPr>
                    <w:pStyle w:val="102"/>
                    <w:rPr>
                      <w:highlight w:val="none"/>
                    </w:rPr>
                  </w:pPr>
                  <w:r>
                    <w:rPr>
                      <w:rFonts w:hint="eastAsia"/>
                      <w:highlight w:val="none"/>
                    </w:rPr>
                    <w:t>13</w:t>
                  </w:r>
                </w:p>
              </w:tc>
              <w:tc>
                <w:tcPr>
                  <w:tcW w:w="1555" w:type="dxa"/>
                  <w:tcBorders>
                    <w:tl2br w:val="nil"/>
                    <w:tr2bl w:val="nil"/>
                  </w:tcBorders>
                  <w:vAlign w:val="center"/>
                </w:tcPr>
                <w:p>
                  <w:pPr>
                    <w:pStyle w:val="102"/>
                    <w:rPr>
                      <w:highlight w:val="none"/>
                    </w:rPr>
                  </w:pPr>
                  <w:r>
                    <w:rPr>
                      <w:rFonts w:hint="eastAsia"/>
                      <w:highlight w:val="none"/>
                    </w:rPr>
                    <w:t>电</w:t>
                  </w:r>
                </w:p>
              </w:tc>
              <w:tc>
                <w:tcPr>
                  <w:tcW w:w="962" w:type="dxa"/>
                  <w:tcBorders>
                    <w:tl2br w:val="nil"/>
                    <w:tr2bl w:val="nil"/>
                  </w:tcBorders>
                  <w:vAlign w:val="center"/>
                </w:tcPr>
                <w:p>
                  <w:pPr>
                    <w:pStyle w:val="102"/>
                    <w:rPr>
                      <w:highlight w:val="none"/>
                    </w:rPr>
                  </w:pPr>
                  <w:r>
                    <w:rPr>
                      <w:rFonts w:hint="eastAsia"/>
                      <w:highlight w:val="none"/>
                    </w:rPr>
                    <w:t>千瓦时/年</w:t>
                  </w:r>
                </w:p>
              </w:tc>
              <w:tc>
                <w:tcPr>
                  <w:tcW w:w="884" w:type="dxa"/>
                  <w:tcBorders>
                    <w:tl2br w:val="nil"/>
                    <w:tr2bl w:val="nil"/>
                  </w:tcBorders>
                  <w:vAlign w:val="center"/>
                </w:tcPr>
                <w:p>
                  <w:pPr>
                    <w:pStyle w:val="102"/>
                    <w:rPr>
                      <w:highlight w:val="none"/>
                    </w:rPr>
                  </w:pPr>
                  <w:r>
                    <w:rPr>
                      <w:rFonts w:hint="eastAsia"/>
                      <w:highlight w:val="none"/>
                    </w:rPr>
                    <w:t>1245万</w:t>
                  </w:r>
                </w:p>
              </w:tc>
              <w:tc>
                <w:tcPr>
                  <w:tcW w:w="962" w:type="dxa"/>
                  <w:tcBorders>
                    <w:tl2br w:val="nil"/>
                    <w:tr2bl w:val="nil"/>
                  </w:tcBorders>
                  <w:vAlign w:val="center"/>
                </w:tcPr>
                <w:p>
                  <w:pPr>
                    <w:pStyle w:val="102"/>
                    <w:rPr>
                      <w:rFonts w:hint="eastAsia" w:eastAsia="宋体"/>
                      <w:highlight w:val="none"/>
                      <w:lang w:val="en-US" w:eastAsia="zh-CN"/>
                    </w:rPr>
                  </w:pPr>
                  <w:r>
                    <w:rPr>
                      <w:rFonts w:hint="eastAsia"/>
                      <w:highlight w:val="none"/>
                      <w:lang w:val="en-US" w:eastAsia="zh-CN"/>
                    </w:rPr>
                    <w:t>/</w:t>
                  </w:r>
                </w:p>
              </w:tc>
              <w:tc>
                <w:tcPr>
                  <w:tcW w:w="705" w:type="dxa"/>
                  <w:tcBorders>
                    <w:tl2br w:val="nil"/>
                    <w:tr2bl w:val="nil"/>
                  </w:tcBorders>
                  <w:vAlign w:val="center"/>
                </w:tcPr>
                <w:p>
                  <w:pPr>
                    <w:pStyle w:val="102"/>
                    <w:rPr>
                      <w:highlight w:val="none"/>
                    </w:rPr>
                  </w:pPr>
                  <w:r>
                    <w:rPr>
                      <w:rFonts w:hint="eastAsia"/>
                      <w:highlight w:val="none"/>
                    </w:rPr>
                    <w:t>/</w:t>
                  </w:r>
                </w:p>
              </w:tc>
              <w:tc>
                <w:tcPr>
                  <w:tcW w:w="765" w:type="dxa"/>
                  <w:tcBorders>
                    <w:tl2br w:val="nil"/>
                    <w:tr2bl w:val="nil"/>
                  </w:tcBorders>
                  <w:vAlign w:val="center"/>
                </w:tcPr>
                <w:p>
                  <w:pPr>
                    <w:pStyle w:val="102"/>
                    <w:rPr>
                      <w:highlight w:val="none"/>
                    </w:rPr>
                  </w:pPr>
                  <w:r>
                    <w:rPr>
                      <w:rFonts w:hint="eastAsia"/>
                      <w:highlight w:val="none"/>
                    </w:rPr>
                    <w:t>/</w:t>
                  </w:r>
                </w:p>
              </w:tc>
              <w:tc>
                <w:tcPr>
                  <w:tcW w:w="1258" w:type="dxa"/>
                  <w:tcBorders>
                    <w:tl2br w:val="nil"/>
                    <w:tr2bl w:val="nil"/>
                  </w:tcBorders>
                  <w:vAlign w:val="center"/>
                </w:tcPr>
                <w:p>
                  <w:pPr>
                    <w:pStyle w:val="102"/>
                    <w:rPr>
                      <w:highlight w:val="none"/>
                    </w:rPr>
                  </w:pPr>
                  <w:r>
                    <w:rPr>
                      <w:rFonts w:hint="eastAsia"/>
                      <w:highlight w:val="none"/>
                    </w:rPr>
                    <w:t>/</w:t>
                  </w:r>
                </w:p>
              </w:tc>
              <w:tc>
                <w:tcPr>
                  <w:tcW w:w="826" w:type="dxa"/>
                  <w:tcBorders>
                    <w:tl2br w:val="nil"/>
                    <w:tr2bl w:val="nil"/>
                  </w:tcBorders>
                  <w:vAlign w:val="center"/>
                </w:tcPr>
                <w:p>
                  <w:pPr>
                    <w:pStyle w:val="102"/>
                    <w:rPr>
                      <w:highlight w:val="none"/>
                    </w:rPr>
                  </w:pPr>
                  <w:r>
                    <w:rPr>
                      <w:rFonts w:hint="eastAsia"/>
                      <w:highlight w:val="none"/>
                    </w:rPr>
                    <w:t>供电</w:t>
                  </w:r>
                  <w:r>
                    <w:rPr>
                      <w:highlight w:val="none"/>
                    </w:rPr>
                    <w:t>线路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r>
                    <w:rPr>
                      <w:rFonts w:hint="eastAsia"/>
                      <w:highlight w:val="none"/>
                    </w:rPr>
                    <w:t>14</w:t>
                  </w:r>
                </w:p>
              </w:tc>
              <w:tc>
                <w:tcPr>
                  <w:tcW w:w="1555" w:type="dxa"/>
                  <w:tcBorders>
                    <w:tl2br w:val="nil"/>
                    <w:tr2bl w:val="nil"/>
                  </w:tcBorders>
                  <w:vAlign w:val="center"/>
                </w:tcPr>
                <w:p>
                  <w:pPr>
                    <w:pStyle w:val="102"/>
                    <w:rPr>
                      <w:highlight w:val="none"/>
                    </w:rPr>
                  </w:pPr>
                  <w:r>
                    <w:rPr>
                      <w:rFonts w:hint="eastAsia"/>
                      <w:highlight w:val="none"/>
                    </w:rPr>
                    <w:t>成型生物质颗粒</w:t>
                  </w:r>
                </w:p>
              </w:tc>
              <w:tc>
                <w:tcPr>
                  <w:tcW w:w="962" w:type="dxa"/>
                  <w:tcBorders>
                    <w:tl2br w:val="nil"/>
                    <w:tr2bl w:val="nil"/>
                  </w:tcBorders>
                  <w:vAlign w:val="center"/>
                </w:tcPr>
                <w:p>
                  <w:pPr>
                    <w:pStyle w:val="102"/>
                    <w:rPr>
                      <w:highlight w:val="none"/>
                    </w:rPr>
                  </w:pPr>
                  <w:r>
                    <w:rPr>
                      <w:rFonts w:hint="eastAsia"/>
                      <w:highlight w:val="none"/>
                    </w:rPr>
                    <w:t>吨/年</w:t>
                  </w:r>
                </w:p>
              </w:tc>
              <w:tc>
                <w:tcPr>
                  <w:tcW w:w="88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1611</w:t>
                  </w:r>
                </w:p>
              </w:tc>
              <w:tc>
                <w:tcPr>
                  <w:tcW w:w="962" w:type="dxa"/>
                  <w:tcBorders>
                    <w:tl2br w:val="nil"/>
                    <w:tr2bl w:val="nil"/>
                  </w:tcBorders>
                  <w:vAlign w:val="center"/>
                </w:tcPr>
                <w:p>
                  <w:pPr>
                    <w:pStyle w:val="102"/>
                    <w:rPr>
                      <w:rFonts w:hint="eastAsia"/>
                      <w:highlight w:val="none"/>
                    </w:rPr>
                  </w:pPr>
                  <w:r>
                    <w:rPr>
                      <w:rFonts w:hint="default" w:ascii="Times New Roman" w:hAnsi="Times New Roman" w:eastAsia="宋体" w:cs="Times New Roman"/>
                      <w:color w:val="0000FF"/>
                      <w:highlight w:val="none"/>
                      <w:lang w:val="en-US" w:eastAsia="zh-CN"/>
                    </w:rPr>
                    <w:t xml:space="preserve">100kg/ </w:t>
                  </w:r>
                  <w:r>
                    <w:rPr>
                      <w:rFonts w:hint="eastAsia" w:ascii="Times New Roman" w:hAnsi="Times New Roman" w:eastAsia="宋体" w:cs="Times New Roman"/>
                      <w:color w:val="0000FF"/>
                      <w:highlight w:val="none"/>
                      <w:lang w:val="en-US" w:eastAsia="zh-CN"/>
                    </w:rPr>
                    <w:t>袋</w:t>
                  </w:r>
                </w:p>
              </w:tc>
              <w:tc>
                <w:tcPr>
                  <w:tcW w:w="705" w:type="dxa"/>
                  <w:tcBorders>
                    <w:tl2br w:val="nil"/>
                    <w:tr2bl w:val="nil"/>
                  </w:tcBorders>
                  <w:vAlign w:val="center"/>
                </w:tcPr>
                <w:p>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固态</w:t>
                  </w:r>
                </w:p>
              </w:tc>
              <w:tc>
                <w:tcPr>
                  <w:tcW w:w="765"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50</w:t>
                  </w:r>
                </w:p>
              </w:tc>
              <w:tc>
                <w:tcPr>
                  <w:tcW w:w="1258" w:type="dxa"/>
                  <w:tcBorders>
                    <w:tl2br w:val="nil"/>
                    <w:tr2bl w:val="nil"/>
                  </w:tcBorders>
                  <w:vAlign w:val="center"/>
                </w:tcPr>
                <w:p>
                  <w:pPr>
                    <w:pStyle w:val="102"/>
                    <w:rPr>
                      <w:rFonts w:hint="default"/>
                      <w:highlight w:val="none"/>
                      <w:lang w:val="en-US"/>
                    </w:rPr>
                  </w:pPr>
                  <w:r>
                    <w:rPr>
                      <w:rFonts w:hint="eastAsia"/>
                      <w:color w:val="0000FF"/>
                      <w:kern w:val="0"/>
                      <w:szCs w:val="21"/>
                      <w:highlight w:val="none"/>
                      <w:lang w:val="en-US" w:eastAsia="zh-CN" w:bidi="ar"/>
                    </w:rPr>
                    <w:t>生物质燃料仓库</w:t>
                  </w:r>
                </w:p>
              </w:tc>
              <w:tc>
                <w:tcPr>
                  <w:tcW w:w="826" w:type="dxa"/>
                  <w:tcBorders>
                    <w:tl2br w:val="nil"/>
                    <w:tr2bl w:val="nil"/>
                  </w:tcBorders>
                  <w:vAlign w:val="center"/>
                </w:tcPr>
                <w:p>
                  <w:pPr>
                    <w:pStyle w:val="102"/>
                    <w:rPr>
                      <w:highlight w:val="none"/>
                    </w:rPr>
                  </w:pPr>
                  <w:r>
                    <w:rPr>
                      <w:rFonts w:hint="eastAsia"/>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highlight w:val="none"/>
                    </w:rPr>
                  </w:pPr>
                </w:p>
              </w:tc>
              <w:tc>
                <w:tcPr>
                  <w:tcW w:w="7091" w:type="dxa"/>
                  <w:gridSpan w:val="7"/>
                  <w:tcBorders>
                    <w:tl2br w:val="nil"/>
                    <w:tr2bl w:val="nil"/>
                  </w:tcBorders>
                  <w:vAlign w:val="center"/>
                </w:tcPr>
                <w:p>
                  <w:pPr>
                    <w:pStyle w:val="102"/>
                    <w:rPr>
                      <w:highlight w:val="none"/>
                    </w:rPr>
                  </w:pPr>
                  <w:r>
                    <w:rPr>
                      <w:rFonts w:hint="eastAsia"/>
                      <w:highlight w:val="none"/>
                    </w:rPr>
                    <w:t>污水处理用药剂</w:t>
                  </w:r>
                </w:p>
              </w:tc>
              <w:tc>
                <w:tcPr>
                  <w:tcW w:w="826" w:type="dxa"/>
                  <w:tcBorders>
                    <w:tl2br w:val="nil"/>
                    <w:tr2bl w:val="nil"/>
                  </w:tcBorders>
                  <w:vAlign w:val="center"/>
                </w:tcPr>
                <w:p>
                  <w:pPr>
                    <w:pStyle w:val="102"/>
                    <w:rPr>
                      <w:rFonts w:hint="eastAsia"/>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color w:val="0000FF"/>
                      <w:highlight w:val="none"/>
                    </w:rPr>
                  </w:pPr>
                  <w:r>
                    <w:rPr>
                      <w:rFonts w:hint="eastAsia"/>
                      <w:color w:val="0000FF"/>
                      <w:highlight w:val="none"/>
                    </w:rPr>
                    <w:t>16</w:t>
                  </w:r>
                </w:p>
              </w:tc>
              <w:tc>
                <w:tcPr>
                  <w:tcW w:w="155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次氯酸钠（10%）</w:t>
                  </w:r>
                </w:p>
              </w:tc>
              <w:tc>
                <w:tcPr>
                  <w:tcW w:w="962" w:type="dxa"/>
                  <w:tcBorders>
                    <w:tl2br w:val="nil"/>
                    <w:tr2bl w:val="nil"/>
                  </w:tcBorders>
                  <w:vAlign w:val="center"/>
                </w:tcPr>
                <w:p>
                  <w:pPr>
                    <w:pStyle w:val="102"/>
                    <w:rPr>
                      <w:color w:val="0000FF"/>
                      <w:highlight w:val="none"/>
                    </w:rPr>
                  </w:pPr>
                  <w:r>
                    <w:rPr>
                      <w:rFonts w:hint="eastAsia"/>
                      <w:color w:val="0000FF"/>
                      <w:highlight w:val="none"/>
                    </w:rPr>
                    <w:t>吨/年</w:t>
                  </w:r>
                </w:p>
              </w:tc>
              <w:tc>
                <w:tcPr>
                  <w:tcW w:w="88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5.71</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lang w:val="en-US" w:eastAsia="zh-CN"/>
                    </w:rPr>
                  </w:pPr>
                  <w:r>
                    <w:rPr>
                      <w:rFonts w:hint="default" w:ascii="Times New Roman" w:hAnsi="Times New Roman" w:eastAsia="宋体" w:cs="Times New Roman"/>
                      <w:color w:val="0000FF"/>
                      <w:highlight w:val="none"/>
                      <w:lang w:val="en-US" w:eastAsia="zh-CN"/>
                    </w:rPr>
                    <w:t>5kg/</w:t>
                  </w:r>
                  <w:r>
                    <w:rPr>
                      <w:rFonts w:hint="eastAsia" w:ascii="Times New Roman" w:hAnsi="Times New Roman" w:eastAsia="宋体" w:cs="Times New Roman"/>
                      <w:color w:val="0000FF"/>
                      <w:highlight w:val="none"/>
                      <w:lang w:val="en-US" w:eastAsia="zh-CN"/>
                    </w:rPr>
                    <w:t>桶</w:t>
                  </w:r>
                </w:p>
              </w:tc>
              <w:tc>
                <w:tcPr>
                  <w:tcW w:w="705" w:type="dxa"/>
                  <w:tcBorders>
                    <w:tl2br w:val="nil"/>
                    <w:tr2bl w:val="nil"/>
                  </w:tcBorders>
                  <w:vAlign w:val="center"/>
                </w:tcPr>
                <w:p>
                  <w:pPr>
                    <w:pStyle w:val="102"/>
                    <w:rPr>
                      <w:color w:val="0000FF"/>
                      <w:highlight w:val="none"/>
                    </w:rPr>
                  </w:pPr>
                  <w:r>
                    <w:rPr>
                      <w:rFonts w:hint="eastAsia"/>
                      <w:color w:val="0000FF"/>
                      <w:highlight w:val="none"/>
                    </w:rPr>
                    <w:t>液态</w:t>
                  </w:r>
                </w:p>
              </w:tc>
              <w:tc>
                <w:tcPr>
                  <w:tcW w:w="76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1.0</w:t>
                  </w:r>
                </w:p>
              </w:tc>
              <w:tc>
                <w:tcPr>
                  <w:tcW w:w="1258"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污水处理站</w:t>
                  </w:r>
                </w:p>
              </w:tc>
              <w:tc>
                <w:tcPr>
                  <w:tcW w:w="826" w:type="dxa"/>
                  <w:tcBorders>
                    <w:tl2br w:val="nil"/>
                    <w:tr2bl w:val="nil"/>
                  </w:tcBorders>
                  <w:vAlign w:val="center"/>
                </w:tcPr>
                <w:p>
                  <w:pPr>
                    <w:pStyle w:val="102"/>
                    <w:rPr>
                      <w:color w:val="0000FF"/>
                      <w:highlight w:val="none"/>
                    </w:rPr>
                  </w:pPr>
                  <w:r>
                    <w:rPr>
                      <w:rFonts w:hint="eastAsia"/>
                      <w:color w:val="0000FF"/>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17</w:t>
                  </w:r>
                </w:p>
              </w:tc>
              <w:tc>
                <w:tcPr>
                  <w:tcW w:w="1555"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柠檬酸（99%）</w:t>
                  </w:r>
                </w:p>
              </w:tc>
              <w:tc>
                <w:tcPr>
                  <w:tcW w:w="962" w:type="dxa"/>
                  <w:tcBorders>
                    <w:tl2br w:val="nil"/>
                    <w:tr2bl w:val="nil"/>
                  </w:tcBorders>
                  <w:vAlign w:val="center"/>
                </w:tcPr>
                <w:p>
                  <w:pPr>
                    <w:pStyle w:val="102"/>
                    <w:rPr>
                      <w:rFonts w:hint="eastAsia"/>
                      <w:color w:val="0000FF"/>
                      <w:highlight w:val="none"/>
                    </w:rPr>
                  </w:pPr>
                  <w:r>
                    <w:rPr>
                      <w:rFonts w:hint="eastAsia"/>
                      <w:color w:val="0000FF"/>
                      <w:highlight w:val="none"/>
                    </w:rPr>
                    <w:t>吨/年</w:t>
                  </w:r>
                </w:p>
              </w:tc>
              <w:tc>
                <w:tcPr>
                  <w:tcW w:w="88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0.19</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lang w:val="en-US" w:eastAsia="zh-CN"/>
                    </w:rPr>
                  </w:pPr>
                  <w:r>
                    <w:rPr>
                      <w:rFonts w:hint="default" w:ascii="Times New Roman" w:hAnsi="Times New Roman" w:eastAsia="宋体" w:cs="Times New Roman"/>
                      <w:color w:val="0000FF"/>
                      <w:highlight w:val="none"/>
                      <w:lang w:val="en-US" w:eastAsia="zh-CN"/>
                    </w:rPr>
                    <w:t>25kg/</w:t>
                  </w:r>
                  <w:r>
                    <w:rPr>
                      <w:rFonts w:hint="eastAsia" w:ascii="Times New Roman" w:hAnsi="Times New Roman" w:eastAsia="宋体" w:cs="Times New Roman"/>
                      <w:color w:val="0000FF"/>
                      <w:highlight w:val="none"/>
                      <w:lang w:val="en-US" w:eastAsia="zh-CN"/>
                    </w:rPr>
                    <w:t>袋</w:t>
                  </w:r>
                </w:p>
              </w:tc>
              <w:tc>
                <w:tcPr>
                  <w:tcW w:w="70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固态</w:t>
                  </w:r>
                </w:p>
              </w:tc>
              <w:tc>
                <w:tcPr>
                  <w:tcW w:w="765" w:type="dxa"/>
                  <w:tcBorders>
                    <w:tl2br w:val="nil"/>
                    <w:tr2bl w:val="nil"/>
                  </w:tcBorders>
                  <w:vAlign w:val="center"/>
                </w:tcPr>
                <w:p>
                  <w:pPr>
                    <w:pStyle w:val="102"/>
                    <w:rPr>
                      <w:rFonts w:hint="eastAsia"/>
                      <w:color w:val="0000FF"/>
                      <w:highlight w:val="none"/>
                    </w:rPr>
                  </w:pPr>
                  <w:r>
                    <w:rPr>
                      <w:rFonts w:hint="eastAsia"/>
                      <w:color w:val="0000FF"/>
                      <w:highlight w:val="none"/>
                    </w:rPr>
                    <w:t>0.05</w:t>
                  </w:r>
                </w:p>
              </w:tc>
              <w:tc>
                <w:tcPr>
                  <w:tcW w:w="1258" w:type="dxa"/>
                  <w:tcBorders>
                    <w:tl2br w:val="nil"/>
                    <w:tr2bl w:val="nil"/>
                  </w:tcBorders>
                  <w:vAlign w:val="center"/>
                </w:tcPr>
                <w:p>
                  <w:pPr>
                    <w:pStyle w:val="102"/>
                    <w:rPr>
                      <w:rFonts w:hint="eastAsia"/>
                      <w:color w:val="0000FF"/>
                      <w:highlight w:val="none"/>
                    </w:rPr>
                  </w:pPr>
                  <w:r>
                    <w:rPr>
                      <w:rFonts w:hint="eastAsia"/>
                      <w:color w:val="0000FF"/>
                      <w:highlight w:val="none"/>
                      <w:lang w:val="en-US" w:eastAsia="zh-CN"/>
                    </w:rPr>
                    <w:t>污水处理站</w:t>
                  </w:r>
                </w:p>
              </w:tc>
              <w:tc>
                <w:tcPr>
                  <w:tcW w:w="826" w:type="dxa"/>
                  <w:tcBorders>
                    <w:tl2br w:val="nil"/>
                    <w:tr2bl w:val="nil"/>
                  </w:tcBorders>
                  <w:vAlign w:val="center"/>
                </w:tcPr>
                <w:p>
                  <w:pPr>
                    <w:pStyle w:val="102"/>
                    <w:rPr>
                      <w:rFonts w:hint="eastAsia"/>
                      <w:color w:val="0000FF"/>
                      <w:highlight w:val="none"/>
                    </w:rPr>
                  </w:pPr>
                  <w:r>
                    <w:rPr>
                      <w:rFonts w:hint="eastAsia"/>
                      <w:color w:val="0000FF"/>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18</w:t>
                  </w:r>
                </w:p>
              </w:tc>
              <w:tc>
                <w:tcPr>
                  <w:tcW w:w="155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PAC（10%)</w:t>
                  </w:r>
                </w:p>
              </w:tc>
              <w:tc>
                <w:tcPr>
                  <w:tcW w:w="962" w:type="dxa"/>
                  <w:tcBorders>
                    <w:tl2br w:val="nil"/>
                    <w:tr2bl w:val="nil"/>
                  </w:tcBorders>
                  <w:vAlign w:val="center"/>
                </w:tcPr>
                <w:p>
                  <w:pPr>
                    <w:pStyle w:val="102"/>
                    <w:rPr>
                      <w:rFonts w:hint="eastAsia"/>
                      <w:color w:val="0000FF"/>
                      <w:highlight w:val="none"/>
                    </w:rPr>
                  </w:pPr>
                  <w:r>
                    <w:rPr>
                      <w:rFonts w:hint="eastAsia"/>
                      <w:color w:val="0000FF"/>
                      <w:highlight w:val="none"/>
                    </w:rPr>
                    <w:t>吨/年</w:t>
                  </w:r>
                </w:p>
              </w:tc>
              <w:tc>
                <w:tcPr>
                  <w:tcW w:w="88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14.19</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lang w:val="en-US" w:eastAsia="zh-CN"/>
                    </w:rPr>
                  </w:pPr>
                  <w:r>
                    <w:rPr>
                      <w:rFonts w:hint="default" w:ascii="Times New Roman" w:hAnsi="Times New Roman" w:eastAsia="宋体" w:cs="Times New Roman"/>
                      <w:color w:val="0000FF"/>
                      <w:highlight w:val="none"/>
                      <w:lang w:val="en-US" w:eastAsia="zh-CN"/>
                    </w:rPr>
                    <w:t>25kg/</w:t>
                  </w:r>
                  <w:r>
                    <w:rPr>
                      <w:rFonts w:hint="eastAsia" w:ascii="Times New Roman" w:hAnsi="Times New Roman" w:eastAsia="宋体" w:cs="Times New Roman"/>
                      <w:color w:val="0000FF"/>
                      <w:highlight w:val="none"/>
                      <w:lang w:val="en-US" w:eastAsia="zh-CN"/>
                    </w:rPr>
                    <w:t>袋</w:t>
                  </w:r>
                </w:p>
              </w:tc>
              <w:tc>
                <w:tcPr>
                  <w:tcW w:w="705"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固态</w:t>
                  </w:r>
                </w:p>
              </w:tc>
              <w:tc>
                <w:tcPr>
                  <w:tcW w:w="76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1.0</w:t>
                  </w:r>
                </w:p>
              </w:tc>
              <w:tc>
                <w:tcPr>
                  <w:tcW w:w="1258" w:type="dxa"/>
                  <w:tcBorders>
                    <w:tl2br w:val="nil"/>
                    <w:tr2bl w:val="nil"/>
                  </w:tcBorders>
                  <w:vAlign w:val="center"/>
                </w:tcPr>
                <w:p>
                  <w:pPr>
                    <w:pStyle w:val="102"/>
                    <w:rPr>
                      <w:rFonts w:hint="eastAsia"/>
                      <w:color w:val="0000FF"/>
                      <w:highlight w:val="none"/>
                    </w:rPr>
                  </w:pPr>
                  <w:r>
                    <w:rPr>
                      <w:rFonts w:hint="eastAsia"/>
                      <w:color w:val="0000FF"/>
                      <w:highlight w:val="none"/>
                      <w:lang w:val="en-US" w:eastAsia="zh-CN"/>
                    </w:rPr>
                    <w:t>污水处理站</w:t>
                  </w:r>
                </w:p>
              </w:tc>
              <w:tc>
                <w:tcPr>
                  <w:tcW w:w="826" w:type="dxa"/>
                  <w:tcBorders>
                    <w:tl2br w:val="nil"/>
                    <w:tr2bl w:val="nil"/>
                  </w:tcBorders>
                  <w:vAlign w:val="center"/>
                </w:tcPr>
                <w:p>
                  <w:pPr>
                    <w:pStyle w:val="102"/>
                    <w:rPr>
                      <w:rFonts w:hint="eastAsia"/>
                      <w:color w:val="0000FF"/>
                      <w:highlight w:val="none"/>
                    </w:rPr>
                  </w:pPr>
                  <w:r>
                    <w:rPr>
                      <w:rFonts w:hint="eastAsia"/>
                      <w:color w:val="0000FF"/>
                      <w:highlight w:val="none"/>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7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19</w:t>
                  </w:r>
                </w:p>
              </w:tc>
              <w:tc>
                <w:tcPr>
                  <w:tcW w:w="1555"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PAM</w:t>
                  </w:r>
                </w:p>
              </w:tc>
              <w:tc>
                <w:tcPr>
                  <w:tcW w:w="962" w:type="dxa"/>
                  <w:tcBorders>
                    <w:tl2br w:val="nil"/>
                    <w:tr2bl w:val="nil"/>
                  </w:tcBorders>
                  <w:vAlign w:val="center"/>
                </w:tcPr>
                <w:p>
                  <w:pPr>
                    <w:pStyle w:val="102"/>
                    <w:rPr>
                      <w:rFonts w:hint="eastAsia"/>
                      <w:color w:val="0000FF"/>
                      <w:highlight w:val="none"/>
                    </w:rPr>
                  </w:pPr>
                  <w:r>
                    <w:rPr>
                      <w:rFonts w:hint="eastAsia"/>
                      <w:color w:val="0000FF"/>
                      <w:highlight w:val="none"/>
                    </w:rPr>
                    <w:t>吨/年</w:t>
                  </w:r>
                </w:p>
              </w:tc>
              <w:tc>
                <w:tcPr>
                  <w:tcW w:w="88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0.73</w:t>
                  </w:r>
                </w:p>
              </w:tc>
              <w:tc>
                <w:tcPr>
                  <w:tcW w:w="962" w:type="dxa"/>
                  <w:tcBorders>
                    <w:tl2br w:val="nil"/>
                    <w:tr2bl w:val="nil"/>
                  </w:tcBorders>
                  <w:vAlign w:val="center"/>
                </w:tcPr>
                <w:p>
                  <w:pPr>
                    <w:pStyle w:val="102"/>
                    <w:rPr>
                      <w:rFonts w:hint="eastAsia" w:ascii="Times New Roman" w:hAnsi="Times New Roman" w:eastAsia="宋体" w:cs="Times New Roman"/>
                      <w:color w:val="0000FF"/>
                      <w:highlight w:val="none"/>
                      <w:lang w:val="en-US" w:eastAsia="zh-CN"/>
                    </w:rPr>
                  </w:pPr>
                  <w:r>
                    <w:rPr>
                      <w:rFonts w:hint="default" w:ascii="Times New Roman" w:hAnsi="Times New Roman" w:eastAsia="宋体" w:cs="Times New Roman"/>
                      <w:color w:val="0000FF"/>
                      <w:highlight w:val="none"/>
                      <w:lang w:val="en-US" w:eastAsia="zh-CN"/>
                    </w:rPr>
                    <w:t>25kg/</w:t>
                  </w:r>
                  <w:r>
                    <w:rPr>
                      <w:rFonts w:hint="eastAsia" w:ascii="Times New Roman" w:hAnsi="Times New Roman" w:eastAsia="宋体" w:cs="Times New Roman"/>
                      <w:color w:val="0000FF"/>
                      <w:highlight w:val="none"/>
                      <w:lang w:val="en-US" w:eastAsia="zh-CN"/>
                    </w:rPr>
                    <w:t>袋</w:t>
                  </w:r>
                </w:p>
              </w:tc>
              <w:tc>
                <w:tcPr>
                  <w:tcW w:w="705" w:type="dxa"/>
                  <w:tcBorders>
                    <w:tl2br w:val="nil"/>
                    <w:tr2bl w:val="nil"/>
                  </w:tcBorders>
                  <w:vAlign w:val="center"/>
                </w:tcPr>
                <w:p>
                  <w:pPr>
                    <w:pStyle w:val="102"/>
                    <w:rPr>
                      <w:rFonts w:hint="eastAsia"/>
                      <w:color w:val="0000FF"/>
                      <w:highlight w:val="none"/>
                    </w:rPr>
                  </w:pPr>
                  <w:r>
                    <w:rPr>
                      <w:rFonts w:hint="eastAsia"/>
                      <w:color w:val="0000FF"/>
                      <w:highlight w:val="none"/>
                      <w:lang w:val="en-US" w:eastAsia="zh-CN"/>
                    </w:rPr>
                    <w:t>固</w:t>
                  </w:r>
                  <w:r>
                    <w:rPr>
                      <w:rFonts w:hint="eastAsia"/>
                      <w:color w:val="0000FF"/>
                      <w:highlight w:val="none"/>
                    </w:rPr>
                    <w:t>态</w:t>
                  </w:r>
                </w:p>
              </w:tc>
              <w:tc>
                <w:tcPr>
                  <w:tcW w:w="765" w:type="dxa"/>
                  <w:tcBorders>
                    <w:tl2br w:val="nil"/>
                    <w:tr2bl w:val="nil"/>
                  </w:tcBorders>
                  <w:vAlign w:val="center"/>
                </w:tcPr>
                <w:p>
                  <w:pPr>
                    <w:pStyle w:val="102"/>
                    <w:rPr>
                      <w:rFonts w:hint="eastAsia"/>
                      <w:color w:val="0000FF"/>
                      <w:highlight w:val="none"/>
                    </w:rPr>
                  </w:pPr>
                  <w:r>
                    <w:rPr>
                      <w:rFonts w:hint="eastAsia"/>
                      <w:color w:val="0000FF"/>
                      <w:highlight w:val="none"/>
                    </w:rPr>
                    <w:t>0.05</w:t>
                  </w:r>
                </w:p>
              </w:tc>
              <w:tc>
                <w:tcPr>
                  <w:tcW w:w="1258" w:type="dxa"/>
                  <w:tcBorders>
                    <w:tl2br w:val="nil"/>
                    <w:tr2bl w:val="nil"/>
                  </w:tcBorders>
                  <w:vAlign w:val="center"/>
                </w:tcPr>
                <w:p>
                  <w:pPr>
                    <w:pStyle w:val="102"/>
                    <w:rPr>
                      <w:rFonts w:hint="eastAsia"/>
                      <w:color w:val="0000FF"/>
                      <w:highlight w:val="none"/>
                    </w:rPr>
                  </w:pPr>
                  <w:r>
                    <w:rPr>
                      <w:rFonts w:hint="eastAsia"/>
                      <w:color w:val="0000FF"/>
                      <w:highlight w:val="none"/>
                      <w:lang w:val="en-US" w:eastAsia="zh-CN"/>
                    </w:rPr>
                    <w:t>污水处理站</w:t>
                  </w:r>
                </w:p>
              </w:tc>
              <w:tc>
                <w:tcPr>
                  <w:tcW w:w="826" w:type="dxa"/>
                  <w:tcBorders>
                    <w:tl2br w:val="nil"/>
                    <w:tr2bl w:val="nil"/>
                  </w:tcBorders>
                  <w:vAlign w:val="center"/>
                </w:tcPr>
                <w:p>
                  <w:pPr>
                    <w:pStyle w:val="102"/>
                    <w:rPr>
                      <w:rFonts w:hint="eastAsia"/>
                      <w:color w:val="0000FF"/>
                      <w:highlight w:val="none"/>
                    </w:rPr>
                  </w:pPr>
                  <w:r>
                    <w:rPr>
                      <w:rFonts w:hint="eastAsia"/>
                      <w:color w:val="0000FF"/>
                      <w:highlight w:val="none"/>
                    </w:rPr>
                    <w:t>外购</w:t>
                  </w:r>
                </w:p>
              </w:tc>
            </w:tr>
          </w:tbl>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b/>
                <w:szCs w:val="20"/>
                <w:highlight w:val="none"/>
              </w:rPr>
            </w:pPr>
            <w:r>
              <w:rPr>
                <w:b/>
                <w:szCs w:val="20"/>
                <w:highlight w:val="none"/>
              </w:rPr>
              <w:t>表2</w:t>
            </w:r>
            <w:r>
              <w:rPr>
                <w:rFonts w:hint="eastAsia"/>
                <w:b/>
                <w:szCs w:val="20"/>
                <w:highlight w:val="none"/>
              </w:rPr>
              <w:t>-</w:t>
            </w:r>
            <w:r>
              <w:rPr>
                <w:rFonts w:hint="eastAsia"/>
                <w:b/>
                <w:szCs w:val="20"/>
                <w:highlight w:val="none"/>
                <w:lang w:val="en-US" w:eastAsia="zh-CN"/>
              </w:rPr>
              <w:t>5</w:t>
            </w:r>
            <w:r>
              <w:rPr>
                <w:rFonts w:hint="eastAsia"/>
                <w:b/>
                <w:szCs w:val="20"/>
                <w:highlight w:val="none"/>
              </w:rPr>
              <w:t xml:space="preserve"> </w:t>
            </w:r>
            <w:r>
              <w:rPr>
                <w:b/>
                <w:szCs w:val="20"/>
                <w:highlight w:val="none"/>
              </w:rPr>
              <w:t xml:space="preserve"> 主要原辅材料理化性质</w:t>
            </w:r>
          </w:p>
          <w:tbl>
            <w:tblPr>
              <w:tblStyle w:val="3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65"/>
              <w:gridCol w:w="1442"/>
              <w:gridCol w:w="1363"/>
              <w:gridCol w:w="50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b/>
                      <w:bCs/>
                      <w:sz w:val="21"/>
                      <w:highlight w:val="none"/>
                    </w:rPr>
                  </w:pPr>
                  <w:r>
                    <w:rPr>
                      <w:b/>
                      <w:bCs/>
                      <w:sz w:val="21"/>
                      <w:highlight w:val="none"/>
                    </w:rPr>
                    <w:t>序号</w:t>
                  </w:r>
                </w:p>
              </w:tc>
              <w:tc>
                <w:tcPr>
                  <w:tcW w:w="1442" w:type="dxa"/>
                  <w:tcBorders>
                    <w:tl2br w:val="nil"/>
                    <w:tr2bl w:val="nil"/>
                  </w:tcBorders>
                  <w:vAlign w:val="center"/>
                </w:tcPr>
                <w:p>
                  <w:pPr>
                    <w:pStyle w:val="58"/>
                    <w:spacing w:before="24" w:after="24"/>
                    <w:jc w:val="center"/>
                    <w:rPr>
                      <w:b/>
                      <w:bCs/>
                      <w:sz w:val="21"/>
                      <w:highlight w:val="none"/>
                    </w:rPr>
                  </w:pPr>
                  <w:r>
                    <w:rPr>
                      <w:b/>
                      <w:bCs/>
                      <w:sz w:val="21"/>
                      <w:highlight w:val="none"/>
                    </w:rPr>
                    <w:t>名称</w:t>
                  </w:r>
                </w:p>
              </w:tc>
              <w:tc>
                <w:tcPr>
                  <w:tcW w:w="1363" w:type="dxa"/>
                  <w:tcBorders>
                    <w:tl2br w:val="nil"/>
                    <w:tr2bl w:val="nil"/>
                  </w:tcBorders>
                  <w:vAlign w:val="center"/>
                </w:tcPr>
                <w:p>
                  <w:pPr>
                    <w:pStyle w:val="58"/>
                    <w:spacing w:before="24" w:after="24"/>
                    <w:jc w:val="center"/>
                    <w:rPr>
                      <w:b/>
                      <w:bCs/>
                      <w:sz w:val="21"/>
                      <w:highlight w:val="none"/>
                    </w:rPr>
                  </w:pPr>
                  <w:r>
                    <w:rPr>
                      <w:b/>
                      <w:bCs/>
                      <w:sz w:val="21"/>
                      <w:highlight w:val="none"/>
                    </w:rPr>
                    <w:t>主要成分</w:t>
                  </w:r>
                </w:p>
              </w:tc>
              <w:tc>
                <w:tcPr>
                  <w:tcW w:w="5021" w:type="dxa"/>
                  <w:tcBorders>
                    <w:tl2br w:val="nil"/>
                    <w:tr2bl w:val="nil"/>
                  </w:tcBorders>
                  <w:vAlign w:val="center"/>
                </w:tcPr>
                <w:p>
                  <w:pPr>
                    <w:pStyle w:val="58"/>
                    <w:spacing w:before="24" w:after="24"/>
                    <w:jc w:val="center"/>
                    <w:rPr>
                      <w:b/>
                      <w:bCs/>
                      <w:sz w:val="21"/>
                      <w:highlight w:val="none"/>
                    </w:rPr>
                  </w:pPr>
                  <w:r>
                    <w:rPr>
                      <w:b/>
                      <w:bCs/>
                      <w:sz w:val="21"/>
                      <w:highlight w:val="none"/>
                    </w:rPr>
                    <w:t>理化性质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sz w:val="21"/>
                      <w:highlight w:val="none"/>
                    </w:rPr>
                  </w:pPr>
                  <w:r>
                    <w:rPr>
                      <w:rFonts w:hint="eastAsia"/>
                      <w:sz w:val="21"/>
                      <w:highlight w:val="none"/>
                    </w:rPr>
                    <w:t>1</w:t>
                  </w:r>
                </w:p>
              </w:tc>
              <w:tc>
                <w:tcPr>
                  <w:tcW w:w="1442" w:type="dxa"/>
                  <w:tcBorders>
                    <w:tl2br w:val="nil"/>
                    <w:tr2bl w:val="nil"/>
                  </w:tcBorders>
                  <w:vAlign w:val="center"/>
                </w:tcPr>
                <w:p>
                  <w:pPr>
                    <w:adjustRightInd w:val="0"/>
                    <w:snapToGrid w:val="0"/>
                    <w:jc w:val="center"/>
                    <w:rPr>
                      <w:szCs w:val="21"/>
                      <w:highlight w:val="none"/>
                    </w:rPr>
                  </w:pPr>
                  <w:r>
                    <w:rPr>
                      <w:rFonts w:hint="eastAsia"/>
                      <w:highlight w:val="none"/>
                    </w:rPr>
                    <w:t>复配型氢氧化钠清洁剂（45%）</w:t>
                  </w:r>
                </w:p>
              </w:tc>
              <w:tc>
                <w:tcPr>
                  <w:tcW w:w="1363" w:type="dxa"/>
                  <w:tcBorders>
                    <w:tl2br w:val="nil"/>
                    <w:tr2bl w:val="nil"/>
                  </w:tcBorders>
                  <w:vAlign w:val="center"/>
                </w:tcPr>
                <w:p>
                  <w:pPr>
                    <w:adjustRightInd w:val="0"/>
                    <w:snapToGrid w:val="0"/>
                    <w:rPr>
                      <w:bCs/>
                      <w:szCs w:val="21"/>
                      <w:highlight w:val="none"/>
                    </w:rPr>
                  </w:pPr>
                  <w:r>
                    <w:rPr>
                      <w:rFonts w:hint="eastAsia"/>
                      <w:bCs/>
                      <w:szCs w:val="21"/>
                      <w:highlight w:val="none"/>
                    </w:rPr>
                    <w:t>45%氢氧化钠</w:t>
                  </w:r>
                </w:p>
              </w:tc>
              <w:tc>
                <w:tcPr>
                  <w:tcW w:w="5021" w:type="dxa"/>
                  <w:tcBorders>
                    <w:tl2br w:val="nil"/>
                    <w:tr2bl w:val="nil"/>
                  </w:tcBorders>
                  <w:vAlign w:val="center"/>
                </w:tcPr>
                <w:p>
                  <w:pPr>
                    <w:widowControl/>
                    <w:ind w:firstLine="420" w:firstLineChars="200"/>
                    <w:jc w:val="left"/>
                    <w:rPr>
                      <w:bCs/>
                      <w:szCs w:val="21"/>
                      <w:highlight w:val="none"/>
                    </w:rPr>
                  </w:pPr>
                  <w:r>
                    <w:rPr>
                      <w:rFonts w:hint="eastAsia" w:ascii="宋体" w:hAnsi="宋体" w:cs="宋体"/>
                      <w:color w:val="000000"/>
                      <w:kern w:val="0"/>
                      <w:szCs w:val="21"/>
                      <w:highlight w:val="none"/>
                      <w:lang w:bidi="ar"/>
                    </w:rPr>
                    <w:t xml:space="preserve">无色透明液体，密度 </w:t>
                  </w:r>
                  <w:r>
                    <w:rPr>
                      <w:color w:val="000000"/>
                      <w:kern w:val="0"/>
                      <w:szCs w:val="21"/>
                      <w:highlight w:val="none"/>
                      <w:lang w:bidi="ar"/>
                    </w:rPr>
                    <w:t>1.349g/c</w:t>
                  </w:r>
                  <w:r>
                    <w:rPr>
                      <w:rFonts w:eastAsia="Times New Roman"/>
                      <w:spacing w:val="-5"/>
                      <w:szCs w:val="21"/>
                      <w:highlight w:val="none"/>
                    </w:rPr>
                    <w:t>m</w:t>
                  </w:r>
                  <w:r>
                    <w:rPr>
                      <w:rFonts w:eastAsia="Times New Roman"/>
                      <w:spacing w:val="-5"/>
                      <w:position w:val="6"/>
                      <w:sz w:val="13"/>
                      <w:szCs w:val="13"/>
                      <w:highlight w:val="none"/>
                    </w:rPr>
                    <w:t>3</w:t>
                  </w:r>
                  <w:r>
                    <w:rPr>
                      <w:color w:val="000000"/>
                      <w:kern w:val="0"/>
                      <w:sz w:val="13"/>
                      <w:szCs w:val="13"/>
                      <w:highlight w:val="none"/>
                      <w:lang w:bidi="ar"/>
                    </w:rPr>
                    <w:t xml:space="preserve"> </w:t>
                  </w:r>
                  <w:r>
                    <w:rPr>
                      <w:rFonts w:hint="eastAsia" w:ascii="宋体" w:hAnsi="宋体" w:cs="宋体"/>
                      <w:color w:val="000000"/>
                      <w:kern w:val="0"/>
                      <w:szCs w:val="21"/>
                      <w:highlight w:val="none"/>
                      <w:lang w:bidi="ar"/>
                    </w:rPr>
                    <w:t xml:space="preserve">；熔点 </w:t>
                  </w:r>
                  <w:r>
                    <w:rPr>
                      <w:color w:val="000000"/>
                      <w:kern w:val="0"/>
                      <w:szCs w:val="21"/>
                      <w:highlight w:val="none"/>
                      <w:lang w:bidi="ar"/>
                    </w:rPr>
                    <w:t>318.4℃</w:t>
                  </w:r>
                  <w:r>
                    <w:rPr>
                      <w:rFonts w:hint="eastAsia" w:ascii="宋体" w:hAnsi="宋体" w:cs="宋体"/>
                      <w:color w:val="000000"/>
                      <w:kern w:val="0"/>
                      <w:szCs w:val="21"/>
                      <w:highlight w:val="none"/>
                      <w:lang w:bidi="ar"/>
                    </w:rPr>
                    <w:t>（</w:t>
                  </w:r>
                  <w:r>
                    <w:rPr>
                      <w:color w:val="000000"/>
                      <w:kern w:val="0"/>
                      <w:szCs w:val="21"/>
                      <w:highlight w:val="none"/>
                      <w:lang w:bidi="ar"/>
                    </w:rPr>
                    <w:t>591K</w:t>
                  </w:r>
                  <w:r>
                    <w:rPr>
                      <w:rFonts w:hint="eastAsia" w:ascii="宋体" w:hAnsi="宋体" w:cs="宋体"/>
                      <w:color w:val="000000"/>
                      <w:kern w:val="0"/>
                      <w:szCs w:val="21"/>
                      <w:highlight w:val="none"/>
                      <w:lang w:bidi="ar"/>
                    </w:rPr>
                    <w:t xml:space="preserve">）；沸点 </w:t>
                  </w:r>
                  <w:r>
                    <w:rPr>
                      <w:color w:val="000000"/>
                      <w:kern w:val="0"/>
                      <w:szCs w:val="21"/>
                      <w:highlight w:val="none"/>
                      <w:lang w:bidi="ar"/>
                    </w:rPr>
                    <w:t>118℃</w:t>
                  </w:r>
                  <w:r>
                    <w:rPr>
                      <w:rFonts w:hint="eastAsia" w:ascii="宋体" w:hAnsi="宋体" w:cs="宋体"/>
                      <w:color w:val="000000"/>
                      <w:kern w:val="0"/>
                      <w:szCs w:val="21"/>
                      <w:highlight w:val="none"/>
                      <w:lang w:bidi="ar"/>
                    </w:rPr>
                    <w:t>。易溶于水、乙醇、甘油。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sz w:val="21"/>
                      <w:highlight w:val="none"/>
                    </w:rPr>
                  </w:pPr>
                  <w:r>
                    <w:rPr>
                      <w:rFonts w:hint="eastAsia"/>
                      <w:sz w:val="21"/>
                      <w:highlight w:val="none"/>
                    </w:rPr>
                    <w:t>2</w:t>
                  </w:r>
                </w:p>
              </w:tc>
              <w:tc>
                <w:tcPr>
                  <w:tcW w:w="1442" w:type="dxa"/>
                  <w:tcBorders>
                    <w:tl2br w:val="nil"/>
                    <w:tr2bl w:val="nil"/>
                  </w:tcBorders>
                  <w:vAlign w:val="center"/>
                </w:tcPr>
                <w:p>
                  <w:pPr>
                    <w:adjustRightInd w:val="0"/>
                    <w:snapToGrid w:val="0"/>
                    <w:jc w:val="center"/>
                    <w:rPr>
                      <w:szCs w:val="21"/>
                      <w:highlight w:val="none"/>
                    </w:rPr>
                  </w:pPr>
                  <w:r>
                    <w:rPr>
                      <w:rFonts w:hint="eastAsia"/>
                      <w:highlight w:val="none"/>
                    </w:rPr>
                    <w:t>复配型硝酸清洁剂（45%）</w:t>
                  </w:r>
                </w:p>
              </w:tc>
              <w:tc>
                <w:tcPr>
                  <w:tcW w:w="1363" w:type="dxa"/>
                  <w:tcBorders>
                    <w:tl2br w:val="nil"/>
                    <w:tr2bl w:val="nil"/>
                  </w:tcBorders>
                  <w:vAlign w:val="center"/>
                </w:tcPr>
                <w:p>
                  <w:pPr>
                    <w:adjustRightInd w:val="0"/>
                    <w:snapToGrid w:val="0"/>
                    <w:rPr>
                      <w:bCs/>
                      <w:szCs w:val="21"/>
                      <w:highlight w:val="none"/>
                    </w:rPr>
                  </w:pPr>
                  <w:r>
                    <w:rPr>
                      <w:rFonts w:hint="eastAsia"/>
                      <w:bCs/>
                      <w:szCs w:val="21"/>
                      <w:highlight w:val="none"/>
                    </w:rPr>
                    <w:t>45%硝酸</w:t>
                  </w:r>
                </w:p>
              </w:tc>
              <w:tc>
                <w:tcPr>
                  <w:tcW w:w="5021" w:type="dxa"/>
                  <w:tcBorders>
                    <w:tl2br w:val="nil"/>
                    <w:tr2bl w:val="nil"/>
                  </w:tcBorders>
                  <w:vAlign w:val="center"/>
                </w:tcPr>
                <w:p>
                  <w:pPr>
                    <w:widowControl/>
                    <w:ind w:firstLine="420" w:firstLineChars="200"/>
                    <w:jc w:val="left"/>
                    <w:rPr>
                      <w:bCs/>
                      <w:szCs w:val="21"/>
                      <w:highlight w:val="none"/>
                    </w:rPr>
                  </w:pPr>
                  <w:r>
                    <w:rPr>
                      <w:rFonts w:hint="eastAsia" w:ascii="宋体" w:hAnsi="宋体" w:cs="宋体"/>
                      <w:color w:val="000000"/>
                      <w:kern w:val="0"/>
                      <w:szCs w:val="21"/>
                      <w:highlight w:val="none"/>
                      <w:lang w:bidi="ar"/>
                    </w:rPr>
                    <w:t xml:space="preserve">无色透明的液体，密度 </w:t>
                  </w:r>
                  <w:r>
                    <w:rPr>
                      <w:color w:val="000000"/>
                      <w:kern w:val="0"/>
                      <w:szCs w:val="21"/>
                      <w:highlight w:val="none"/>
                      <w:lang w:bidi="ar"/>
                    </w:rPr>
                    <w:t>1.5g/c</w:t>
                  </w:r>
                  <w:r>
                    <w:rPr>
                      <w:rFonts w:eastAsia="Times New Roman"/>
                      <w:spacing w:val="-5"/>
                      <w:szCs w:val="21"/>
                      <w:highlight w:val="none"/>
                    </w:rPr>
                    <w:t>m</w:t>
                  </w:r>
                  <w:r>
                    <w:rPr>
                      <w:rFonts w:eastAsia="Times New Roman"/>
                      <w:spacing w:val="-5"/>
                      <w:position w:val="6"/>
                      <w:sz w:val="13"/>
                      <w:szCs w:val="13"/>
                      <w:highlight w:val="none"/>
                    </w:rPr>
                    <w:t>3</w:t>
                  </w:r>
                  <w:r>
                    <w:rPr>
                      <w:color w:val="000000"/>
                      <w:kern w:val="0"/>
                      <w:sz w:val="13"/>
                      <w:szCs w:val="13"/>
                      <w:highlight w:val="none"/>
                      <w:lang w:bidi="ar"/>
                    </w:rPr>
                    <w:t xml:space="preserve"> </w:t>
                  </w:r>
                  <w:r>
                    <w:rPr>
                      <w:rFonts w:hint="eastAsia" w:ascii="宋体" w:hAnsi="宋体" w:cs="宋体"/>
                      <w:color w:val="000000"/>
                      <w:kern w:val="0"/>
                      <w:szCs w:val="21"/>
                      <w:highlight w:val="none"/>
                      <w:lang w:bidi="ar"/>
                    </w:rPr>
                    <w:t>，熔点</w:t>
                  </w:r>
                  <w:r>
                    <w:rPr>
                      <w:color w:val="000000"/>
                      <w:kern w:val="0"/>
                      <w:szCs w:val="21"/>
                      <w:highlight w:val="none"/>
                      <w:lang w:bidi="ar"/>
                    </w:rPr>
                    <w:t>-42℃</w:t>
                  </w:r>
                  <w:r>
                    <w:rPr>
                      <w:rFonts w:hint="eastAsia" w:ascii="宋体" w:hAnsi="宋体" w:cs="宋体"/>
                      <w:color w:val="000000"/>
                      <w:kern w:val="0"/>
                      <w:szCs w:val="21"/>
                      <w:highlight w:val="none"/>
                      <w:lang w:bidi="ar"/>
                    </w:rPr>
                    <w:t xml:space="preserve">， 沸点 </w:t>
                  </w:r>
                  <w:r>
                    <w:rPr>
                      <w:color w:val="000000"/>
                      <w:kern w:val="0"/>
                      <w:szCs w:val="21"/>
                      <w:highlight w:val="none"/>
                      <w:lang w:bidi="ar"/>
                    </w:rPr>
                    <w:t>86℃</w:t>
                  </w:r>
                  <w:r>
                    <w:rPr>
                      <w:rFonts w:hint="eastAsia" w:ascii="宋体" w:hAnsi="宋体" w:cs="宋体"/>
                      <w:color w:val="000000"/>
                      <w:kern w:val="0"/>
                      <w:szCs w:val="21"/>
                      <w:highlight w:val="none"/>
                      <w:lang w:bidi="ar"/>
                    </w:rPr>
                    <w:t>。与水混溶。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sz w:val="21"/>
                      <w:highlight w:val="none"/>
                    </w:rPr>
                  </w:pPr>
                  <w:r>
                    <w:rPr>
                      <w:rFonts w:hint="eastAsia"/>
                      <w:sz w:val="21"/>
                      <w:highlight w:val="none"/>
                    </w:rPr>
                    <w:t>3</w:t>
                  </w:r>
                </w:p>
              </w:tc>
              <w:tc>
                <w:tcPr>
                  <w:tcW w:w="1442" w:type="dxa"/>
                  <w:tcBorders>
                    <w:tl2br w:val="nil"/>
                    <w:tr2bl w:val="nil"/>
                  </w:tcBorders>
                  <w:vAlign w:val="center"/>
                </w:tcPr>
                <w:p>
                  <w:pPr>
                    <w:adjustRightInd w:val="0"/>
                    <w:snapToGrid w:val="0"/>
                    <w:jc w:val="center"/>
                    <w:rPr>
                      <w:szCs w:val="21"/>
                      <w:highlight w:val="none"/>
                    </w:rPr>
                  </w:pPr>
                  <w:r>
                    <w:rPr>
                      <w:rFonts w:hint="eastAsia"/>
                      <w:highlight w:val="none"/>
                    </w:rPr>
                    <w:t>月桂基硫酸盐胰蛋白胨肉汤（LST 培养基）</w:t>
                  </w:r>
                </w:p>
              </w:tc>
              <w:tc>
                <w:tcPr>
                  <w:tcW w:w="1363" w:type="dxa"/>
                  <w:tcBorders>
                    <w:tl2br w:val="nil"/>
                    <w:tr2bl w:val="nil"/>
                  </w:tcBorders>
                  <w:vAlign w:val="center"/>
                </w:tcPr>
                <w:p>
                  <w:pPr>
                    <w:adjustRightInd w:val="0"/>
                    <w:snapToGrid w:val="0"/>
                    <w:rPr>
                      <w:bCs/>
                      <w:szCs w:val="21"/>
                      <w:highlight w:val="none"/>
                    </w:rPr>
                  </w:pPr>
                  <w:r>
                    <w:rPr>
                      <w:bCs/>
                      <w:szCs w:val="20"/>
                      <w:highlight w:val="none"/>
                    </w:rPr>
                    <w:t>蛋白胨</w:t>
                  </w:r>
                  <w:r>
                    <w:rPr>
                      <w:rFonts w:hint="eastAsia"/>
                      <w:bCs/>
                      <w:szCs w:val="20"/>
                      <w:highlight w:val="none"/>
                    </w:rPr>
                    <w:t>、</w:t>
                  </w:r>
                  <w:r>
                    <w:rPr>
                      <w:bCs/>
                      <w:szCs w:val="20"/>
                      <w:highlight w:val="none"/>
                    </w:rPr>
                    <w:t>月桂基硫酸盐</w:t>
                  </w:r>
                  <w:r>
                    <w:rPr>
                      <w:rFonts w:hint="eastAsia"/>
                      <w:bCs/>
                      <w:szCs w:val="20"/>
                      <w:highlight w:val="none"/>
                    </w:rPr>
                    <w:t>；</w:t>
                  </w:r>
                  <w:r>
                    <w:rPr>
                      <w:bCs/>
                      <w:szCs w:val="20"/>
                      <w:highlight w:val="none"/>
                    </w:rPr>
                    <w:t>以蛋白胨作为碳氮源</w:t>
                  </w:r>
                  <w:r>
                    <w:rPr>
                      <w:rFonts w:hint="eastAsia"/>
                      <w:bCs/>
                      <w:szCs w:val="20"/>
                      <w:highlight w:val="none"/>
                    </w:rPr>
                    <w:t>，</w:t>
                  </w:r>
                  <w:r>
                    <w:rPr>
                      <w:bCs/>
                      <w:szCs w:val="20"/>
                      <w:highlight w:val="none"/>
                    </w:rPr>
                    <w:t>少量月桂基硫酸盐筛选大肠杆菌进行培养</w:t>
                  </w:r>
                </w:p>
              </w:tc>
              <w:tc>
                <w:tcPr>
                  <w:tcW w:w="5021" w:type="dxa"/>
                  <w:tcBorders>
                    <w:tl2br w:val="nil"/>
                    <w:tr2bl w:val="nil"/>
                  </w:tcBorders>
                  <w:vAlign w:val="center"/>
                </w:tcPr>
                <w:p>
                  <w:pPr>
                    <w:widowControl/>
                    <w:ind w:firstLine="420" w:firstLineChars="200"/>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蛋白胨：浅黄色至棕色粉末，具有特殊气味，易溶于水</w:t>
                  </w:r>
                  <w:r>
                    <w:rPr>
                      <w:rFonts w:ascii="宋体" w:hAnsi="宋体" w:cs="宋体"/>
                      <w:color w:val="000000"/>
                      <w:kern w:val="0"/>
                      <w:szCs w:val="21"/>
                      <w:highlight w:val="none"/>
                      <w:lang w:bidi="ar"/>
                    </w:rPr>
                    <w:t>（约 800 g/L, 20°C），几乎不溶于乙醇、乙醚 </w:t>
                  </w:r>
                  <w:r>
                    <w:rPr>
                      <w:rFonts w:hint="eastAsia" w:ascii="宋体" w:hAnsi="宋体" w:cs="宋体"/>
                      <w:color w:val="000000"/>
                      <w:kern w:val="0"/>
                      <w:szCs w:val="21"/>
                      <w:highlight w:val="none"/>
                      <w:lang w:bidi="ar"/>
                    </w:rPr>
                    <w:t>；</w:t>
                  </w:r>
                  <w:r>
                    <w:rPr>
                      <w:rFonts w:ascii="宋体" w:hAnsi="宋体" w:cs="宋体"/>
                      <w:color w:val="000000"/>
                      <w:kern w:val="0"/>
                      <w:szCs w:val="21"/>
                      <w:highlight w:val="none"/>
                      <w:lang w:bidi="ar"/>
                    </w:rPr>
                    <w:t>其水溶液通常澄清或微带乳光</w:t>
                  </w:r>
                  <w:r>
                    <w:rPr>
                      <w:rFonts w:hint="eastAsia" w:ascii="宋体" w:hAnsi="宋体" w:cs="宋体"/>
                      <w:color w:val="000000"/>
                      <w:kern w:val="0"/>
                      <w:szCs w:val="21"/>
                      <w:highlight w:val="none"/>
                      <w:lang w:bidi="ar"/>
                    </w:rPr>
                    <w:t>；作为</w:t>
                  </w:r>
                  <w:r>
                    <w:rPr>
                      <w:rFonts w:ascii="宋体" w:hAnsi="宋体" w:cs="宋体"/>
                      <w:color w:val="000000"/>
                      <w:kern w:val="0"/>
                      <w:szCs w:val="21"/>
                      <w:highlight w:val="none"/>
                      <w:lang w:bidi="ar"/>
                    </w:rPr>
                    <w:t>微生物培养基的主要氮源，提供生长必需的氨基酸、多肽和维生素</w:t>
                  </w:r>
                  <w:r>
                    <w:rPr>
                      <w:rFonts w:hint="eastAsia" w:ascii="宋体" w:hAnsi="宋体" w:cs="宋体"/>
                      <w:color w:val="000000"/>
                      <w:kern w:val="0"/>
                      <w:szCs w:val="21"/>
                      <w:highlight w:val="none"/>
                      <w:lang w:bidi="ar"/>
                    </w:rPr>
                    <w:t>。</w:t>
                  </w:r>
                </w:p>
                <w:p>
                  <w:pPr>
                    <w:widowControl/>
                    <w:ind w:firstLine="420" w:firstLineChars="200"/>
                    <w:jc w:val="left"/>
                    <w:rPr>
                      <w:rFonts w:ascii="宋体" w:hAnsi="宋体" w:cs="宋体"/>
                      <w:color w:val="000000"/>
                      <w:kern w:val="0"/>
                      <w:szCs w:val="21"/>
                      <w:highlight w:val="none"/>
                      <w:lang w:bidi="ar"/>
                    </w:rPr>
                  </w:pPr>
                  <w:r>
                    <w:rPr>
                      <w:rFonts w:ascii="宋体" w:hAnsi="宋体" w:cs="宋体"/>
                      <w:color w:val="000000"/>
                      <w:kern w:val="0"/>
                      <w:szCs w:val="21"/>
                      <w:highlight w:val="none"/>
                      <w:lang w:bidi="ar"/>
                    </w:rPr>
                    <w:t>月桂基硫酸盐</w:t>
                  </w:r>
                  <w:r>
                    <w:rPr>
                      <w:rFonts w:hint="eastAsia" w:ascii="宋体" w:hAnsi="宋体" w:cs="宋体"/>
                      <w:color w:val="000000"/>
                      <w:kern w:val="0"/>
                      <w:szCs w:val="21"/>
                      <w:highlight w:val="none"/>
                      <w:lang w:bidi="ar"/>
                    </w:rPr>
                    <w:t>：白色或奶油色粉末/薄片，有轻微特征气味，易溶于水（约150 g/L, 20°C），形成透明或乳状溶液 。微溶于乙醇，几乎不溶于氯仿、乙醚 。作为</w:t>
                  </w:r>
                  <w:r>
                    <w:rPr>
                      <w:rFonts w:ascii="宋体" w:hAnsi="宋体" w:cs="宋体"/>
                      <w:color w:val="000000"/>
                      <w:kern w:val="0"/>
                      <w:szCs w:val="21"/>
                      <w:highlight w:val="none"/>
                      <w:lang w:bidi="ar"/>
                    </w:rPr>
                    <w:t>表面活性剂、乳化剂、去垢剂。在LST培养基中用作选择性抑制剂，抑制革兰氏阳性菌等杂菌的生长</w:t>
                  </w:r>
                  <w:r>
                    <w:rPr>
                      <w:rFonts w:hint="eastAsia" w:ascii="宋体" w:hAnsi="宋体" w:cs="宋体"/>
                      <w:color w:val="000000"/>
                      <w:kern w:val="0"/>
                      <w:szCs w:val="21"/>
                      <w:highlight w:val="none"/>
                      <w:lang w:bidi="ar"/>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sz w:val="21"/>
                      <w:highlight w:val="none"/>
                    </w:rPr>
                  </w:pPr>
                  <w:r>
                    <w:rPr>
                      <w:rFonts w:hint="eastAsia"/>
                      <w:sz w:val="21"/>
                      <w:highlight w:val="none"/>
                    </w:rPr>
                    <w:t>4</w:t>
                  </w:r>
                </w:p>
              </w:tc>
              <w:tc>
                <w:tcPr>
                  <w:tcW w:w="1442" w:type="dxa"/>
                  <w:tcBorders>
                    <w:tl2br w:val="nil"/>
                    <w:tr2bl w:val="nil"/>
                  </w:tcBorders>
                  <w:vAlign w:val="center"/>
                </w:tcPr>
                <w:p>
                  <w:pPr>
                    <w:adjustRightInd w:val="0"/>
                    <w:snapToGrid w:val="0"/>
                    <w:jc w:val="center"/>
                    <w:rPr>
                      <w:szCs w:val="21"/>
                      <w:highlight w:val="none"/>
                    </w:rPr>
                  </w:pPr>
                  <w:r>
                    <w:rPr>
                      <w:rFonts w:hint="eastAsia"/>
                      <w:highlight w:val="none"/>
                    </w:rPr>
                    <w:t>煌绿乳糖胆盐肉汤（BGLB 培养基）</w:t>
                  </w:r>
                </w:p>
              </w:tc>
              <w:tc>
                <w:tcPr>
                  <w:tcW w:w="1363" w:type="dxa"/>
                  <w:tcBorders>
                    <w:tl2br w:val="nil"/>
                    <w:tr2bl w:val="nil"/>
                  </w:tcBorders>
                  <w:vAlign w:val="center"/>
                </w:tcPr>
                <w:p>
                  <w:pPr>
                    <w:adjustRightInd w:val="0"/>
                    <w:snapToGrid w:val="0"/>
                    <w:rPr>
                      <w:bCs/>
                      <w:szCs w:val="21"/>
                      <w:highlight w:val="none"/>
                    </w:rPr>
                  </w:pPr>
                  <w:r>
                    <w:rPr>
                      <w:bCs/>
                      <w:szCs w:val="20"/>
                      <w:highlight w:val="none"/>
                    </w:rPr>
                    <w:t>蛋白胨</w:t>
                  </w:r>
                  <w:r>
                    <w:rPr>
                      <w:rFonts w:hint="eastAsia"/>
                      <w:bCs/>
                      <w:szCs w:val="20"/>
                      <w:highlight w:val="none"/>
                    </w:rPr>
                    <w:t>、</w:t>
                  </w:r>
                  <w:r>
                    <w:rPr>
                      <w:bCs/>
                      <w:szCs w:val="20"/>
                      <w:highlight w:val="none"/>
                    </w:rPr>
                    <w:t>牛胆盐</w:t>
                  </w:r>
                  <w:r>
                    <w:rPr>
                      <w:rFonts w:hint="eastAsia"/>
                      <w:bCs/>
                      <w:szCs w:val="20"/>
                      <w:highlight w:val="none"/>
                    </w:rPr>
                    <w:t>、</w:t>
                  </w:r>
                  <w:r>
                    <w:rPr>
                      <w:bCs/>
                      <w:szCs w:val="20"/>
                      <w:highlight w:val="none"/>
                    </w:rPr>
                    <w:t>煌绿</w:t>
                  </w:r>
                  <w:r>
                    <w:rPr>
                      <w:rFonts w:hint="eastAsia"/>
                      <w:bCs/>
                      <w:szCs w:val="20"/>
                      <w:highlight w:val="none"/>
                    </w:rPr>
                    <w:t>；</w:t>
                  </w:r>
                  <w:r>
                    <w:rPr>
                      <w:bCs/>
                      <w:szCs w:val="20"/>
                      <w:highlight w:val="none"/>
                    </w:rPr>
                    <w:t>以蛋白胨作为碳氮源</w:t>
                  </w:r>
                  <w:r>
                    <w:rPr>
                      <w:rFonts w:hint="eastAsia"/>
                      <w:bCs/>
                      <w:szCs w:val="20"/>
                      <w:highlight w:val="none"/>
                    </w:rPr>
                    <w:t>，以</w:t>
                  </w:r>
                  <w:r>
                    <w:rPr>
                      <w:bCs/>
                      <w:szCs w:val="20"/>
                      <w:highlight w:val="none"/>
                    </w:rPr>
                    <w:t>牛胆盐和少量煌绿筛选大肠杆菌进行培养</w:t>
                  </w:r>
                </w:p>
              </w:tc>
              <w:tc>
                <w:tcPr>
                  <w:tcW w:w="5021" w:type="dxa"/>
                  <w:tcBorders>
                    <w:tl2br w:val="nil"/>
                    <w:tr2bl w:val="nil"/>
                  </w:tcBorders>
                  <w:vAlign w:val="center"/>
                </w:tcPr>
                <w:p>
                  <w:pPr>
                    <w:widowControl/>
                    <w:ind w:firstLine="420" w:firstLineChars="200"/>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牛胆盐：白色或浅黄色粉末，味苦，有鲜胆汁样臭；极易溶于水，易溶于醇，不溶于乙醚。1%水溶液澄清透明；配制肠道菌选择性培养基（如SS琼脂），抑制革兰氏阳性菌。</w:t>
                  </w:r>
                </w:p>
                <w:p>
                  <w:pPr>
                    <w:widowControl/>
                    <w:ind w:firstLine="420" w:firstLineChars="200"/>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煌绿：金黄色闪光结晶或绿色闪金光粉末；易溶于水和乙醇</w:t>
                  </w:r>
                  <w:r>
                    <w:rPr>
                      <w:rFonts w:ascii="宋体" w:hAnsi="宋体" w:cs="宋体"/>
                      <w:color w:val="000000"/>
                      <w:kern w:val="0"/>
                      <w:szCs w:val="21"/>
                      <w:highlight w:val="none"/>
                      <w:lang w:bidi="ar"/>
                    </w:rPr>
                    <w:t>，水溶液呈特征性绿色</w:t>
                  </w:r>
                  <w:r>
                    <w:rPr>
                      <w:rFonts w:hint="eastAsia" w:ascii="宋体" w:hAnsi="宋体" w:cs="宋体"/>
                      <w:color w:val="000000"/>
                      <w:kern w:val="0"/>
                      <w:szCs w:val="21"/>
                      <w:highlight w:val="none"/>
                      <w:lang w:bidi="ar"/>
                    </w:rPr>
                    <w:t>；配制细菌培养基（如BGLB肉汤），用以鉴别大肠菌群</w:t>
                  </w:r>
                  <w:r>
                    <w:rPr>
                      <w:highlight w:val="none"/>
                    </w:rPr>
                    <w:fldChar w:fldCharType="begin"/>
                  </w:r>
                  <w:r>
                    <w:rPr>
                      <w:highlight w:val="none"/>
                    </w:rPr>
                    <w:instrText xml:space="preserve"> HYPERLINK "https://baike.baidu.com/item/%e7%85%8c%e7%bb%bf" \t "https://chat.deepseek.com/a/chat/s/_blank" </w:instrText>
                  </w:r>
                  <w:r>
                    <w:rPr>
                      <w:highlight w:val="none"/>
                    </w:rPr>
                    <w:fldChar w:fldCharType="separate"/>
                  </w:r>
                  <w:r>
                    <w:rPr>
                      <w:highlight w:val="none"/>
                    </w:rPr>
                    <w:fldChar w:fldCharType="end"/>
                  </w:r>
                  <w:r>
                    <w:rPr>
                      <w:highlight w:val="none"/>
                    </w:rPr>
                    <w:fldChar w:fldCharType="begin"/>
                  </w:r>
                  <w:r>
                    <w:rPr>
                      <w:highlight w:val="none"/>
                    </w:rPr>
                    <w:instrText xml:space="preserve"> HYPERLINK "http://www.hamptonresearch.com.cn/77317.html" \t "https://chat.deepseek.com/a/chat/s/_blank" </w:instrText>
                  </w:r>
                  <w:r>
                    <w:rPr>
                      <w:highlight w:val="none"/>
                    </w:rPr>
                    <w:fldChar w:fldCharType="separate"/>
                  </w:r>
                  <w:r>
                    <w:rPr>
                      <w:highlight w:val="none"/>
                    </w:rPr>
                    <w:fldChar w:fldCharType="end"/>
                  </w:r>
                  <w:r>
                    <w:rPr>
                      <w:highlight w:val="none"/>
                    </w:rPr>
                    <w:fldChar w:fldCharType="begin"/>
                  </w:r>
                  <w:r>
                    <w:rPr>
                      <w:highlight w:val="none"/>
                    </w:rPr>
                    <w:instrText xml:space="preserve"> HYPERLINK "http://www.njduly.com/index.php/product/detail/1467.html" \t "https://chat.deepseek.com/a/chat/s/_blank" </w:instrText>
                  </w:r>
                  <w:r>
                    <w:rPr>
                      <w:highlight w:val="none"/>
                    </w:rPr>
                    <w:fldChar w:fldCharType="separate"/>
                  </w:r>
                  <w:r>
                    <w:rPr>
                      <w:highlight w:val="none"/>
                    </w:rPr>
                    <w:fldChar w:fldCharType="end"/>
                  </w:r>
                  <w:r>
                    <w:rPr>
                      <w:rFonts w:hint="eastAsia" w:ascii="宋体" w:hAnsi="宋体" w:cs="宋体"/>
                      <w:color w:val="000000"/>
                      <w:kern w:val="0"/>
                      <w:szCs w:val="21"/>
                      <w:highlight w:val="none"/>
                      <w:lang w:bidi="ar"/>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rFonts w:hint="eastAsia" w:eastAsia="宋体"/>
                      <w:color w:val="0000FF"/>
                      <w:sz w:val="21"/>
                      <w:highlight w:val="none"/>
                      <w:lang w:val="en-US" w:eastAsia="zh-CN"/>
                    </w:rPr>
                  </w:pPr>
                  <w:r>
                    <w:rPr>
                      <w:rFonts w:hint="eastAsia"/>
                      <w:color w:val="0000FF"/>
                      <w:sz w:val="21"/>
                      <w:highlight w:val="none"/>
                      <w:lang w:val="en-US" w:eastAsia="zh-CN"/>
                    </w:rPr>
                    <w:t>5</w:t>
                  </w:r>
                </w:p>
              </w:tc>
              <w:tc>
                <w:tcPr>
                  <w:tcW w:w="1442"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lang w:val="en-US" w:eastAsia="zh-CN"/>
                    </w:rPr>
                    <w:t>次氯酸钠（10%）</w:t>
                  </w:r>
                </w:p>
              </w:tc>
              <w:tc>
                <w:tcPr>
                  <w:tcW w:w="1363"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lang w:val="en-US" w:eastAsia="zh-CN"/>
                    </w:rPr>
                    <w:t>次氯酸钠</w:t>
                  </w:r>
                </w:p>
              </w:tc>
              <w:tc>
                <w:tcPr>
                  <w:tcW w:w="5021"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rPr>
                    <w:t>强碱性</w:t>
                  </w:r>
                  <w:r>
                    <w:rPr>
                      <w:rFonts w:hint="eastAsia"/>
                      <w:color w:val="0000FF"/>
                      <w:highlight w:val="none"/>
                      <w:lang w:eastAsia="zh-CN"/>
                    </w:rPr>
                    <w:t>（</w:t>
                  </w:r>
                  <w:r>
                    <w:rPr>
                      <w:rFonts w:hint="eastAsia"/>
                      <w:color w:val="0000FF"/>
                      <w:highlight w:val="none"/>
                    </w:rPr>
                    <w:t>pH 11-13</w:t>
                  </w:r>
                  <w:r>
                    <w:rPr>
                      <w:rFonts w:hint="eastAsia"/>
                      <w:color w:val="0000FF"/>
                      <w:highlight w:val="none"/>
                      <w:lang w:eastAsia="zh-CN"/>
                    </w:rPr>
                    <w:t>）</w:t>
                  </w:r>
                  <w:r>
                    <w:rPr>
                      <w:rFonts w:hint="eastAsia"/>
                      <w:color w:val="0000FF"/>
                      <w:highlight w:val="none"/>
                    </w:rPr>
                    <w:t>、强氧化性、不稳定。微黄色溶液，有氯味，易分解产生氯气，需避光、避热、避酸储存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rFonts w:hint="eastAsia" w:eastAsia="宋体"/>
                      <w:color w:val="0000FF"/>
                      <w:sz w:val="21"/>
                      <w:highlight w:val="none"/>
                      <w:lang w:val="en-US" w:eastAsia="zh-CN"/>
                    </w:rPr>
                  </w:pPr>
                  <w:r>
                    <w:rPr>
                      <w:rFonts w:hint="eastAsia"/>
                      <w:color w:val="0000FF"/>
                      <w:sz w:val="21"/>
                      <w:highlight w:val="none"/>
                      <w:lang w:val="en-US" w:eastAsia="zh-CN"/>
                    </w:rPr>
                    <w:t>6</w:t>
                  </w:r>
                </w:p>
              </w:tc>
              <w:tc>
                <w:tcPr>
                  <w:tcW w:w="1442"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lang w:val="en-US" w:eastAsia="zh-CN"/>
                    </w:rPr>
                    <w:t>柠檬酸（99%）</w:t>
                  </w:r>
                </w:p>
              </w:tc>
              <w:tc>
                <w:tcPr>
                  <w:tcW w:w="1363"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lang w:val="en-US" w:eastAsia="zh-CN"/>
                    </w:rPr>
                    <w:t>柠檬酸</w:t>
                  </w:r>
                </w:p>
              </w:tc>
              <w:tc>
                <w:tcPr>
                  <w:tcW w:w="5021"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rPr>
                    <w:t>有机酸、稳定、潮解性。白色结晶粉末，无臭强酸味，溶于水，加热至175℃分解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rFonts w:hint="eastAsia" w:eastAsia="宋体"/>
                      <w:color w:val="0000FF"/>
                      <w:sz w:val="21"/>
                      <w:highlight w:val="none"/>
                      <w:lang w:val="en-US" w:eastAsia="zh-CN"/>
                    </w:rPr>
                  </w:pPr>
                  <w:r>
                    <w:rPr>
                      <w:rFonts w:hint="eastAsia"/>
                      <w:color w:val="0000FF"/>
                      <w:sz w:val="21"/>
                      <w:highlight w:val="none"/>
                      <w:lang w:val="en-US" w:eastAsia="zh-CN"/>
                    </w:rPr>
                    <w:t>7</w:t>
                  </w:r>
                </w:p>
              </w:tc>
              <w:tc>
                <w:tcPr>
                  <w:tcW w:w="1442"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lang w:val="en-US" w:eastAsia="zh-CN"/>
                    </w:rPr>
                    <w:t>PAC</w:t>
                  </w:r>
                </w:p>
              </w:tc>
              <w:tc>
                <w:tcPr>
                  <w:tcW w:w="1363"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rPr>
                    <w:t>聚合氯化铝</w:t>
                  </w:r>
                </w:p>
              </w:tc>
              <w:tc>
                <w:tcPr>
                  <w:tcW w:w="5021"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rPr>
                    <w:t>酸性</w:t>
                  </w:r>
                  <w:r>
                    <w:rPr>
                      <w:rFonts w:hint="eastAsia"/>
                      <w:color w:val="0000FF"/>
                      <w:highlight w:val="none"/>
                      <w:lang w:eastAsia="zh-CN"/>
                    </w:rPr>
                    <w:t>（</w:t>
                  </w:r>
                  <w:r>
                    <w:rPr>
                      <w:rFonts w:hint="eastAsia"/>
                      <w:color w:val="0000FF"/>
                      <w:highlight w:val="none"/>
                    </w:rPr>
                    <w:t>pH 3.5-5.</w:t>
                  </w:r>
                  <w:r>
                    <w:rPr>
                      <w:rFonts w:hint="eastAsia"/>
                      <w:color w:val="0000FF"/>
                      <w:highlight w:val="none"/>
                      <w:lang w:eastAsia="zh-CN"/>
                    </w:rPr>
                    <w:t>0)</w:t>
                  </w:r>
                  <w:r>
                    <w:rPr>
                      <w:rFonts w:hint="eastAsia"/>
                      <w:color w:val="0000FF"/>
                      <w:highlight w:val="none"/>
                    </w:rPr>
                    <w:t>无机高分子混凝剂。淡黄至黄褐色液体，具有吸附架桥和电中和能力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vAlign w:val="center"/>
                </w:tcPr>
                <w:p>
                  <w:pPr>
                    <w:pStyle w:val="58"/>
                    <w:spacing w:before="24" w:after="24"/>
                    <w:jc w:val="center"/>
                    <w:rPr>
                      <w:rFonts w:hint="eastAsia" w:eastAsia="宋体"/>
                      <w:color w:val="0000FF"/>
                      <w:sz w:val="21"/>
                      <w:highlight w:val="none"/>
                      <w:lang w:val="en-US" w:eastAsia="zh-CN"/>
                    </w:rPr>
                  </w:pPr>
                  <w:r>
                    <w:rPr>
                      <w:rFonts w:hint="eastAsia"/>
                      <w:color w:val="0000FF"/>
                      <w:sz w:val="21"/>
                      <w:highlight w:val="none"/>
                      <w:lang w:val="en-US" w:eastAsia="zh-CN"/>
                    </w:rPr>
                    <w:t>8</w:t>
                  </w:r>
                </w:p>
              </w:tc>
              <w:tc>
                <w:tcPr>
                  <w:tcW w:w="1442"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lang w:val="en-US" w:eastAsia="zh-CN"/>
                    </w:rPr>
                    <w:t>PAM</w:t>
                  </w:r>
                </w:p>
              </w:tc>
              <w:tc>
                <w:tcPr>
                  <w:tcW w:w="1363" w:type="dxa"/>
                  <w:tcBorders>
                    <w:tl2br w:val="nil"/>
                    <w:tr2bl w:val="nil"/>
                  </w:tcBorders>
                  <w:vAlign w:val="center"/>
                </w:tcPr>
                <w:p>
                  <w:pPr>
                    <w:adjustRightInd w:val="0"/>
                    <w:snapToGrid w:val="0"/>
                    <w:jc w:val="center"/>
                    <w:rPr>
                      <w:rFonts w:hint="eastAsia"/>
                      <w:color w:val="0000FF"/>
                      <w:highlight w:val="none"/>
                    </w:rPr>
                  </w:pPr>
                  <w:r>
                    <w:rPr>
                      <w:rFonts w:hint="eastAsia"/>
                      <w:color w:val="0000FF"/>
                      <w:highlight w:val="none"/>
                    </w:rPr>
                    <w:t>聚丙烯酰胺</w:t>
                  </w:r>
                </w:p>
              </w:tc>
              <w:tc>
                <w:tcPr>
                  <w:tcW w:w="5021" w:type="dxa"/>
                  <w:tcBorders>
                    <w:tl2br w:val="nil"/>
                    <w:tr2bl w:val="nil"/>
                  </w:tcBorders>
                  <w:vAlign w:val="center"/>
                </w:tcPr>
                <w:p>
                  <w:pPr>
                    <w:adjustRightInd w:val="0"/>
                    <w:snapToGrid w:val="0"/>
                    <w:jc w:val="center"/>
                    <w:rPr>
                      <w:rFonts w:hint="eastAsia" w:eastAsia="宋体"/>
                      <w:color w:val="0000FF"/>
                      <w:highlight w:val="none"/>
                      <w:lang w:eastAsia="zh-CN"/>
                    </w:rPr>
                  </w:pPr>
                  <w:r>
                    <w:rPr>
                      <w:rFonts w:hint="eastAsia"/>
                      <w:color w:val="0000FF"/>
                      <w:highlight w:val="none"/>
                    </w:rPr>
                    <w:t>水溶性高分子聚合物、絮凝剂、无毒性。白色粉末/颗粒，不溶于有机溶剂，根据电荷分为阴、阳、非离子型</w:t>
                  </w:r>
                  <w:r>
                    <w:rPr>
                      <w:rFonts w:hint="eastAsia"/>
                      <w:color w:val="0000FF"/>
                      <w:highlight w:val="none"/>
                      <w:lang w:eastAsia="zh-CN"/>
                    </w:rPr>
                    <w:t>。</w:t>
                  </w:r>
                </w:p>
              </w:tc>
            </w:tr>
          </w:tbl>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b/>
                <w:bCs/>
                <w:color w:val="0000FF"/>
                <w:sz w:val="24"/>
                <w:highlight w:val="none"/>
                <w:lang w:val="en-US" w:eastAsia="zh-CN"/>
              </w:rPr>
              <w:t>生物质燃料：</w:t>
            </w:r>
            <w:r>
              <w:rPr>
                <w:rFonts w:hint="eastAsia" w:ascii="Times New Roman" w:hAnsi="Times New Roman" w:eastAsia="宋体" w:cs="Times New Roman"/>
                <w:color w:val="0000FF"/>
                <w:highlight w:val="none"/>
                <w:lang w:val="en-US" w:eastAsia="zh-CN"/>
              </w:rPr>
              <w:t>是由秸秆、稻草、花生壳、玉米芯、油茶壳、棉籽壳等以及固体废弃物（糠醛渣、食用菌渣等）加工而成的环保新能源，一般为颗粒状。发热量为</w:t>
            </w:r>
            <w:r>
              <w:rPr>
                <w:rFonts w:hint="eastAsia" w:cs="Times New Roman"/>
                <w:color w:val="0000FF"/>
                <w:highlight w:val="none"/>
                <w:lang w:val="en-US" w:eastAsia="zh-CN"/>
              </w:rPr>
              <w:t>3500千～5000千</w:t>
            </w:r>
            <w:r>
              <w:rPr>
                <w:rFonts w:hint="eastAsia" w:ascii="Times New Roman" w:hAnsi="Times New Roman" w:eastAsia="宋体" w:cs="Times New Roman"/>
                <w:color w:val="0000FF"/>
                <w:highlight w:val="none"/>
                <w:lang w:val="en-US" w:eastAsia="zh-CN"/>
              </w:rPr>
              <w:t>卡</w:t>
            </w:r>
            <w:r>
              <w:rPr>
                <w:rFonts w:hint="default" w:ascii="Times New Roman" w:hAnsi="Times New Roman" w:eastAsia="宋体" w:cs="Times New Roman"/>
                <w:color w:val="0000FF"/>
                <w:highlight w:val="none"/>
                <w:lang w:val="en-US" w:eastAsia="zh-CN"/>
              </w:rPr>
              <w:t>/kg</w:t>
            </w:r>
            <w:r>
              <w:rPr>
                <w:rFonts w:hint="eastAsia" w:ascii="Times New Roman" w:hAnsi="Times New Roman" w:eastAsia="宋体" w:cs="Times New Roman"/>
                <w:color w:val="0000FF"/>
                <w:highlight w:val="none"/>
                <w:lang w:val="en-US" w:eastAsia="zh-CN"/>
              </w:rPr>
              <w:t>左右，经炭化后的发热量高达</w:t>
            </w:r>
            <w:r>
              <w:rPr>
                <w:rFonts w:hint="eastAsia" w:cs="Times New Roman"/>
                <w:color w:val="0000FF"/>
                <w:highlight w:val="none"/>
                <w:lang w:val="en-US" w:eastAsia="zh-CN"/>
              </w:rPr>
              <w:t>7000千～8000千</w:t>
            </w:r>
            <w:r>
              <w:rPr>
                <w:rFonts w:hint="eastAsia" w:ascii="Times New Roman" w:hAnsi="Times New Roman" w:eastAsia="宋体" w:cs="Times New Roman"/>
                <w:color w:val="0000FF"/>
                <w:highlight w:val="none"/>
                <w:lang w:val="en-US" w:eastAsia="zh-CN"/>
              </w:rPr>
              <w:t>卡</w:t>
            </w:r>
            <w:r>
              <w:rPr>
                <w:rFonts w:hint="default" w:ascii="Times New Roman" w:hAnsi="Times New Roman" w:eastAsia="宋体" w:cs="Times New Roman"/>
                <w:color w:val="0000FF"/>
                <w:highlight w:val="none"/>
                <w:lang w:val="en-US" w:eastAsia="zh-CN"/>
              </w:rPr>
              <w:t>/kg</w:t>
            </w:r>
            <w:r>
              <w:rPr>
                <w:rFonts w:hint="eastAsia" w:ascii="Times New Roman" w:hAnsi="Times New Roman" w:eastAsia="宋体" w:cs="Times New Roman"/>
                <w:color w:val="0000FF"/>
                <w:highlight w:val="none"/>
                <w:lang w:val="en-US" w:eastAsia="zh-CN"/>
              </w:rPr>
              <w:t>。生物质颗粒的直径一般为</w:t>
            </w:r>
            <w:r>
              <w:rPr>
                <w:rFonts w:hint="default" w:ascii="Times New Roman" w:hAnsi="Times New Roman" w:eastAsia="宋体" w:cs="Times New Roman"/>
                <w:color w:val="0000FF"/>
                <w:highlight w:val="none"/>
                <w:lang w:val="en-US" w:eastAsia="zh-CN"/>
              </w:rPr>
              <w:t>6</w:t>
            </w:r>
            <w:r>
              <w:rPr>
                <w:rFonts w:hint="eastAsia" w:cs="Times New Roman"/>
                <w:color w:val="0000FF"/>
                <w:highlight w:val="none"/>
                <w:lang w:val="en-US" w:eastAsia="zh-CN"/>
              </w:rPr>
              <w:t>～</w:t>
            </w:r>
            <w:r>
              <w:rPr>
                <w:rFonts w:hint="default" w:ascii="Times New Roman" w:hAnsi="Times New Roman" w:eastAsia="宋体" w:cs="Times New Roman"/>
                <w:color w:val="0000FF"/>
                <w:highlight w:val="none"/>
                <w:lang w:val="en-US" w:eastAsia="zh-CN"/>
              </w:rPr>
              <w:t>8mm</w:t>
            </w:r>
            <w:r>
              <w:rPr>
                <w:rFonts w:hint="eastAsia" w:ascii="Times New Roman" w:hAnsi="Times New Roman" w:eastAsia="宋体" w:cs="Times New Roman"/>
                <w:color w:val="0000FF"/>
                <w:highlight w:val="none"/>
                <w:lang w:val="en-US" w:eastAsia="zh-CN"/>
              </w:rPr>
              <w:t>，长度为其直径的</w:t>
            </w:r>
            <w:r>
              <w:rPr>
                <w:rFonts w:hint="default" w:ascii="Times New Roman" w:hAnsi="Times New Roman" w:eastAsia="宋体" w:cs="Times New Roman"/>
                <w:color w:val="0000FF"/>
                <w:highlight w:val="none"/>
                <w:lang w:val="en-US" w:eastAsia="zh-CN"/>
              </w:rPr>
              <w:t>4~5</w:t>
            </w:r>
            <w:r>
              <w:rPr>
                <w:rFonts w:hint="eastAsia" w:ascii="Times New Roman" w:hAnsi="Times New Roman" w:eastAsia="宋体" w:cs="Times New Roman"/>
                <w:color w:val="0000FF"/>
                <w:highlight w:val="none"/>
                <w:lang w:val="en-US" w:eastAsia="zh-CN"/>
              </w:rPr>
              <w:t>倍。</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本项目锅炉生物质颗粒用量的计算如下：</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生物质燃料每小时消耗量</w:t>
            </w:r>
            <w:r>
              <w:rPr>
                <w:rFonts w:hint="eastAsia" w:ascii="Times New Roman" w:hAnsi="Times New Roman" w:cs="Times New Roman"/>
                <w:color w:val="0000FF"/>
                <w:highlight w:val="none"/>
                <w:lang w:val="en-US" w:eastAsia="zh-CN"/>
              </w:rPr>
              <w:t>（kg/h）</w:t>
            </w:r>
            <w:r>
              <w:rPr>
                <w:rFonts w:hint="default" w:ascii="Times New Roman" w:hAnsi="Times New Roman" w:eastAsia="宋体" w:cs="Times New Roman"/>
                <w:color w:val="0000FF"/>
                <w:highlight w:val="none"/>
                <w:lang w:val="en-US" w:eastAsia="zh-CN"/>
              </w:rPr>
              <w:t>=</w:t>
            </w:r>
            <w:r>
              <w:rPr>
                <w:rFonts w:hint="eastAsia" w:ascii="Times New Roman" w:hAnsi="Times New Roman" w:cs="Times New Roman"/>
                <w:color w:val="0000FF"/>
                <w:highlight w:val="none"/>
                <w:lang w:val="en-US" w:eastAsia="zh-CN"/>
              </w:rPr>
              <w:t>（</w:t>
            </w:r>
            <w:r>
              <w:rPr>
                <w:rFonts w:hint="eastAsia" w:ascii="Times New Roman" w:hAnsi="Times New Roman" w:eastAsia="宋体" w:cs="Times New Roman"/>
                <w:color w:val="0000FF"/>
                <w:highlight w:val="none"/>
                <w:lang w:val="en-US" w:eastAsia="zh-CN"/>
              </w:rPr>
              <w:t>1吨水变成水蒸气需要吸收的热量</w:t>
            </w:r>
            <w:r>
              <w:rPr>
                <w:rFonts w:hint="default" w:ascii="Times New Roman" w:hAnsi="Times New Roman" w:eastAsia="宋体" w:cs="Times New Roman"/>
                <w:color w:val="0000FF"/>
                <w:highlight w:val="none"/>
                <w:lang w:val="en-US" w:eastAsia="zh-CN"/>
              </w:rPr>
              <w:t>*</w:t>
            </w:r>
            <w:r>
              <w:rPr>
                <w:rFonts w:hint="eastAsia" w:ascii="Times New Roman" w:hAnsi="Times New Roman" w:cs="Times New Roman"/>
                <w:color w:val="0000FF"/>
                <w:highlight w:val="none"/>
                <w:lang w:val="en-US" w:eastAsia="zh-CN"/>
              </w:rPr>
              <w:t>锅炉</w:t>
            </w:r>
            <w:r>
              <w:rPr>
                <w:rFonts w:hint="eastAsia" w:ascii="Times New Roman" w:hAnsi="Times New Roman" w:eastAsia="宋体" w:cs="Times New Roman"/>
                <w:color w:val="0000FF"/>
                <w:highlight w:val="none"/>
                <w:lang w:val="en-US" w:eastAsia="zh-CN"/>
              </w:rPr>
              <w:t>吨位</w:t>
            </w:r>
            <w:r>
              <w:rPr>
                <w:rFonts w:hint="eastAsia" w:ascii="Times New Roman" w:hAnsi="Times New Roman" w:cs="Times New Roman"/>
                <w:color w:val="0000FF"/>
                <w:highlight w:val="none"/>
                <w:lang w:val="en-US" w:eastAsia="zh-CN"/>
              </w:rPr>
              <w:t>）</w:t>
            </w:r>
            <w:r>
              <w:rPr>
                <w:rFonts w:hint="default" w:ascii="Arial" w:hAnsi="Arial" w:eastAsia="宋体" w:cs="Arial"/>
                <w:i w:val="0"/>
                <w:iCs w:val="0"/>
                <w:caps w:val="0"/>
                <w:color w:val="0000FF"/>
                <w:spacing w:val="0"/>
                <w:sz w:val="24"/>
                <w:szCs w:val="24"/>
                <w:highlight w:val="none"/>
                <w:shd w:val="clear" w:color="auto" w:fill="FFFFFF"/>
              </w:rPr>
              <w:t>÷</w:t>
            </w:r>
            <w:r>
              <w:rPr>
                <w:rFonts w:hint="eastAsia" w:ascii="Arial" w:hAnsi="Arial" w:eastAsia="宋体" w:cs="Arial"/>
                <w:i w:val="0"/>
                <w:iCs w:val="0"/>
                <w:caps w:val="0"/>
                <w:color w:val="0000FF"/>
                <w:spacing w:val="0"/>
                <w:sz w:val="24"/>
                <w:szCs w:val="24"/>
                <w:highlight w:val="none"/>
                <w:shd w:val="clear" w:color="auto" w:fill="FFFFFF"/>
                <w:lang w:eastAsia="zh-CN"/>
              </w:rPr>
              <w:t>（</w:t>
            </w:r>
            <w:r>
              <w:rPr>
                <w:rFonts w:hint="eastAsia" w:ascii="Times New Roman" w:hAnsi="Times New Roman" w:eastAsia="宋体" w:cs="Times New Roman"/>
                <w:color w:val="0000FF"/>
                <w:highlight w:val="none"/>
                <w:lang w:val="en-US" w:eastAsia="zh-CN"/>
              </w:rPr>
              <w:t>燃料热值*锅炉燃烧效率）</w:t>
            </w:r>
            <w:r>
              <w:rPr>
                <w:rFonts w:hint="eastAsia"/>
                <w:color w:val="0000FF"/>
                <w:highlight w:val="none"/>
                <w:lang w:eastAsia="zh-CN"/>
              </w:rPr>
              <w:t>。</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式中：</w:t>
            </w:r>
            <w:r>
              <w:rPr>
                <w:rFonts w:hint="default" w:ascii="Times New Roman" w:hAnsi="Times New Roman" w:eastAsia="宋体" w:cs="Times New Roman"/>
                <w:color w:val="0000FF"/>
                <w:highlight w:val="none"/>
                <w:lang w:val="en-US" w:eastAsia="zh-CN"/>
              </w:rPr>
              <w:t>1</w:t>
            </w:r>
            <w:r>
              <w:rPr>
                <w:rFonts w:hint="eastAsia" w:ascii="Times New Roman" w:hAnsi="Times New Roman" w:eastAsia="宋体" w:cs="Times New Roman"/>
                <w:color w:val="0000FF"/>
                <w:highlight w:val="none"/>
                <w:lang w:val="en-US" w:eastAsia="zh-CN"/>
              </w:rPr>
              <w:t>吨水变成水蒸气需要吸收的热量：60万</w:t>
            </w:r>
            <w:r>
              <w:rPr>
                <w:rFonts w:hint="eastAsia" w:ascii="Times New Roman" w:hAnsi="Times New Roman" w:cs="Times New Roman"/>
                <w:color w:val="0000FF"/>
                <w:highlight w:val="none"/>
                <w:lang w:val="en-US" w:eastAsia="zh-CN"/>
              </w:rPr>
              <w:t>k</w:t>
            </w:r>
            <w:r>
              <w:rPr>
                <w:rFonts w:hint="eastAsia" w:ascii="Times New Roman" w:hAnsi="Times New Roman" w:eastAsia="宋体" w:cs="Times New Roman"/>
                <w:color w:val="0000FF"/>
                <w:highlight w:val="none"/>
                <w:lang w:val="en-US" w:eastAsia="zh-CN"/>
              </w:rPr>
              <w:t>cal</w:t>
            </w:r>
            <w:r>
              <w:rPr>
                <w:rFonts w:hint="eastAsia" w:ascii="Times New Roman" w:hAnsi="Times New Roman" w:cs="Times New Roman"/>
                <w:color w:val="0000FF"/>
                <w:highlight w:val="none"/>
                <w:lang w:val="en-US" w:eastAsia="zh-CN"/>
              </w:rPr>
              <w:t>/吨</w:t>
            </w:r>
            <w:r>
              <w:rPr>
                <w:rFonts w:hint="eastAsia" w:ascii="Times New Roman" w:hAnsi="Times New Roman" w:eastAsia="宋体" w:cs="Times New Roman"/>
                <w:color w:val="0000FF"/>
                <w:highlight w:val="none"/>
                <w:lang w:val="en-US" w:eastAsia="zh-CN"/>
              </w:rPr>
              <w:t>；</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1200" w:firstLineChars="50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cs="Times New Roman"/>
                <w:color w:val="0000FF"/>
                <w:highlight w:val="none"/>
                <w:lang w:val="en-US" w:eastAsia="zh-CN"/>
              </w:rPr>
              <w:t>锅炉</w:t>
            </w:r>
            <w:r>
              <w:rPr>
                <w:rFonts w:hint="eastAsia" w:ascii="Times New Roman" w:hAnsi="Times New Roman" w:eastAsia="宋体" w:cs="Times New Roman"/>
                <w:color w:val="0000FF"/>
                <w:highlight w:val="none"/>
                <w:lang w:val="en-US" w:eastAsia="zh-CN"/>
              </w:rPr>
              <w:t>吨位：</w:t>
            </w:r>
            <w:r>
              <w:rPr>
                <w:rFonts w:hint="eastAsia" w:eastAsia="宋体" w:cs="Times New Roman"/>
                <w:color w:val="0000FF"/>
                <w:highlight w:val="none"/>
                <w:lang w:val="en-US" w:eastAsia="zh-CN"/>
              </w:rPr>
              <w:t>按额定蒸发量</w:t>
            </w:r>
            <w:r>
              <w:rPr>
                <w:rFonts w:hint="eastAsia" w:cs="Times New Roman"/>
                <w:color w:val="0000FF"/>
                <w:highlight w:val="none"/>
                <w:lang w:val="en-US" w:eastAsia="zh-CN"/>
              </w:rPr>
              <w:t>2.5</w:t>
            </w:r>
            <w:r>
              <w:rPr>
                <w:rFonts w:hint="eastAsia" w:ascii="Times New Roman" w:hAnsi="Times New Roman" w:eastAsia="宋体" w:cs="Times New Roman"/>
                <w:color w:val="0000FF"/>
                <w:highlight w:val="none"/>
                <w:lang w:val="en-US" w:eastAsia="zh-CN"/>
              </w:rPr>
              <w:t>t/h；</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1200" w:firstLineChars="50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燃料热值：4039</w:t>
            </w:r>
            <w:r>
              <w:rPr>
                <w:rFonts w:hint="default" w:ascii="Times New Roman" w:hAnsi="Times New Roman" w:eastAsia="宋体" w:cs="Times New Roman"/>
                <w:color w:val="0000FF"/>
                <w:highlight w:val="none"/>
                <w:lang w:val="en-US" w:eastAsia="zh-CN"/>
              </w:rPr>
              <w:t>kcal</w:t>
            </w:r>
            <w:r>
              <w:rPr>
                <w:rFonts w:hint="eastAsia" w:ascii="Times New Roman" w:hAnsi="Times New Roman" w:eastAsia="宋体" w:cs="Times New Roman"/>
                <w:color w:val="0000FF"/>
                <w:highlight w:val="none"/>
                <w:lang w:val="en-US" w:eastAsia="zh-CN"/>
              </w:rPr>
              <w:t>/kg；取生物质成型燃料收到基低位发热值。</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1200" w:firstLineChars="50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锅炉</w:t>
            </w:r>
            <w:r>
              <w:rPr>
                <w:rFonts w:hint="eastAsia" w:ascii="Times New Roman" w:hAnsi="Times New Roman" w:cs="Times New Roman"/>
                <w:color w:val="0000FF"/>
                <w:highlight w:val="none"/>
                <w:lang w:val="en-US" w:eastAsia="zh-CN"/>
              </w:rPr>
              <w:t>热效率</w:t>
            </w:r>
            <w:r>
              <w:rPr>
                <w:rFonts w:hint="eastAsia" w:ascii="Times New Roman" w:hAnsi="Times New Roman" w:eastAsia="宋体" w:cs="Times New Roman"/>
                <w:color w:val="0000FF"/>
                <w:highlight w:val="none"/>
                <w:lang w:val="en-US" w:eastAsia="zh-CN"/>
              </w:rPr>
              <w:t>：参照《生物质锅炉技术规范》（GB/T44906-2024），额定蒸发量</w:t>
            </w:r>
            <w:r>
              <w:rPr>
                <w:rFonts w:hint="default" w:ascii="Times New Roman" w:hAnsi="Times New Roman" w:eastAsia="宋体" w:cs="Times New Roman"/>
                <w:color w:val="0000FF"/>
                <w:highlight w:val="none"/>
                <w:lang w:val="en-US" w:eastAsia="zh-CN"/>
              </w:rPr>
              <w:t>10</w:t>
            </w:r>
            <w:r>
              <w:rPr>
                <w:rFonts w:hint="eastAsia" w:ascii="Times New Roman" w:hAnsi="Times New Roman" w:eastAsia="宋体" w:cs="Times New Roman"/>
                <w:color w:val="0000FF"/>
                <w:highlight w:val="none"/>
                <w:lang w:val="en-US" w:eastAsia="zh-CN"/>
              </w:rPr>
              <w:t>吨以下，生物质锅炉热效率的限定值为</w:t>
            </w:r>
            <w:r>
              <w:rPr>
                <w:rFonts w:hint="default" w:ascii="Times New Roman" w:hAnsi="Times New Roman" w:eastAsia="宋体" w:cs="Times New Roman"/>
                <w:color w:val="0000FF"/>
                <w:highlight w:val="none"/>
                <w:lang w:val="en-US" w:eastAsia="zh-CN"/>
              </w:rPr>
              <w:t>8</w:t>
            </w:r>
            <w:r>
              <w:rPr>
                <w:rFonts w:hint="eastAsia" w:ascii="Times New Roman" w:hAnsi="Times New Roman" w:eastAsia="宋体" w:cs="Times New Roman"/>
                <w:color w:val="0000FF"/>
                <w:highlight w:val="none"/>
                <w:lang w:val="en-US" w:eastAsia="zh-CN"/>
              </w:rPr>
              <w:t>3</w:t>
            </w:r>
            <w:r>
              <w:rPr>
                <w:rFonts w:hint="default" w:ascii="Times New Roman" w:hAnsi="Times New Roman" w:eastAsia="宋体" w:cs="Times New Roman"/>
                <w:color w:val="0000FF"/>
                <w:highlight w:val="none"/>
                <w:lang w:val="en-US" w:eastAsia="zh-CN"/>
              </w:rPr>
              <w:t>%</w:t>
            </w:r>
            <w:r>
              <w:rPr>
                <w:rFonts w:hint="eastAsia" w:ascii="Times New Roman" w:hAnsi="Times New Roman" w:eastAsia="宋体" w:cs="Times New Roman"/>
                <w:color w:val="0000FF"/>
                <w:highlight w:val="none"/>
                <w:lang w:val="en-US" w:eastAsia="zh-CN"/>
              </w:rPr>
              <w:t>。</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firstLineChars="20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计算出本项目锅炉</w:t>
            </w:r>
            <w:r>
              <w:rPr>
                <w:rFonts w:hint="default" w:ascii="Times New Roman" w:hAnsi="Times New Roman" w:eastAsia="宋体" w:cs="Times New Roman"/>
                <w:color w:val="0000FF"/>
                <w:highlight w:val="none"/>
                <w:lang w:val="en-US" w:eastAsia="zh-CN"/>
              </w:rPr>
              <w:t>1</w:t>
            </w:r>
            <w:r>
              <w:rPr>
                <w:rFonts w:hint="eastAsia" w:ascii="Times New Roman" w:hAnsi="Times New Roman" w:eastAsia="宋体" w:cs="Times New Roman"/>
                <w:color w:val="0000FF"/>
                <w:highlight w:val="none"/>
                <w:lang w:val="en-US" w:eastAsia="zh-CN"/>
              </w:rPr>
              <w:t>小时需要生物质燃料总量为</w:t>
            </w:r>
            <w:r>
              <w:rPr>
                <w:rFonts w:hint="default" w:ascii="Times New Roman" w:hAnsi="Times New Roman" w:eastAsia="宋体" w:cs="Times New Roman"/>
                <w:color w:val="0000FF"/>
                <w:highlight w:val="none"/>
                <w:lang w:val="en-US" w:eastAsia="zh-CN"/>
              </w:rPr>
              <w:t>600000*</w:t>
            </w:r>
            <w:r>
              <w:rPr>
                <w:rFonts w:hint="eastAsia" w:ascii="Times New Roman" w:hAnsi="Times New Roman" w:cs="Times New Roman"/>
                <w:color w:val="0000FF"/>
                <w:highlight w:val="none"/>
                <w:lang w:val="en-US" w:eastAsia="zh-CN"/>
              </w:rPr>
              <w:t>2.5</w:t>
            </w:r>
            <w:r>
              <w:rPr>
                <w:rFonts w:hint="default" w:ascii="Times New Roman" w:hAnsi="Times New Roman" w:eastAsia="宋体" w:cs="Times New Roman"/>
                <w:color w:val="0000FF"/>
                <w:highlight w:val="none"/>
                <w:lang w:val="en-US" w:eastAsia="zh-CN"/>
              </w:rPr>
              <w:t>/</w:t>
            </w:r>
            <w:r>
              <w:rPr>
                <w:rFonts w:hint="eastAsia" w:ascii="Times New Roman" w:hAnsi="Times New Roman" w:cs="Times New Roman"/>
                <w:color w:val="0000FF"/>
                <w:highlight w:val="none"/>
                <w:lang w:val="en-US" w:eastAsia="zh-CN"/>
              </w:rPr>
              <w:t>4039</w:t>
            </w:r>
            <w:r>
              <w:rPr>
                <w:rFonts w:hint="default" w:ascii="Times New Roman" w:hAnsi="Times New Roman" w:eastAsia="宋体" w:cs="Times New Roman"/>
                <w:color w:val="0000FF"/>
                <w:highlight w:val="none"/>
                <w:lang w:val="en-US" w:eastAsia="zh-CN"/>
              </w:rPr>
              <w:t>/</w:t>
            </w:r>
            <w:r>
              <w:rPr>
                <w:rFonts w:hint="eastAsia" w:ascii="Times New Roman" w:hAnsi="Times New Roman" w:eastAsia="宋体" w:cs="Times New Roman"/>
                <w:color w:val="0000FF"/>
                <w:highlight w:val="none"/>
                <w:lang w:val="en-US" w:eastAsia="zh-CN"/>
              </w:rPr>
              <w:t>83</w:t>
            </w:r>
            <w:r>
              <w:rPr>
                <w:rFonts w:hint="default" w:ascii="Times New Roman" w:hAnsi="Times New Roman" w:eastAsia="宋体" w:cs="Times New Roman"/>
                <w:color w:val="0000FF"/>
                <w:highlight w:val="none"/>
                <w:lang w:val="en-US" w:eastAsia="zh-CN"/>
              </w:rPr>
              <w:t>%</w:t>
            </w:r>
            <w:r>
              <w:rPr>
                <w:rFonts w:hint="eastAsia" w:ascii="Times New Roman" w:hAnsi="Times New Roman" w:eastAsia="宋体" w:cs="Times New Roman"/>
                <w:color w:val="0000FF"/>
                <w:highlight w:val="none"/>
                <w:lang w:val="en-US" w:eastAsia="zh-CN"/>
              </w:rPr>
              <w:t>≈</w:t>
            </w:r>
            <w:r>
              <w:rPr>
                <w:rFonts w:hint="eastAsia" w:ascii="Times New Roman" w:hAnsi="Times New Roman" w:cs="Times New Roman"/>
                <w:color w:val="0000FF"/>
                <w:highlight w:val="none"/>
                <w:lang w:val="en-US" w:eastAsia="zh-CN"/>
              </w:rPr>
              <w:t>447.4</w:t>
            </w:r>
            <w:r>
              <w:rPr>
                <w:rFonts w:hint="default" w:ascii="Times New Roman" w:hAnsi="Times New Roman" w:eastAsia="宋体" w:cs="Times New Roman"/>
                <w:color w:val="0000FF"/>
                <w:highlight w:val="none"/>
                <w:lang w:val="en-US" w:eastAsia="zh-CN"/>
              </w:rPr>
              <w:t>kg/h</w:t>
            </w:r>
            <w:r>
              <w:rPr>
                <w:rFonts w:hint="eastAsia" w:ascii="Times New Roman" w:hAnsi="Times New Roman" w:eastAsia="宋体" w:cs="Times New Roman"/>
                <w:color w:val="0000FF"/>
                <w:highlight w:val="none"/>
                <w:lang w:val="en-US" w:eastAsia="zh-CN"/>
              </w:rPr>
              <w:t>，锅炉生产负荷率按</w:t>
            </w:r>
            <w:r>
              <w:rPr>
                <w:rFonts w:hint="eastAsia" w:ascii="Times New Roman" w:hAnsi="Times New Roman" w:cs="Times New Roman"/>
                <w:color w:val="0000FF"/>
                <w:highlight w:val="none"/>
                <w:lang w:val="en-US" w:eastAsia="zh-CN"/>
              </w:rPr>
              <w:t>75</w:t>
            </w:r>
            <w:r>
              <w:rPr>
                <w:rFonts w:hint="default" w:ascii="Times New Roman" w:hAnsi="Times New Roman" w:eastAsia="宋体" w:cs="Times New Roman"/>
                <w:color w:val="0000FF"/>
                <w:highlight w:val="none"/>
                <w:lang w:val="en-US" w:eastAsia="zh-CN"/>
              </w:rPr>
              <w:t>%</w:t>
            </w:r>
            <w:r>
              <w:rPr>
                <w:rFonts w:hint="eastAsia" w:ascii="Times New Roman" w:hAnsi="Times New Roman" w:eastAsia="宋体" w:cs="Times New Roman"/>
                <w:color w:val="0000FF"/>
                <w:highlight w:val="none"/>
                <w:lang w:val="en-US" w:eastAsia="zh-CN"/>
              </w:rPr>
              <w:t>计，</w:t>
            </w:r>
            <w:r>
              <w:rPr>
                <w:rFonts w:hint="eastAsia" w:ascii="Times New Roman" w:hAnsi="Times New Roman" w:cs="Times New Roman"/>
                <w:color w:val="0000FF"/>
                <w:highlight w:val="none"/>
                <w:lang w:val="en-US" w:eastAsia="zh-CN"/>
              </w:rPr>
              <w:t>锅炉年运行时间4800h，</w:t>
            </w:r>
            <w:r>
              <w:rPr>
                <w:rFonts w:hint="eastAsia" w:ascii="Times New Roman" w:hAnsi="Times New Roman" w:eastAsia="宋体" w:cs="Times New Roman"/>
                <w:color w:val="0000FF"/>
                <w:highlight w:val="none"/>
                <w:lang w:val="en-US" w:eastAsia="zh-CN"/>
              </w:rPr>
              <w:t>则本项目锅炉每年需要生物质燃料总量为</w:t>
            </w:r>
            <w:r>
              <w:rPr>
                <w:rFonts w:hint="eastAsia" w:ascii="Times New Roman" w:hAnsi="Times New Roman" w:cs="Times New Roman"/>
                <w:color w:val="0000FF"/>
                <w:highlight w:val="none"/>
                <w:lang w:val="en-US" w:eastAsia="zh-CN"/>
              </w:rPr>
              <w:t>447.4</w:t>
            </w:r>
            <w:r>
              <w:rPr>
                <w:rFonts w:hint="default" w:ascii="Times New Roman" w:hAnsi="Times New Roman" w:eastAsia="宋体" w:cs="Times New Roman"/>
                <w:color w:val="0000FF"/>
                <w:highlight w:val="none"/>
                <w:lang w:val="en-US" w:eastAsia="zh-CN"/>
              </w:rPr>
              <w:t>*</w:t>
            </w:r>
            <w:r>
              <w:rPr>
                <w:rFonts w:hint="eastAsia" w:ascii="Times New Roman" w:hAnsi="Times New Roman" w:cs="Times New Roman"/>
                <w:color w:val="0000FF"/>
                <w:highlight w:val="none"/>
                <w:lang w:val="en-US" w:eastAsia="zh-CN"/>
              </w:rPr>
              <w:t>4800*75%</w:t>
            </w:r>
            <w:r>
              <w:rPr>
                <w:rFonts w:hint="eastAsia" w:ascii="Times New Roman" w:hAnsi="Times New Roman" w:eastAsia="宋体" w:cs="Times New Roman"/>
                <w:color w:val="0000FF"/>
                <w:highlight w:val="none"/>
                <w:lang w:val="en-US" w:eastAsia="zh-CN"/>
              </w:rPr>
              <w:t>/</w:t>
            </w:r>
            <w:r>
              <w:rPr>
                <w:rFonts w:hint="default" w:ascii="Times New Roman" w:hAnsi="Times New Roman" w:eastAsia="宋体" w:cs="Times New Roman"/>
                <w:color w:val="0000FF"/>
                <w:highlight w:val="none"/>
                <w:lang w:val="en-US" w:eastAsia="zh-CN"/>
              </w:rPr>
              <w:t>1000=</w:t>
            </w:r>
            <w:r>
              <w:rPr>
                <w:rFonts w:hint="eastAsia" w:ascii="Times New Roman" w:hAnsi="Times New Roman" w:cs="Times New Roman"/>
                <w:color w:val="0000FF"/>
                <w:highlight w:val="none"/>
                <w:lang w:val="en-US" w:eastAsia="zh-CN"/>
              </w:rPr>
              <w:t>1611</w:t>
            </w:r>
            <w:r>
              <w:rPr>
                <w:rFonts w:hint="eastAsia" w:ascii="Times New Roman" w:hAnsi="Times New Roman" w:eastAsia="宋体" w:cs="Times New Roman"/>
                <w:color w:val="0000FF"/>
                <w:highlight w:val="none"/>
                <w:lang w:val="en-US" w:eastAsia="zh-CN"/>
              </w:rPr>
              <w:t xml:space="preserve"> </w:t>
            </w:r>
            <w:r>
              <w:rPr>
                <w:rFonts w:hint="default" w:ascii="Times New Roman" w:hAnsi="Times New Roman" w:eastAsia="宋体" w:cs="Times New Roman"/>
                <w:color w:val="0000FF"/>
                <w:highlight w:val="none"/>
                <w:lang w:val="en-US" w:eastAsia="zh-CN"/>
              </w:rPr>
              <w:t>t/a</w:t>
            </w:r>
            <w:r>
              <w:rPr>
                <w:rFonts w:hint="eastAsia" w:ascii="Times New Roman" w:hAnsi="Times New Roman" w:eastAsia="宋体" w:cs="Times New Roman"/>
                <w:color w:val="0000FF"/>
                <w:highlight w:val="none"/>
                <w:lang w:val="en-US" w:eastAsia="zh-CN"/>
              </w:rPr>
              <w:t>。</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firstLineChars="20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cs="Times New Roman"/>
                <w:color w:val="0000FF"/>
                <w:highlight w:val="none"/>
                <w:lang w:val="en-US" w:eastAsia="zh-CN"/>
              </w:rPr>
              <w:t>项目</w:t>
            </w:r>
            <w:r>
              <w:rPr>
                <w:rFonts w:hint="eastAsia" w:ascii="Times New Roman" w:hAnsi="Times New Roman" w:eastAsia="宋体" w:cs="Times New Roman"/>
                <w:color w:val="0000FF"/>
                <w:highlight w:val="none"/>
                <w:lang w:val="en-US" w:eastAsia="zh-CN"/>
              </w:rPr>
              <w:t>燃料使用要求：①必须向正规厂商购进合格的生物质燃料，且燃料需为颗粒状，禁止使用粉状；②生物质燃料不得沾染废机油、夹带塑料和生活垃圾，不得沾染其他有毒有害物质。</w:t>
            </w:r>
          </w:p>
          <w:p>
            <w:pPr>
              <w:pStyle w:val="8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firstLineChars="200"/>
              <w:textAlignment w:val="auto"/>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本项目尚未确定固定的生物质成型燃料制造厂家为本项目提供燃料，生物质燃料成分参考《江西威信工业有限公司燃煤锅炉改生物质锅炉项目》（2024年7月）中生物质颗粒成分，详见下表：</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宋体" w:cs="Times New Roman"/>
                <w:b/>
                <w:color w:val="0000FF"/>
                <w:szCs w:val="20"/>
                <w:highlight w:val="none"/>
                <w:lang w:val="en-US" w:eastAsia="zh-CN"/>
              </w:rPr>
            </w:pPr>
            <w:r>
              <w:rPr>
                <w:rFonts w:hint="eastAsia" w:ascii="Times New Roman" w:hAnsi="Times New Roman" w:eastAsia="宋体" w:cs="Times New Roman"/>
                <w:b/>
                <w:color w:val="0000FF"/>
                <w:szCs w:val="20"/>
                <w:highlight w:val="none"/>
                <w:lang w:val="en-US" w:eastAsia="zh-CN"/>
              </w:rPr>
              <w:t>表2-6 生物质颗粒成分检测表</w:t>
            </w:r>
          </w:p>
          <w:tbl>
            <w:tblPr>
              <w:tblStyle w:val="105"/>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779"/>
              <w:gridCol w:w="1138"/>
              <w:gridCol w:w="1415"/>
              <w:gridCol w:w="205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bCs/>
                      <w:color w:val="0000FF"/>
                      <w:sz w:val="21"/>
                      <w:highlight w:val="none"/>
                    </w:rPr>
                  </w:pPr>
                  <w:r>
                    <w:rPr>
                      <w:rFonts w:ascii="Times New Roman" w:hAnsi="Times New Roman" w:eastAsia="宋体" w:cs="Times New Roman"/>
                      <w:b/>
                      <w:bCs/>
                      <w:color w:val="0000FF"/>
                      <w:sz w:val="21"/>
                      <w:highlight w:val="none"/>
                    </w:rPr>
                    <w:t>项目</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bCs/>
                      <w:color w:val="0000FF"/>
                      <w:sz w:val="21"/>
                      <w:highlight w:val="none"/>
                    </w:rPr>
                  </w:pPr>
                  <w:r>
                    <w:rPr>
                      <w:rFonts w:ascii="Times New Roman" w:hAnsi="Times New Roman" w:eastAsia="宋体" w:cs="Times New Roman"/>
                      <w:b/>
                      <w:bCs/>
                      <w:color w:val="0000FF"/>
                      <w:sz w:val="21"/>
                      <w:highlight w:val="none"/>
                    </w:rPr>
                    <w:t>收到基</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bCs/>
                      <w:color w:val="0000FF"/>
                      <w:sz w:val="21"/>
                      <w:highlight w:val="none"/>
                    </w:rPr>
                  </w:pPr>
                  <w:r>
                    <w:rPr>
                      <w:rFonts w:ascii="Times New Roman" w:hAnsi="Times New Roman" w:eastAsia="宋体" w:cs="Times New Roman"/>
                      <w:b/>
                      <w:bCs/>
                      <w:color w:val="0000FF"/>
                      <w:sz w:val="21"/>
                      <w:highlight w:val="none"/>
                    </w:rPr>
                    <w:t>干燥基</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bCs/>
                      <w:color w:val="0000FF"/>
                      <w:sz w:val="21"/>
                      <w:highlight w:val="none"/>
                    </w:rPr>
                  </w:pPr>
                  <w:r>
                    <w:rPr>
                      <w:rFonts w:ascii="Times New Roman" w:hAnsi="Times New Roman" w:eastAsia="宋体" w:cs="Times New Roman"/>
                      <w:b/>
                      <w:bCs/>
                      <w:color w:val="0000FF"/>
                      <w:sz w:val="21"/>
                      <w:highlight w:val="none"/>
                    </w:rPr>
                    <w:t>执行标准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高位发热量Qgr(MJ/kg兆焦耳/千克)</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18.01</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18.78</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30727-2014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高位发热量Qgr(</w:t>
                  </w:r>
                  <w:r>
                    <w:rPr>
                      <w:rFonts w:hint="eastAsia" w:ascii="Times New Roman" w:hAnsi="Times New Roman" w:eastAsia="宋体" w:cs="Times New Roman"/>
                      <w:b w:val="0"/>
                      <w:bCs w:val="0"/>
                      <w:color w:val="0000FF"/>
                      <w:sz w:val="21"/>
                      <w:highlight w:val="none"/>
                      <w:lang w:val="en-US" w:eastAsia="zh-CN"/>
                    </w:rPr>
                    <w:t>k</w:t>
                  </w:r>
                  <w:r>
                    <w:rPr>
                      <w:rFonts w:ascii="Times New Roman" w:hAnsi="Times New Roman" w:eastAsia="宋体" w:cs="Times New Roman"/>
                      <w:b w:val="0"/>
                      <w:bCs w:val="0"/>
                      <w:color w:val="0000FF"/>
                      <w:sz w:val="21"/>
                      <w:highlight w:val="none"/>
                    </w:rPr>
                    <w:t>cal/kg千卡/千克)</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4304.39</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4488.42</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30727-2014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低位发热量Qnet(MJ/kg兆焦耳/千克)</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16.9</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17.73</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30727-2014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低位发热量Qnet(</w:t>
                  </w:r>
                  <w:r>
                    <w:rPr>
                      <w:rFonts w:hint="eastAsia" w:ascii="Times New Roman" w:hAnsi="Times New Roman" w:eastAsia="宋体" w:cs="Times New Roman"/>
                      <w:b w:val="0"/>
                      <w:bCs w:val="0"/>
                      <w:color w:val="0000FF"/>
                      <w:sz w:val="21"/>
                      <w:highlight w:val="none"/>
                      <w:lang w:val="en-US" w:eastAsia="zh-CN"/>
                    </w:rPr>
                    <w:t>k</w:t>
                  </w:r>
                  <w:r>
                    <w:rPr>
                      <w:rFonts w:ascii="Times New Roman" w:hAnsi="Times New Roman" w:eastAsia="宋体" w:cs="Times New Roman"/>
                      <w:b w:val="0"/>
                      <w:bCs w:val="0"/>
                      <w:color w:val="0000FF"/>
                      <w:sz w:val="21"/>
                      <w:highlight w:val="none"/>
                    </w:rPr>
                    <w:t>calk/g千卡/千克)</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4039.1</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4237.47</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30727-2014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灰分A(%)</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0.81</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0.84</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28731-2012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挥发分V(%)</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77.93</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81.28</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GB/T28731-2012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固定碳FC(%)</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14.56</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15.19</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28731-2012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3774"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全硫St(%)</w:t>
                  </w:r>
                </w:p>
              </w:tc>
              <w:tc>
                <w:tcPr>
                  <w:tcW w:w="113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0.001</w:t>
                  </w:r>
                </w:p>
              </w:tc>
              <w:tc>
                <w:tcPr>
                  <w:tcW w:w="1413"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0.001</w:t>
                  </w:r>
                </w:p>
              </w:tc>
              <w:tc>
                <w:tcPr>
                  <w:tcW w:w="2057" w:type="dxa"/>
                  <w:tcBorders>
                    <w:tl2br w:val="nil"/>
                    <w:tr2bl w:val="nil"/>
                  </w:tcBorders>
                  <w:vAlign w:val="top"/>
                </w:tcPr>
                <w:p>
                  <w:pPr>
                    <w:pStyle w:val="58"/>
                    <w:spacing w:before="24" w:after="24"/>
                    <w:jc w:val="center"/>
                    <w:rPr>
                      <w:rFonts w:ascii="Times New Roman" w:hAnsi="Times New Roman" w:eastAsia="宋体" w:cs="Times New Roman"/>
                      <w:b w:val="0"/>
                      <w:bCs w:val="0"/>
                      <w:color w:val="0000FF"/>
                      <w:sz w:val="21"/>
                      <w:highlight w:val="none"/>
                    </w:rPr>
                  </w:pPr>
                  <w:r>
                    <w:rPr>
                      <w:rFonts w:ascii="Times New Roman" w:hAnsi="Times New Roman" w:eastAsia="宋体" w:cs="Times New Roman"/>
                      <w:b w:val="0"/>
                      <w:bCs w:val="0"/>
                      <w:color w:val="0000FF"/>
                      <w:sz w:val="21"/>
                      <w:highlight w:val="none"/>
                    </w:rPr>
                    <w:t>GB/T 28732-2012</w:t>
                  </w:r>
                </w:p>
              </w:tc>
            </w:tr>
          </w:tbl>
          <w:p>
            <w:pPr>
              <w:spacing w:before="120" w:beforeLines="50" w:line="360" w:lineRule="auto"/>
              <w:ind w:firstLine="481" w:firstLineChars="200"/>
              <w:rPr>
                <w:b/>
                <w:bCs/>
                <w:sz w:val="24"/>
                <w:highlight w:val="none"/>
              </w:rPr>
            </w:pPr>
            <w:r>
              <w:rPr>
                <w:rFonts w:hint="eastAsia"/>
                <w:b/>
                <w:bCs/>
                <w:sz w:val="24"/>
                <w:highlight w:val="none"/>
              </w:rPr>
              <w:t>4</w:t>
            </w:r>
            <w:r>
              <w:rPr>
                <w:b/>
                <w:bCs/>
                <w:sz w:val="24"/>
                <w:highlight w:val="none"/>
              </w:rPr>
              <w:t>、主要生产设备</w:t>
            </w:r>
          </w:p>
          <w:p>
            <w:pPr>
              <w:ind w:firstLine="480" w:firstLineChars="200"/>
              <w:rPr>
                <w:sz w:val="24"/>
                <w:highlight w:val="none"/>
              </w:rPr>
            </w:pPr>
            <w:r>
              <w:rPr>
                <w:rFonts w:hint="eastAsia"/>
                <w:sz w:val="24"/>
                <w:highlight w:val="none"/>
              </w:rPr>
              <w:t>项目主要生产设备见表2-</w:t>
            </w:r>
            <w:r>
              <w:rPr>
                <w:rFonts w:hint="eastAsia"/>
                <w:sz w:val="24"/>
                <w:highlight w:val="none"/>
                <w:lang w:val="en-US" w:eastAsia="zh-CN"/>
              </w:rPr>
              <w:t>7</w:t>
            </w:r>
            <w:r>
              <w:rPr>
                <w:rFonts w:hint="eastAsia"/>
                <w:sz w:val="24"/>
                <w:highlight w:val="none"/>
              </w:rPr>
              <w:t>。</w:t>
            </w:r>
          </w:p>
          <w:p>
            <w:pPr>
              <w:jc w:val="center"/>
              <w:rPr>
                <w:b/>
                <w:bCs/>
                <w:szCs w:val="21"/>
                <w:highlight w:val="none"/>
              </w:rPr>
            </w:pPr>
            <w:r>
              <w:rPr>
                <w:b/>
                <w:bCs/>
                <w:szCs w:val="21"/>
                <w:highlight w:val="none"/>
              </w:rPr>
              <w:t>表</w:t>
            </w:r>
            <w:r>
              <w:rPr>
                <w:rFonts w:hint="eastAsia"/>
                <w:b/>
                <w:bCs/>
                <w:szCs w:val="21"/>
                <w:highlight w:val="none"/>
              </w:rPr>
              <w:t>2</w:t>
            </w:r>
            <w:r>
              <w:rPr>
                <w:b/>
                <w:bCs/>
                <w:szCs w:val="21"/>
                <w:highlight w:val="none"/>
              </w:rPr>
              <w:t>-</w:t>
            </w:r>
            <w:r>
              <w:rPr>
                <w:rFonts w:hint="eastAsia"/>
                <w:b/>
                <w:bCs/>
                <w:szCs w:val="21"/>
                <w:highlight w:val="none"/>
                <w:lang w:val="en-US" w:eastAsia="zh-CN"/>
              </w:rPr>
              <w:t>7</w:t>
            </w:r>
            <w:r>
              <w:rPr>
                <w:b/>
                <w:bCs/>
                <w:szCs w:val="21"/>
                <w:highlight w:val="none"/>
              </w:rPr>
              <w:t xml:space="preserve"> </w:t>
            </w:r>
            <w:r>
              <w:rPr>
                <w:rFonts w:hint="eastAsia"/>
                <w:b/>
                <w:bCs/>
                <w:szCs w:val="21"/>
                <w:highlight w:val="none"/>
              </w:rPr>
              <w:t xml:space="preserve"> </w:t>
            </w:r>
            <w:r>
              <w:rPr>
                <w:b/>
                <w:bCs/>
                <w:szCs w:val="21"/>
                <w:highlight w:val="none"/>
              </w:rPr>
              <w:t>建设项目主要生产设备一览表</w:t>
            </w:r>
          </w:p>
          <w:tbl>
            <w:tblPr>
              <w:tblStyle w:val="39"/>
              <w:tblW w:w="5000"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74"/>
              <w:gridCol w:w="2462"/>
              <w:gridCol w:w="935"/>
              <w:gridCol w:w="819"/>
              <w:gridCol w:w="1615"/>
              <w:gridCol w:w="1786"/>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774" w:type="dxa"/>
                  <w:tcBorders>
                    <w:tl2br w:val="nil"/>
                    <w:tr2bl w:val="nil"/>
                  </w:tcBorders>
                  <w:vAlign w:val="center"/>
                </w:tcPr>
                <w:p>
                  <w:pPr>
                    <w:pStyle w:val="102"/>
                    <w:rPr>
                      <w:highlight w:val="none"/>
                    </w:rPr>
                  </w:pPr>
                  <w:r>
                    <w:rPr>
                      <w:rFonts w:hint="eastAsia"/>
                      <w:highlight w:val="none"/>
                    </w:rPr>
                    <w:t>序号</w:t>
                  </w:r>
                </w:p>
              </w:tc>
              <w:tc>
                <w:tcPr>
                  <w:tcW w:w="2462" w:type="dxa"/>
                  <w:tcBorders>
                    <w:tl2br w:val="nil"/>
                    <w:tr2bl w:val="nil"/>
                  </w:tcBorders>
                  <w:vAlign w:val="center"/>
                </w:tcPr>
                <w:p>
                  <w:pPr>
                    <w:pStyle w:val="102"/>
                    <w:rPr>
                      <w:highlight w:val="none"/>
                    </w:rPr>
                  </w:pPr>
                  <w:r>
                    <w:rPr>
                      <w:rFonts w:hint="eastAsia"/>
                      <w:highlight w:val="none"/>
                    </w:rPr>
                    <w:t>设 备 名 称</w:t>
                  </w:r>
                </w:p>
              </w:tc>
              <w:tc>
                <w:tcPr>
                  <w:tcW w:w="935" w:type="dxa"/>
                  <w:tcBorders>
                    <w:tl2br w:val="nil"/>
                    <w:tr2bl w:val="nil"/>
                  </w:tcBorders>
                  <w:vAlign w:val="center"/>
                </w:tcPr>
                <w:p>
                  <w:pPr>
                    <w:pStyle w:val="102"/>
                    <w:rPr>
                      <w:highlight w:val="none"/>
                    </w:rPr>
                  </w:pPr>
                  <w:r>
                    <w:rPr>
                      <w:rFonts w:hint="eastAsia"/>
                      <w:highlight w:val="none"/>
                    </w:rPr>
                    <w:t>单 位</w:t>
                  </w:r>
                </w:p>
              </w:tc>
              <w:tc>
                <w:tcPr>
                  <w:tcW w:w="819" w:type="dxa"/>
                  <w:tcBorders>
                    <w:tl2br w:val="nil"/>
                    <w:tr2bl w:val="nil"/>
                  </w:tcBorders>
                  <w:vAlign w:val="center"/>
                </w:tcPr>
                <w:p>
                  <w:pPr>
                    <w:pStyle w:val="102"/>
                    <w:rPr>
                      <w:highlight w:val="none"/>
                    </w:rPr>
                  </w:pPr>
                  <w:r>
                    <w:rPr>
                      <w:rFonts w:hint="eastAsia"/>
                      <w:highlight w:val="none"/>
                    </w:rPr>
                    <w:t>数 量</w:t>
                  </w:r>
                </w:p>
              </w:tc>
              <w:tc>
                <w:tcPr>
                  <w:tcW w:w="1615" w:type="dxa"/>
                  <w:tcBorders>
                    <w:tl2br w:val="nil"/>
                    <w:tr2bl w:val="nil"/>
                  </w:tcBorders>
                  <w:vAlign w:val="center"/>
                </w:tcPr>
                <w:p>
                  <w:pPr>
                    <w:pStyle w:val="102"/>
                    <w:rPr>
                      <w:highlight w:val="none"/>
                    </w:rPr>
                  </w:pPr>
                  <w:r>
                    <w:rPr>
                      <w:rFonts w:hint="eastAsia"/>
                      <w:highlight w:val="none"/>
                    </w:rPr>
                    <w:t>型号</w:t>
                  </w:r>
                </w:p>
              </w:tc>
              <w:tc>
                <w:tcPr>
                  <w:tcW w:w="1786" w:type="dxa"/>
                  <w:tcBorders>
                    <w:tl2br w:val="nil"/>
                    <w:tr2bl w:val="nil"/>
                  </w:tcBorders>
                  <w:vAlign w:val="center"/>
                </w:tcPr>
                <w:p>
                  <w:pPr>
                    <w:pStyle w:val="102"/>
                    <w:rPr>
                      <w:highlight w:val="none"/>
                    </w:rPr>
                  </w:pPr>
                  <w:r>
                    <w:rPr>
                      <w:rFonts w:hint="eastAsia"/>
                      <w:highlight w:val="none"/>
                    </w:rPr>
                    <w:t>备注（功能）</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1</w:t>
                  </w:r>
                </w:p>
              </w:tc>
              <w:tc>
                <w:tcPr>
                  <w:tcW w:w="2462" w:type="dxa"/>
                  <w:tcBorders>
                    <w:tl2br w:val="nil"/>
                    <w:tr2bl w:val="nil"/>
                  </w:tcBorders>
                  <w:vAlign w:val="center"/>
                </w:tcPr>
                <w:p>
                  <w:pPr>
                    <w:pStyle w:val="102"/>
                    <w:rPr>
                      <w:highlight w:val="none"/>
                    </w:rPr>
                  </w:pPr>
                  <w:r>
                    <w:rPr>
                      <w:rFonts w:hint="eastAsia"/>
                      <w:highlight w:val="none"/>
                    </w:rPr>
                    <w:t>鸡蛋上蛋系统</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XDJ-12</w:t>
                  </w:r>
                </w:p>
              </w:tc>
              <w:tc>
                <w:tcPr>
                  <w:tcW w:w="1786" w:type="dxa"/>
                  <w:tcBorders>
                    <w:tl2br w:val="nil"/>
                    <w:tr2bl w:val="nil"/>
                  </w:tcBorders>
                  <w:vAlign w:val="center"/>
                </w:tcPr>
                <w:p>
                  <w:pPr>
                    <w:pStyle w:val="102"/>
                    <w:rPr>
                      <w:highlight w:val="none"/>
                    </w:rPr>
                  </w:pPr>
                  <w:r>
                    <w:rPr>
                      <w:rFonts w:hint="eastAsia"/>
                      <w:highlight w:val="none"/>
                    </w:rPr>
                    <w:t>鸡蛋从蛋托到洗蛋机</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2</w:t>
                  </w:r>
                </w:p>
              </w:tc>
              <w:tc>
                <w:tcPr>
                  <w:tcW w:w="2462" w:type="dxa"/>
                  <w:tcBorders>
                    <w:tl2br w:val="nil"/>
                    <w:tr2bl w:val="nil"/>
                  </w:tcBorders>
                  <w:vAlign w:val="center"/>
                </w:tcPr>
                <w:p>
                  <w:pPr>
                    <w:pStyle w:val="102"/>
                    <w:rPr>
                      <w:highlight w:val="none"/>
                    </w:rPr>
                  </w:pPr>
                  <w:r>
                    <w:rPr>
                      <w:rFonts w:hint="eastAsia"/>
                      <w:highlight w:val="none"/>
                    </w:rPr>
                    <w:t>打蛋机</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SYNCHRO400</w:t>
                  </w:r>
                </w:p>
              </w:tc>
              <w:tc>
                <w:tcPr>
                  <w:tcW w:w="1786" w:type="dxa"/>
                  <w:tcBorders>
                    <w:tl2br w:val="nil"/>
                    <w:tr2bl w:val="nil"/>
                  </w:tcBorders>
                  <w:vAlign w:val="center"/>
                </w:tcPr>
                <w:p>
                  <w:pPr>
                    <w:pStyle w:val="102"/>
                    <w:rPr>
                      <w:highlight w:val="none"/>
                    </w:rPr>
                  </w:pPr>
                  <w:r>
                    <w:rPr>
                      <w:rFonts w:hint="eastAsia"/>
                      <w:highlight w:val="none"/>
                    </w:rPr>
                    <w:t>破壳分离</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eastAsia="宋体"/>
                      <w:highlight w:val="none"/>
                      <w:lang w:val="en-US" w:eastAsia="zh-CN"/>
                    </w:rPr>
                  </w:pPr>
                  <w:r>
                    <w:rPr>
                      <w:rFonts w:hint="eastAsia"/>
                      <w:highlight w:val="none"/>
                      <w:lang w:val="en-US" w:eastAsia="zh-CN"/>
                    </w:rPr>
                    <w:t>3</w:t>
                  </w:r>
                </w:p>
              </w:tc>
              <w:tc>
                <w:tcPr>
                  <w:tcW w:w="2462"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自动过滤器</w:t>
                  </w:r>
                </w:p>
              </w:tc>
              <w:tc>
                <w:tcPr>
                  <w:tcW w:w="935" w:type="dxa"/>
                  <w:tcBorders>
                    <w:tl2br w:val="nil"/>
                    <w:tr2bl w:val="nil"/>
                  </w:tcBorders>
                  <w:vAlign w:val="center"/>
                </w:tcPr>
                <w:p>
                  <w:pPr>
                    <w:pStyle w:val="102"/>
                    <w:rPr>
                      <w:rFonts w:hint="eastAsia" w:eastAsia="宋体"/>
                      <w:highlight w:val="none"/>
                      <w:lang w:val="en-US" w:eastAsia="zh-CN"/>
                    </w:rPr>
                  </w:pPr>
                  <w:r>
                    <w:rPr>
                      <w:rFonts w:hint="eastAsia"/>
                      <w:highlight w:val="none"/>
                      <w:lang w:val="en-US" w:eastAsia="zh-CN"/>
                    </w:rPr>
                    <w:t>套</w:t>
                  </w:r>
                </w:p>
              </w:tc>
              <w:tc>
                <w:tcPr>
                  <w:tcW w:w="819" w:type="dxa"/>
                  <w:tcBorders>
                    <w:tl2br w:val="nil"/>
                    <w:tr2bl w:val="nil"/>
                  </w:tcBorders>
                  <w:vAlign w:val="center"/>
                </w:tcPr>
                <w:p>
                  <w:pPr>
                    <w:pStyle w:val="102"/>
                    <w:rPr>
                      <w:rFonts w:hint="eastAsia" w:eastAsia="宋体"/>
                      <w:highlight w:val="none"/>
                      <w:lang w:val="en-US" w:eastAsia="zh-CN"/>
                    </w:rPr>
                  </w:pPr>
                  <w:r>
                    <w:rPr>
                      <w:rFonts w:hint="eastAsia"/>
                      <w:highlight w:val="none"/>
                      <w:lang w:val="en-US" w:eastAsia="zh-CN"/>
                    </w:rPr>
                    <w:t>3</w:t>
                  </w:r>
                </w:p>
              </w:tc>
              <w:tc>
                <w:tcPr>
                  <w:tcW w:w="1615" w:type="dxa"/>
                  <w:tcBorders>
                    <w:tl2br w:val="nil"/>
                    <w:tr2bl w:val="nil"/>
                  </w:tcBorders>
                  <w:vAlign w:val="center"/>
                </w:tcPr>
                <w:p>
                  <w:pPr>
                    <w:pStyle w:val="102"/>
                    <w:rPr>
                      <w:rFonts w:hint="eastAsia"/>
                      <w:highlight w:val="none"/>
                    </w:rPr>
                  </w:pPr>
                  <w:r>
                    <w:rPr>
                      <w:rFonts w:hint="eastAsia"/>
                      <w:highlight w:val="none"/>
                    </w:rPr>
                    <w:t>SAF8000</w:t>
                  </w:r>
                </w:p>
              </w:tc>
              <w:tc>
                <w:tcPr>
                  <w:tcW w:w="1786"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过滤蛋液</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4</w:t>
                  </w:r>
                </w:p>
              </w:tc>
              <w:tc>
                <w:tcPr>
                  <w:tcW w:w="2462" w:type="dxa"/>
                  <w:tcBorders>
                    <w:tl2br w:val="nil"/>
                    <w:tr2bl w:val="nil"/>
                  </w:tcBorders>
                  <w:vAlign w:val="center"/>
                </w:tcPr>
                <w:p>
                  <w:pPr>
                    <w:pStyle w:val="102"/>
                    <w:rPr>
                      <w:highlight w:val="none"/>
                    </w:rPr>
                  </w:pPr>
                  <w:r>
                    <w:rPr>
                      <w:rFonts w:hint="eastAsia"/>
                      <w:highlight w:val="none"/>
                    </w:rPr>
                    <w:t>半成品暂存罐4*9/个</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4</w:t>
                  </w:r>
                </w:p>
              </w:tc>
              <w:tc>
                <w:tcPr>
                  <w:tcW w:w="1615" w:type="dxa"/>
                  <w:tcBorders>
                    <w:tl2br w:val="nil"/>
                    <w:tr2bl w:val="nil"/>
                  </w:tcBorders>
                  <w:vAlign w:val="center"/>
                </w:tcPr>
                <w:p>
                  <w:pPr>
                    <w:pStyle w:val="102"/>
                    <w:rPr>
                      <w:highlight w:val="none"/>
                    </w:rPr>
                  </w:pPr>
                  <w:r>
                    <w:rPr>
                      <w:rFonts w:hint="eastAsia"/>
                      <w:highlight w:val="none"/>
                    </w:rPr>
                    <w:t>T-9000</w:t>
                  </w:r>
                </w:p>
              </w:tc>
              <w:tc>
                <w:tcPr>
                  <w:tcW w:w="1786" w:type="dxa"/>
                  <w:tcBorders>
                    <w:tl2br w:val="nil"/>
                    <w:tr2bl w:val="nil"/>
                  </w:tcBorders>
                  <w:vAlign w:val="center"/>
                </w:tcPr>
                <w:p>
                  <w:pPr>
                    <w:pStyle w:val="102"/>
                    <w:rPr>
                      <w:highlight w:val="none"/>
                    </w:rPr>
                  </w:pPr>
                  <w:r>
                    <w:rPr>
                      <w:rFonts w:hint="eastAsia"/>
                      <w:highlight w:val="none"/>
                    </w:rPr>
                    <w:t>蛋液存储</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5</w:t>
                  </w:r>
                </w:p>
              </w:tc>
              <w:tc>
                <w:tcPr>
                  <w:tcW w:w="2462" w:type="dxa"/>
                  <w:tcBorders>
                    <w:tl2br w:val="nil"/>
                    <w:tr2bl w:val="nil"/>
                  </w:tcBorders>
                  <w:vAlign w:val="center"/>
                </w:tcPr>
                <w:p>
                  <w:pPr>
                    <w:pStyle w:val="102"/>
                    <w:rPr>
                      <w:highlight w:val="none"/>
                    </w:rPr>
                  </w:pPr>
                  <w:r>
                    <w:rPr>
                      <w:rFonts w:hint="eastAsia"/>
                      <w:highlight w:val="none"/>
                    </w:rPr>
                    <w:t>在线自动调配系统</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AB-5000</w:t>
                  </w:r>
                </w:p>
              </w:tc>
              <w:tc>
                <w:tcPr>
                  <w:tcW w:w="1786" w:type="dxa"/>
                  <w:tcBorders>
                    <w:tl2br w:val="nil"/>
                    <w:tr2bl w:val="nil"/>
                  </w:tcBorders>
                  <w:vAlign w:val="center"/>
                </w:tcPr>
                <w:p>
                  <w:pPr>
                    <w:pStyle w:val="102"/>
                    <w:rPr>
                      <w:highlight w:val="none"/>
                    </w:rPr>
                  </w:pPr>
                  <w:r>
                    <w:rPr>
                      <w:rFonts w:hint="eastAsia"/>
                      <w:highlight w:val="none"/>
                    </w:rPr>
                    <w:t>加辅料到蛋液中</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4"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6</w:t>
                  </w:r>
                </w:p>
              </w:tc>
              <w:tc>
                <w:tcPr>
                  <w:tcW w:w="2462" w:type="dxa"/>
                  <w:tcBorders>
                    <w:tl2br w:val="nil"/>
                    <w:tr2bl w:val="nil"/>
                  </w:tcBorders>
                  <w:vAlign w:val="center"/>
                </w:tcPr>
                <w:p>
                  <w:pPr>
                    <w:pStyle w:val="102"/>
                    <w:rPr>
                      <w:highlight w:val="none"/>
                    </w:rPr>
                  </w:pPr>
                  <w:r>
                    <w:rPr>
                      <w:rFonts w:hint="eastAsia"/>
                      <w:highlight w:val="none"/>
                    </w:rPr>
                    <w:t>巴氏杀菌机系统（含均质机）4T/h</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BS-4000</w:t>
                  </w:r>
                </w:p>
              </w:tc>
              <w:tc>
                <w:tcPr>
                  <w:tcW w:w="1786" w:type="dxa"/>
                  <w:tcBorders>
                    <w:tl2br w:val="nil"/>
                    <w:tr2bl w:val="nil"/>
                  </w:tcBorders>
                  <w:vAlign w:val="center"/>
                </w:tcPr>
                <w:p>
                  <w:pPr>
                    <w:pStyle w:val="102"/>
                    <w:rPr>
                      <w:highlight w:val="none"/>
                    </w:rPr>
                  </w:pPr>
                  <w:r>
                    <w:rPr>
                      <w:rFonts w:hint="eastAsia"/>
                      <w:highlight w:val="none"/>
                    </w:rPr>
                    <w:t>蛋液杀菌，获得21天保质期</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774"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7</w:t>
                  </w:r>
                </w:p>
              </w:tc>
              <w:tc>
                <w:tcPr>
                  <w:tcW w:w="2462" w:type="dxa"/>
                  <w:tcBorders>
                    <w:tl2br w:val="nil"/>
                    <w:tr2bl w:val="nil"/>
                  </w:tcBorders>
                  <w:vAlign w:val="center"/>
                </w:tcPr>
                <w:p>
                  <w:pPr>
                    <w:pStyle w:val="102"/>
                    <w:rPr>
                      <w:highlight w:val="none"/>
                    </w:rPr>
                  </w:pPr>
                  <w:r>
                    <w:rPr>
                      <w:rFonts w:hint="eastAsia"/>
                      <w:highlight w:val="none"/>
                    </w:rPr>
                    <w:t>蛋壳绞龙及离心机</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SC-281</w:t>
                  </w:r>
                </w:p>
              </w:tc>
              <w:tc>
                <w:tcPr>
                  <w:tcW w:w="1786" w:type="dxa"/>
                  <w:tcBorders>
                    <w:tl2br w:val="nil"/>
                    <w:tr2bl w:val="nil"/>
                  </w:tcBorders>
                  <w:vAlign w:val="center"/>
                </w:tcPr>
                <w:p>
                  <w:pPr>
                    <w:pStyle w:val="102"/>
                    <w:rPr>
                      <w:highlight w:val="none"/>
                    </w:rPr>
                  </w:pPr>
                  <w:r>
                    <w:rPr>
                      <w:rFonts w:hint="eastAsia"/>
                      <w:highlight w:val="none"/>
                    </w:rPr>
                    <w:t>蛋壳粉碎</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8</w:t>
                  </w:r>
                </w:p>
              </w:tc>
              <w:tc>
                <w:tcPr>
                  <w:tcW w:w="2462" w:type="dxa"/>
                  <w:tcBorders>
                    <w:tl2br w:val="nil"/>
                    <w:tr2bl w:val="nil"/>
                  </w:tcBorders>
                  <w:vAlign w:val="center"/>
                </w:tcPr>
                <w:p>
                  <w:pPr>
                    <w:pStyle w:val="102"/>
                    <w:rPr>
                      <w:highlight w:val="none"/>
                    </w:rPr>
                  </w:pPr>
                  <w:r>
                    <w:rPr>
                      <w:rFonts w:hint="eastAsia"/>
                      <w:highlight w:val="none"/>
                    </w:rPr>
                    <w:t>成品罐2*9吨/个</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T-9000</w:t>
                  </w:r>
                </w:p>
              </w:tc>
              <w:tc>
                <w:tcPr>
                  <w:tcW w:w="1786" w:type="dxa"/>
                  <w:tcBorders>
                    <w:tl2br w:val="nil"/>
                    <w:tr2bl w:val="nil"/>
                  </w:tcBorders>
                  <w:vAlign w:val="center"/>
                </w:tcPr>
                <w:p>
                  <w:pPr>
                    <w:pStyle w:val="102"/>
                    <w:rPr>
                      <w:highlight w:val="none"/>
                    </w:rPr>
                  </w:pPr>
                  <w:r>
                    <w:rPr>
                      <w:rFonts w:hint="eastAsia"/>
                      <w:highlight w:val="none"/>
                    </w:rPr>
                    <w:t>蛋液存储</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9</w:t>
                  </w:r>
                </w:p>
              </w:tc>
              <w:tc>
                <w:tcPr>
                  <w:tcW w:w="2462" w:type="dxa"/>
                  <w:tcBorders>
                    <w:tl2br w:val="nil"/>
                    <w:tr2bl w:val="nil"/>
                  </w:tcBorders>
                  <w:vAlign w:val="center"/>
                </w:tcPr>
                <w:p>
                  <w:pPr>
                    <w:pStyle w:val="102"/>
                    <w:rPr>
                      <w:highlight w:val="none"/>
                    </w:rPr>
                  </w:pPr>
                  <w:r>
                    <w:rPr>
                      <w:rFonts w:hint="eastAsia"/>
                      <w:highlight w:val="none"/>
                    </w:rPr>
                    <w:t>灌装机</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BIB-200DF</w:t>
                  </w:r>
                </w:p>
              </w:tc>
              <w:tc>
                <w:tcPr>
                  <w:tcW w:w="1786" w:type="dxa"/>
                  <w:tcBorders>
                    <w:tl2br w:val="nil"/>
                    <w:tr2bl w:val="nil"/>
                  </w:tcBorders>
                  <w:vAlign w:val="center"/>
                </w:tcPr>
                <w:p>
                  <w:pPr>
                    <w:pStyle w:val="102"/>
                    <w:rPr>
                      <w:highlight w:val="none"/>
                    </w:rPr>
                  </w:pPr>
                  <w:r>
                    <w:rPr>
                      <w:rFonts w:hint="eastAsia"/>
                      <w:highlight w:val="none"/>
                    </w:rPr>
                    <w:t>蛋液灌装</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10</w:t>
                  </w:r>
                </w:p>
              </w:tc>
              <w:tc>
                <w:tcPr>
                  <w:tcW w:w="2462" w:type="dxa"/>
                  <w:tcBorders>
                    <w:tl2br w:val="nil"/>
                    <w:tr2bl w:val="nil"/>
                  </w:tcBorders>
                  <w:vAlign w:val="center"/>
                </w:tcPr>
                <w:p>
                  <w:pPr>
                    <w:pStyle w:val="102"/>
                    <w:rPr>
                      <w:highlight w:val="none"/>
                    </w:rPr>
                  </w:pPr>
                  <w:r>
                    <w:rPr>
                      <w:rFonts w:hint="eastAsia"/>
                      <w:highlight w:val="none"/>
                    </w:rPr>
                    <w:t>包装机</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2</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包装</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11</w:t>
                  </w:r>
                </w:p>
              </w:tc>
              <w:tc>
                <w:tcPr>
                  <w:tcW w:w="2462" w:type="dxa"/>
                  <w:tcBorders>
                    <w:tl2br w:val="nil"/>
                    <w:tr2bl w:val="nil"/>
                  </w:tcBorders>
                  <w:vAlign w:val="center"/>
                </w:tcPr>
                <w:p>
                  <w:pPr>
                    <w:pStyle w:val="102"/>
                    <w:rPr>
                      <w:highlight w:val="none"/>
                    </w:rPr>
                  </w:pPr>
                  <w:r>
                    <w:rPr>
                      <w:rFonts w:hint="eastAsia"/>
                      <w:highlight w:val="none"/>
                    </w:rPr>
                    <w:t>全自动CIP清洗系统</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1</w:t>
                  </w:r>
                </w:p>
              </w:tc>
              <w:tc>
                <w:tcPr>
                  <w:tcW w:w="1615" w:type="dxa"/>
                  <w:tcBorders>
                    <w:tl2br w:val="nil"/>
                    <w:tr2bl w:val="nil"/>
                  </w:tcBorders>
                  <w:vAlign w:val="center"/>
                </w:tcPr>
                <w:p>
                  <w:pPr>
                    <w:pStyle w:val="102"/>
                    <w:rPr>
                      <w:highlight w:val="none"/>
                    </w:rPr>
                  </w:pPr>
                  <w:r>
                    <w:rPr>
                      <w:rFonts w:hint="eastAsia"/>
                      <w:highlight w:val="none"/>
                    </w:rPr>
                    <w:t>CIP-25</w:t>
                  </w:r>
                </w:p>
              </w:tc>
              <w:tc>
                <w:tcPr>
                  <w:tcW w:w="1786" w:type="dxa"/>
                  <w:vMerge w:val="restart"/>
                  <w:tcBorders>
                    <w:tl2br w:val="nil"/>
                    <w:tr2bl w:val="nil"/>
                  </w:tcBorders>
                  <w:vAlign w:val="center"/>
                </w:tcPr>
                <w:p>
                  <w:pPr>
                    <w:pStyle w:val="102"/>
                    <w:rPr>
                      <w:highlight w:val="none"/>
                    </w:rPr>
                  </w:pPr>
                  <w:r>
                    <w:rPr>
                      <w:rFonts w:hint="eastAsia"/>
                      <w:highlight w:val="none"/>
                    </w:rPr>
                    <w:t>对产品管路和罐体进行清洗，</w:t>
                  </w:r>
                  <w:r>
                    <w:rPr>
                      <w:highlight w:val="none"/>
                    </w:rPr>
                    <w:t>全自动 CIP 站，酸碱自动添加，温度自动控制，酸碱自动回收，罐体可进行自清洗，可进行热水SIP消毒</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①</w:t>
                  </w:r>
                </w:p>
              </w:tc>
              <w:tc>
                <w:tcPr>
                  <w:tcW w:w="2462" w:type="dxa"/>
                  <w:tcBorders>
                    <w:tl2br w:val="nil"/>
                    <w:tr2bl w:val="nil"/>
                  </w:tcBorders>
                  <w:vAlign w:val="center"/>
                </w:tcPr>
                <w:p>
                  <w:pPr>
                    <w:pStyle w:val="102"/>
                    <w:rPr>
                      <w:highlight w:val="none"/>
                    </w:rPr>
                  </w:pPr>
                  <w:r>
                    <w:rPr>
                      <w:rFonts w:hint="eastAsia"/>
                      <w:highlight w:val="none"/>
                    </w:rPr>
                    <w:t>热水罐</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1</w:t>
                  </w:r>
                </w:p>
              </w:tc>
              <w:tc>
                <w:tcPr>
                  <w:tcW w:w="1615" w:type="dxa"/>
                  <w:tcBorders>
                    <w:tl2br w:val="nil"/>
                    <w:tr2bl w:val="nil"/>
                  </w:tcBorders>
                  <w:vAlign w:val="center"/>
                </w:tcPr>
                <w:p>
                  <w:pPr>
                    <w:pStyle w:val="102"/>
                    <w:rPr>
                      <w:highlight w:val="none"/>
                    </w:rPr>
                  </w:pPr>
                  <w:r>
                    <w:rPr>
                      <w:rFonts w:hint="eastAsia"/>
                      <w:highlight w:val="none"/>
                      <w:lang w:val="en-US" w:eastAsia="zh-CN"/>
                    </w:rPr>
                    <w:t>5</w:t>
                  </w:r>
                  <w:r>
                    <w:rPr>
                      <w:rFonts w:hint="eastAsia"/>
                      <w:highlight w:val="none"/>
                    </w:rPr>
                    <w:t>t</w:t>
                  </w:r>
                </w:p>
              </w:tc>
              <w:tc>
                <w:tcPr>
                  <w:tcW w:w="1786"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②</w:t>
                  </w:r>
                </w:p>
              </w:tc>
              <w:tc>
                <w:tcPr>
                  <w:tcW w:w="2462" w:type="dxa"/>
                  <w:tcBorders>
                    <w:tl2br w:val="nil"/>
                    <w:tr2bl w:val="nil"/>
                  </w:tcBorders>
                  <w:vAlign w:val="center"/>
                </w:tcPr>
                <w:p>
                  <w:pPr>
                    <w:pStyle w:val="102"/>
                    <w:rPr>
                      <w:highlight w:val="none"/>
                    </w:rPr>
                  </w:pPr>
                  <w:r>
                    <w:rPr>
                      <w:rFonts w:hint="eastAsia"/>
                      <w:highlight w:val="none"/>
                    </w:rPr>
                    <w:t>酸罐</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1</w:t>
                  </w:r>
                </w:p>
              </w:tc>
              <w:tc>
                <w:tcPr>
                  <w:tcW w:w="1615" w:type="dxa"/>
                  <w:tcBorders>
                    <w:tl2br w:val="nil"/>
                    <w:tr2bl w:val="nil"/>
                  </w:tcBorders>
                  <w:vAlign w:val="center"/>
                </w:tcPr>
                <w:p>
                  <w:pPr>
                    <w:pStyle w:val="102"/>
                    <w:rPr>
                      <w:highlight w:val="none"/>
                    </w:rPr>
                  </w:pPr>
                  <w:r>
                    <w:rPr>
                      <w:rFonts w:hint="eastAsia"/>
                      <w:highlight w:val="none"/>
                      <w:lang w:val="en-US" w:eastAsia="zh-CN"/>
                    </w:rPr>
                    <w:t>5</w:t>
                  </w:r>
                  <w:r>
                    <w:rPr>
                      <w:rFonts w:hint="eastAsia"/>
                      <w:highlight w:val="none"/>
                    </w:rPr>
                    <w:t>t</w:t>
                  </w:r>
                </w:p>
              </w:tc>
              <w:tc>
                <w:tcPr>
                  <w:tcW w:w="1786"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③</w:t>
                  </w:r>
                </w:p>
              </w:tc>
              <w:tc>
                <w:tcPr>
                  <w:tcW w:w="2462" w:type="dxa"/>
                  <w:tcBorders>
                    <w:tl2br w:val="nil"/>
                    <w:tr2bl w:val="nil"/>
                  </w:tcBorders>
                  <w:vAlign w:val="center"/>
                </w:tcPr>
                <w:p>
                  <w:pPr>
                    <w:pStyle w:val="102"/>
                    <w:rPr>
                      <w:highlight w:val="none"/>
                    </w:rPr>
                  </w:pPr>
                  <w:r>
                    <w:rPr>
                      <w:rFonts w:hint="eastAsia"/>
                      <w:highlight w:val="none"/>
                    </w:rPr>
                    <w:t>碱罐</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1</w:t>
                  </w:r>
                </w:p>
              </w:tc>
              <w:tc>
                <w:tcPr>
                  <w:tcW w:w="1615" w:type="dxa"/>
                  <w:tcBorders>
                    <w:tl2br w:val="nil"/>
                    <w:tr2bl w:val="nil"/>
                  </w:tcBorders>
                  <w:vAlign w:val="center"/>
                </w:tcPr>
                <w:p>
                  <w:pPr>
                    <w:pStyle w:val="102"/>
                    <w:rPr>
                      <w:highlight w:val="none"/>
                    </w:rPr>
                  </w:pPr>
                  <w:r>
                    <w:rPr>
                      <w:rFonts w:hint="eastAsia"/>
                      <w:highlight w:val="none"/>
                      <w:lang w:val="en-US" w:eastAsia="zh-CN"/>
                    </w:rPr>
                    <w:t>5</w:t>
                  </w:r>
                  <w:r>
                    <w:rPr>
                      <w:rFonts w:hint="eastAsia"/>
                      <w:highlight w:val="none"/>
                    </w:rPr>
                    <w:t>t</w:t>
                  </w:r>
                </w:p>
              </w:tc>
              <w:tc>
                <w:tcPr>
                  <w:tcW w:w="1786"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④</w:t>
                  </w:r>
                </w:p>
              </w:tc>
              <w:tc>
                <w:tcPr>
                  <w:tcW w:w="2462" w:type="dxa"/>
                  <w:tcBorders>
                    <w:tl2br w:val="nil"/>
                    <w:tr2bl w:val="nil"/>
                  </w:tcBorders>
                  <w:vAlign w:val="center"/>
                </w:tcPr>
                <w:p>
                  <w:pPr>
                    <w:pStyle w:val="102"/>
                    <w:rPr>
                      <w:highlight w:val="none"/>
                    </w:rPr>
                  </w:pPr>
                  <w:r>
                    <w:rPr>
                      <w:rFonts w:hint="eastAsia"/>
                      <w:highlight w:val="none"/>
                    </w:rPr>
                    <w:t>回水罐</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1</w:t>
                  </w:r>
                </w:p>
              </w:tc>
              <w:tc>
                <w:tcPr>
                  <w:tcW w:w="1615" w:type="dxa"/>
                  <w:tcBorders>
                    <w:tl2br w:val="nil"/>
                    <w:tr2bl w:val="nil"/>
                  </w:tcBorders>
                  <w:vAlign w:val="center"/>
                </w:tcPr>
                <w:p>
                  <w:pPr>
                    <w:pStyle w:val="102"/>
                    <w:rPr>
                      <w:highlight w:val="none"/>
                    </w:rPr>
                  </w:pPr>
                  <w:r>
                    <w:rPr>
                      <w:rFonts w:hint="eastAsia"/>
                      <w:highlight w:val="none"/>
                      <w:lang w:val="en-US" w:eastAsia="zh-CN"/>
                    </w:rPr>
                    <w:t>5</w:t>
                  </w:r>
                  <w:r>
                    <w:rPr>
                      <w:rFonts w:hint="eastAsia"/>
                      <w:highlight w:val="none"/>
                    </w:rPr>
                    <w:t>t</w:t>
                  </w:r>
                </w:p>
              </w:tc>
              <w:tc>
                <w:tcPr>
                  <w:tcW w:w="1786"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highlight w:val="none"/>
                    </w:rPr>
                  </w:pPr>
                  <w:r>
                    <w:rPr>
                      <w:rFonts w:hint="eastAsia"/>
                      <w:highlight w:val="none"/>
                    </w:rPr>
                    <w:t>⑤</w:t>
                  </w:r>
                </w:p>
              </w:tc>
              <w:tc>
                <w:tcPr>
                  <w:tcW w:w="2462" w:type="dxa"/>
                  <w:tcBorders>
                    <w:tl2br w:val="nil"/>
                    <w:tr2bl w:val="nil"/>
                  </w:tcBorders>
                  <w:vAlign w:val="center"/>
                </w:tcPr>
                <w:p>
                  <w:pPr>
                    <w:pStyle w:val="102"/>
                    <w:rPr>
                      <w:highlight w:val="none"/>
                    </w:rPr>
                  </w:pPr>
                  <w:r>
                    <w:rPr>
                      <w:rFonts w:hint="eastAsia"/>
                      <w:highlight w:val="none"/>
                    </w:rPr>
                    <w:t>清水罐</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rFonts w:hint="eastAsia" w:eastAsia="宋体"/>
                      <w:highlight w:val="none"/>
                      <w:lang w:eastAsia="zh-CN"/>
                    </w:rPr>
                  </w:pPr>
                  <w:r>
                    <w:rPr>
                      <w:rFonts w:hint="eastAsia"/>
                      <w:highlight w:val="none"/>
                      <w:lang w:val="en-US" w:eastAsia="zh-CN"/>
                    </w:rPr>
                    <w:t>1</w:t>
                  </w:r>
                </w:p>
              </w:tc>
              <w:tc>
                <w:tcPr>
                  <w:tcW w:w="1615" w:type="dxa"/>
                  <w:tcBorders>
                    <w:tl2br w:val="nil"/>
                    <w:tr2bl w:val="nil"/>
                  </w:tcBorders>
                  <w:vAlign w:val="center"/>
                </w:tcPr>
                <w:p>
                  <w:pPr>
                    <w:pStyle w:val="102"/>
                    <w:rPr>
                      <w:highlight w:val="none"/>
                    </w:rPr>
                  </w:pPr>
                  <w:r>
                    <w:rPr>
                      <w:rFonts w:hint="eastAsia"/>
                      <w:highlight w:val="none"/>
                      <w:lang w:val="en-US" w:eastAsia="zh-CN"/>
                    </w:rPr>
                    <w:t>5</w:t>
                  </w:r>
                  <w:r>
                    <w:rPr>
                      <w:rFonts w:hint="eastAsia"/>
                      <w:highlight w:val="none"/>
                    </w:rPr>
                    <w:t>t</w:t>
                  </w:r>
                </w:p>
              </w:tc>
              <w:tc>
                <w:tcPr>
                  <w:tcW w:w="1786"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12</w:t>
                  </w:r>
                </w:p>
              </w:tc>
              <w:tc>
                <w:tcPr>
                  <w:tcW w:w="2462" w:type="dxa"/>
                  <w:tcBorders>
                    <w:tl2br w:val="nil"/>
                    <w:tr2bl w:val="nil"/>
                  </w:tcBorders>
                  <w:vAlign w:val="center"/>
                </w:tcPr>
                <w:p>
                  <w:pPr>
                    <w:pStyle w:val="102"/>
                    <w:rPr>
                      <w:color w:val="0000FF"/>
                      <w:highlight w:val="none"/>
                    </w:rPr>
                  </w:pPr>
                  <w:r>
                    <w:rPr>
                      <w:rFonts w:hint="eastAsia"/>
                      <w:color w:val="0000FF"/>
                      <w:highlight w:val="none"/>
                    </w:rPr>
                    <w:t>2.5t/h蒸汽锅炉</w:t>
                  </w:r>
                </w:p>
              </w:tc>
              <w:tc>
                <w:tcPr>
                  <w:tcW w:w="935" w:type="dxa"/>
                  <w:tcBorders>
                    <w:tl2br w:val="nil"/>
                    <w:tr2bl w:val="nil"/>
                  </w:tcBorders>
                  <w:vAlign w:val="center"/>
                </w:tcPr>
                <w:p>
                  <w:pPr>
                    <w:pStyle w:val="102"/>
                    <w:rPr>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eastAsia="zh-CN"/>
                    </w:rPr>
                  </w:pPr>
                  <w:r>
                    <w:rPr>
                      <w:rFonts w:hint="eastAsia"/>
                      <w:color w:val="0000FF"/>
                      <w:highlight w:val="none"/>
                      <w:lang w:val="en-US" w:eastAsia="zh-CN"/>
                    </w:rPr>
                    <w:t>1</w:t>
                  </w:r>
                </w:p>
              </w:tc>
              <w:tc>
                <w:tcPr>
                  <w:tcW w:w="1615" w:type="dxa"/>
                  <w:tcBorders>
                    <w:tl2br w:val="nil"/>
                    <w:tr2bl w:val="nil"/>
                  </w:tcBorders>
                  <w:vAlign w:val="center"/>
                </w:tcPr>
                <w:p>
                  <w:pPr>
                    <w:pStyle w:val="102"/>
                    <w:rPr>
                      <w:color w:val="0000FF"/>
                      <w:highlight w:val="none"/>
                    </w:rPr>
                  </w:pPr>
                  <w:r>
                    <w:rPr>
                      <w:rFonts w:hint="eastAsia"/>
                      <w:color w:val="0000FF"/>
                      <w:highlight w:val="none"/>
                    </w:rPr>
                    <w:t>LSH2.5-0.8-S</w:t>
                  </w:r>
                </w:p>
              </w:tc>
              <w:tc>
                <w:tcPr>
                  <w:tcW w:w="1786" w:type="dxa"/>
                  <w:tcBorders>
                    <w:tl2br w:val="nil"/>
                    <w:tr2bl w:val="nil"/>
                  </w:tcBorders>
                  <w:vAlign w:val="center"/>
                </w:tcPr>
                <w:p>
                  <w:pPr>
                    <w:pStyle w:val="102"/>
                    <w:rPr>
                      <w:color w:val="0000FF"/>
                      <w:highlight w:val="none"/>
                    </w:rPr>
                  </w:pPr>
                  <w:r>
                    <w:rPr>
                      <w:rFonts w:hint="eastAsia"/>
                      <w:color w:val="0000FF"/>
                      <w:highlight w:val="none"/>
                    </w:rPr>
                    <w:t>提供杀菌机需要的蒸汽热源</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13</w:t>
                  </w:r>
                </w:p>
              </w:tc>
              <w:tc>
                <w:tcPr>
                  <w:tcW w:w="2462" w:type="dxa"/>
                  <w:tcBorders>
                    <w:tl2br w:val="nil"/>
                    <w:tr2bl w:val="nil"/>
                  </w:tcBorders>
                  <w:vAlign w:val="center"/>
                </w:tcPr>
                <w:p>
                  <w:pPr>
                    <w:pStyle w:val="102"/>
                    <w:rPr>
                      <w:rFonts w:hint="eastAsia"/>
                      <w:color w:val="0000FF"/>
                      <w:highlight w:val="none"/>
                    </w:rPr>
                  </w:pPr>
                  <w:r>
                    <w:rPr>
                      <w:rFonts w:hint="eastAsia"/>
                      <w:color w:val="0000FF"/>
                      <w:highlight w:val="none"/>
                    </w:rPr>
                    <w:t>软水制备系统</w:t>
                  </w:r>
                </w:p>
              </w:tc>
              <w:tc>
                <w:tcPr>
                  <w:tcW w:w="93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台</w:t>
                  </w:r>
                </w:p>
              </w:tc>
              <w:tc>
                <w:tcPr>
                  <w:tcW w:w="819"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2</w:t>
                  </w:r>
                  <w:r>
                    <w:rPr>
                      <w:rFonts w:hint="eastAsia"/>
                      <w:color w:val="0000FF"/>
                      <w:highlight w:val="none"/>
                    </w:rPr>
                    <w:t>t/h</w:t>
                  </w:r>
                </w:p>
              </w:tc>
              <w:tc>
                <w:tcPr>
                  <w:tcW w:w="1786"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锅炉配套</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14</w:t>
                  </w:r>
                </w:p>
              </w:tc>
              <w:tc>
                <w:tcPr>
                  <w:tcW w:w="2462" w:type="dxa"/>
                  <w:tcBorders>
                    <w:tl2br w:val="nil"/>
                    <w:tr2bl w:val="nil"/>
                  </w:tcBorders>
                  <w:vAlign w:val="center"/>
                </w:tcPr>
                <w:p>
                  <w:pPr>
                    <w:pStyle w:val="102"/>
                    <w:rPr>
                      <w:highlight w:val="none"/>
                    </w:rPr>
                  </w:pPr>
                  <w:r>
                    <w:rPr>
                      <w:rFonts w:hint="eastAsia"/>
                      <w:highlight w:val="none"/>
                    </w:rPr>
                    <w:t>台湾复盛冰水机组</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highlight w:val="none"/>
                    </w:rPr>
                    <w:t>PLM-</w:t>
                  </w:r>
                  <w:r>
                    <w:rPr>
                      <w:rFonts w:hint="eastAsia"/>
                      <w:highlight w:val="none"/>
                    </w:rPr>
                    <w:t>7</w:t>
                  </w:r>
                  <w:r>
                    <w:rPr>
                      <w:highlight w:val="none"/>
                    </w:rPr>
                    <w:t>40ZDT</w:t>
                  </w:r>
                </w:p>
              </w:tc>
              <w:tc>
                <w:tcPr>
                  <w:tcW w:w="1786" w:type="dxa"/>
                  <w:tcBorders>
                    <w:tl2br w:val="nil"/>
                    <w:tr2bl w:val="nil"/>
                  </w:tcBorders>
                  <w:vAlign w:val="center"/>
                </w:tcPr>
                <w:p>
                  <w:pPr>
                    <w:keepNext w:val="0"/>
                    <w:keepLines w:val="0"/>
                    <w:widowControl/>
                    <w:suppressLineNumbers w:val="0"/>
                    <w:jc w:val="left"/>
                    <w:rPr>
                      <w:rFonts w:hint="eastAsia" w:eastAsia="宋体"/>
                      <w:highlight w:val="none"/>
                      <w:lang w:eastAsia="zh-CN"/>
                    </w:rPr>
                  </w:pPr>
                  <w:r>
                    <w:rPr>
                      <w:rFonts w:hint="eastAsia"/>
                      <w:color w:val="0000FF"/>
                      <w:highlight w:val="none"/>
                    </w:rPr>
                    <w:t>给蛋液降温，抑制微生物的繁殖</w:t>
                  </w:r>
                  <w:r>
                    <w:rPr>
                      <w:rFonts w:hint="eastAsia"/>
                      <w:color w:val="0000FF"/>
                      <w:highlight w:val="none"/>
                      <w:lang w:eastAsia="zh-CN"/>
                    </w:rPr>
                    <w:t>；</w:t>
                  </w:r>
                  <w:r>
                    <w:rPr>
                      <w:rFonts w:hint="eastAsia"/>
                      <w:color w:val="0000FF"/>
                      <w:highlight w:val="none"/>
                      <w:lang w:val="en-US" w:eastAsia="zh-CN"/>
                    </w:rPr>
                    <w:t>采用</w:t>
                  </w:r>
                  <w:r>
                    <w:rPr>
                      <w:rFonts w:hint="default" w:ascii="Times New Roman" w:hAnsi="Times New Roman" w:eastAsia="宋体" w:cs="Times New Roman"/>
                      <w:color w:val="0000FF"/>
                      <w:kern w:val="0"/>
                      <w:sz w:val="21"/>
                      <w:szCs w:val="21"/>
                      <w:highlight w:val="none"/>
                      <w:lang w:val="en-US" w:eastAsia="zh-CN" w:bidi="ar"/>
                    </w:rPr>
                    <w:t xml:space="preserve">R407c </w:t>
                  </w:r>
                  <w:r>
                    <w:rPr>
                      <w:rFonts w:hint="eastAsia" w:ascii="宋体" w:hAnsi="宋体" w:eastAsia="宋体" w:cs="宋体"/>
                      <w:color w:val="0000FF"/>
                      <w:kern w:val="0"/>
                      <w:sz w:val="21"/>
                      <w:szCs w:val="21"/>
                      <w:highlight w:val="none"/>
                      <w:lang w:val="en-US" w:eastAsia="zh-CN" w:bidi="ar"/>
                    </w:rPr>
                    <w:t>混合型环保制冷剂</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15</w:t>
                  </w:r>
                </w:p>
              </w:tc>
              <w:tc>
                <w:tcPr>
                  <w:tcW w:w="2462" w:type="dxa"/>
                  <w:tcBorders>
                    <w:tl2br w:val="nil"/>
                    <w:tr2bl w:val="nil"/>
                  </w:tcBorders>
                  <w:vAlign w:val="center"/>
                </w:tcPr>
                <w:p>
                  <w:pPr>
                    <w:pStyle w:val="102"/>
                    <w:rPr>
                      <w:highlight w:val="none"/>
                    </w:rPr>
                  </w:pPr>
                  <w:r>
                    <w:rPr>
                      <w:rFonts w:hint="eastAsia"/>
                      <w:highlight w:val="none"/>
                    </w:rPr>
                    <w:t>空压机15kW</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highlight w:val="none"/>
                    </w:rPr>
                    <w:t>SVC-30A/8</w:t>
                  </w:r>
                </w:p>
                <w:p>
                  <w:pPr>
                    <w:pStyle w:val="102"/>
                    <w:rPr>
                      <w:highlight w:val="none"/>
                    </w:rPr>
                  </w:pPr>
                  <w:r>
                    <w:rPr>
                      <w:rFonts w:hint="eastAsia"/>
                      <w:highlight w:val="none"/>
                    </w:rPr>
                    <w:t>3</w:t>
                  </w:r>
                  <w:r>
                    <w:rPr>
                      <w:highlight w:val="none"/>
                    </w:rPr>
                    <w:t>.0m³/min</w:t>
                  </w:r>
                </w:p>
              </w:tc>
              <w:tc>
                <w:tcPr>
                  <w:tcW w:w="1786" w:type="dxa"/>
                  <w:tcBorders>
                    <w:tl2br w:val="nil"/>
                    <w:tr2bl w:val="nil"/>
                  </w:tcBorders>
                  <w:vAlign w:val="center"/>
                </w:tcPr>
                <w:p>
                  <w:pPr>
                    <w:pStyle w:val="102"/>
                    <w:rPr>
                      <w:highlight w:val="none"/>
                    </w:rPr>
                  </w:pPr>
                  <w:r>
                    <w:rPr>
                      <w:rFonts w:hint="eastAsia"/>
                      <w:highlight w:val="none"/>
                    </w:rPr>
                    <w:t>提供气动阀门需要的气源</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16</w:t>
                  </w:r>
                </w:p>
              </w:tc>
              <w:tc>
                <w:tcPr>
                  <w:tcW w:w="2462" w:type="dxa"/>
                  <w:tcBorders>
                    <w:tl2br w:val="nil"/>
                    <w:tr2bl w:val="nil"/>
                  </w:tcBorders>
                  <w:vAlign w:val="center"/>
                </w:tcPr>
                <w:p>
                  <w:pPr>
                    <w:pStyle w:val="102"/>
                    <w:rPr>
                      <w:highlight w:val="none"/>
                    </w:rPr>
                  </w:pPr>
                  <w:r>
                    <w:rPr>
                      <w:rFonts w:hint="eastAsia"/>
                      <w:highlight w:val="none"/>
                    </w:rPr>
                    <w:t>车间中央空调系统</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17</w:t>
                  </w:r>
                </w:p>
              </w:tc>
              <w:tc>
                <w:tcPr>
                  <w:tcW w:w="2462" w:type="dxa"/>
                  <w:tcBorders>
                    <w:tl2br w:val="nil"/>
                    <w:tr2bl w:val="nil"/>
                  </w:tcBorders>
                  <w:vAlign w:val="center"/>
                </w:tcPr>
                <w:p>
                  <w:pPr>
                    <w:pStyle w:val="102"/>
                    <w:rPr>
                      <w:highlight w:val="none"/>
                    </w:rPr>
                  </w:pPr>
                  <w:r>
                    <w:rPr>
                      <w:rFonts w:hint="eastAsia"/>
                      <w:highlight w:val="none"/>
                    </w:rPr>
                    <w:t>污水处理设备</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19</w:t>
                  </w:r>
                </w:p>
              </w:tc>
              <w:tc>
                <w:tcPr>
                  <w:tcW w:w="2462" w:type="dxa"/>
                  <w:tcBorders>
                    <w:tl2br w:val="nil"/>
                    <w:tr2bl w:val="nil"/>
                  </w:tcBorders>
                  <w:vAlign w:val="center"/>
                </w:tcPr>
                <w:p>
                  <w:pPr>
                    <w:pStyle w:val="102"/>
                    <w:rPr>
                      <w:highlight w:val="none"/>
                    </w:rPr>
                  </w:pPr>
                  <w:r>
                    <w:rPr>
                      <w:rFonts w:hint="eastAsia"/>
                      <w:highlight w:val="none"/>
                    </w:rPr>
                    <w:t>消防设备</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20</w:t>
                  </w:r>
                </w:p>
              </w:tc>
              <w:tc>
                <w:tcPr>
                  <w:tcW w:w="2462" w:type="dxa"/>
                  <w:tcBorders>
                    <w:tl2br w:val="nil"/>
                    <w:tr2bl w:val="nil"/>
                  </w:tcBorders>
                  <w:vAlign w:val="center"/>
                </w:tcPr>
                <w:p>
                  <w:pPr>
                    <w:pStyle w:val="102"/>
                    <w:rPr>
                      <w:highlight w:val="none"/>
                    </w:rPr>
                  </w:pPr>
                  <w:r>
                    <w:rPr>
                      <w:rFonts w:hint="eastAsia"/>
                      <w:highlight w:val="none"/>
                    </w:rPr>
                    <w:t>监控系统</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21</w:t>
                  </w:r>
                </w:p>
              </w:tc>
              <w:tc>
                <w:tcPr>
                  <w:tcW w:w="2462" w:type="dxa"/>
                  <w:tcBorders>
                    <w:tl2br w:val="nil"/>
                    <w:tr2bl w:val="nil"/>
                  </w:tcBorders>
                  <w:vAlign w:val="center"/>
                </w:tcPr>
                <w:p>
                  <w:pPr>
                    <w:pStyle w:val="102"/>
                    <w:rPr>
                      <w:highlight w:val="none"/>
                    </w:rPr>
                  </w:pPr>
                  <w:r>
                    <w:rPr>
                      <w:rFonts w:hint="eastAsia"/>
                      <w:highlight w:val="none"/>
                    </w:rPr>
                    <w:t>4.2米冷链配送车</w:t>
                  </w:r>
                </w:p>
              </w:tc>
              <w:tc>
                <w:tcPr>
                  <w:tcW w:w="935" w:type="dxa"/>
                  <w:tcBorders>
                    <w:tl2br w:val="nil"/>
                    <w:tr2bl w:val="nil"/>
                  </w:tcBorders>
                  <w:vAlign w:val="center"/>
                </w:tcPr>
                <w:p>
                  <w:pPr>
                    <w:pStyle w:val="102"/>
                    <w:rPr>
                      <w:highlight w:val="none"/>
                    </w:rPr>
                  </w:pPr>
                  <w:r>
                    <w:rPr>
                      <w:rFonts w:hint="eastAsia"/>
                      <w:highlight w:val="none"/>
                    </w:rPr>
                    <w:t>台</w:t>
                  </w:r>
                </w:p>
              </w:tc>
              <w:tc>
                <w:tcPr>
                  <w:tcW w:w="819" w:type="dxa"/>
                  <w:tcBorders>
                    <w:tl2br w:val="nil"/>
                    <w:tr2bl w:val="nil"/>
                  </w:tcBorders>
                  <w:vAlign w:val="center"/>
                </w:tcPr>
                <w:p>
                  <w:pPr>
                    <w:pStyle w:val="102"/>
                    <w:rPr>
                      <w:highlight w:val="none"/>
                    </w:rPr>
                  </w:pPr>
                  <w:r>
                    <w:rPr>
                      <w:rFonts w:hint="eastAsia"/>
                      <w:highlight w:val="none"/>
                    </w:rPr>
                    <w:t>3</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22</w:t>
                  </w:r>
                </w:p>
              </w:tc>
              <w:tc>
                <w:tcPr>
                  <w:tcW w:w="2462" w:type="dxa"/>
                  <w:tcBorders>
                    <w:tl2br w:val="nil"/>
                    <w:tr2bl w:val="nil"/>
                  </w:tcBorders>
                  <w:vAlign w:val="center"/>
                </w:tcPr>
                <w:p>
                  <w:pPr>
                    <w:pStyle w:val="102"/>
                    <w:rPr>
                      <w:highlight w:val="none"/>
                    </w:rPr>
                  </w:pPr>
                  <w:r>
                    <w:rPr>
                      <w:rFonts w:hint="eastAsia"/>
                      <w:highlight w:val="none"/>
                    </w:rPr>
                    <w:t>化验室产品检测设备一套</w:t>
                  </w:r>
                </w:p>
              </w:tc>
              <w:tc>
                <w:tcPr>
                  <w:tcW w:w="935" w:type="dxa"/>
                  <w:tcBorders>
                    <w:tl2br w:val="nil"/>
                    <w:tr2bl w:val="nil"/>
                  </w:tcBorders>
                  <w:vAlign w:val="center"/>
                </w:tcPr>
                <w:p>
                  <w:pPr>
                    <w:pStyle w:val="102"/>
                    <w:rPr>
                      <w:highlight w:val="none"/>
                    </w:rPr>
                  </w:pPr>
                </w:p>
              </w:tc>
              <w:tc>
                <w:tcPr>
                  <w:tcW w:w="819" w:type="dxa"/>
                  <w:tcBorders>
                    <w:tl2br w:val="nil"/>
                    <w:tr2bl w:val="nil"/>
                  </w:tcBorders>
                  <w:vAlign w:val="center"/>
                </w:tcPr>
                <w:p>
                  <w:pPr>
                    <w:pStyle w:val="102"/>
                    <w:rPr>
                      <w:highlight w:val="none"/>
                    </w:rPr>
                  </w:pPr>
                </w:p>
              </w:tc>
              <w:tc>
                <w:tcPr>
                  <w:tcW w:w="1615" w:type="dxa"/>
                  <w:tcBorders>
                    <w:tl2br w:val="nil"/>
                    <w:tr2bl w:val="nil"/>
                  </w:tcBorders>
                  <w:vAlign w:val="center"/>
                </w:tcPr>
                <w:p>
                  <w:pPr>
                    <w:pStyle w:val="102"/>
                    <w:rPr>
                      <w:highlight w:val="none"/>
                    </w:rPr>
                  </w:pPr>
                </w:p>
              </w:tc>
              <w:tc>
                <w:tcPr>
                  <w:tcW w:w="1786" w:type="dxa"/>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①</w:t>
                  </w:r>
                </w:p>
              </w:tc>
              <w:tc>
                <w:tcPr>
                  <w:tcW w:w="2462"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磁力搅拌器</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eastAsia="宋体"/>
                      <w:color w:val="0000FF"/>
                      <w:highlight w:val="none"/>
                      <w:lang w:eastAsia="zh-CN"/>
                    </w:rPr>
                  </w:pPr>
                  <w:r>
                    <w:rPr>
                      <w:rFonts w:hint="eastAsia"/>
                      <w:color w:val="0000FF"/>
                      <w:highlight w:val="none"/>
                    </w:rPr>
                    <w:t>/</w:t>
                  </w:r>
                </w:p>
              </w:tc>
              <w:tc>
                <w:tcPr>
                  <w:tcW w:w="1786" w:type="dxa"/>
                  <w:tcBorders>
                    <w:tl2br w:val="nil"/>
                    <w:tr2bl w:val="nil"/>
                  </w:tcBorders>
                  <w:vAlign w:val="center"/>
                </w:tcPr>
                <w:p>
                  <w:pPr>
                    <w:jc w:val="center"/>
                    <w:rPr>
                      <w:rFonts w:hint="eastAsia" w:eastAsia="宋体"/>
                      <w:color w:val="0000FF"/>
                      <w:highlight w:val="none"/>
                      <w:lang w:val="en-US" w:eastAsia="zh-CN"/>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②</w:t>
                  </w:r>
                </w:p>
              </w:tc>
              <w:tc>
                <w:tcPr>
                  <w:tcW w:w="2462"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pH计</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jc w:val="center"/>
                    <w:rPr>
                      <w:rFonts w:hint="eastAsia"/>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③</w:t>
                  </w:r>
                </w:p>
              </w:tc>
              <w:tc>
                <w:tcPr>
                  <w:tcW w:w="2462"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粘度计</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jc w:val="center"/>
                    <w:rPr>
                      <w:rFonts w:hint="eastAsia"/>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④</w:t>
                  </w:r>
                </w:p>
              </w:tc>
              <w:tc>
                <w:tcPr>
                  <w:tcW w:w="2462"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电子天平</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jc w:val="center"/>
                    <w:rPr>
                      <w:rFonts w:hint="eastAsia"/>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⑤</w:t>
                  </w:r>
                </w:p>
              </w:tc>
              <w:tc>
                <w:tcPr>
                  <w:tcW w:w="2462"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便携浓度检测设备</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jc w:val="center"/>
                    <w:rPr>
                      <w:rFonts w:hint="eastAsia"/>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⑥</w:t>
                  </w:r>
                </w:p>
              </w:tc>
              <w:tc>
                <w:tcPr>
                  <w:tcW w:w="2462"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超净工作台</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default"/>
                      <w:color w:val="0000FF"/>
                      <w:highlight w:val="none"/>
                      <w:lang w:val="en-US"/>
                    </w:rPr>
                  </w:pPr>
                  <w:r>
                    <w:rPr>
                      <w:rFonts w:hint="eastAsia"/>
                      <w:color w:val="0000FF"/>
                      <w:highlight w:val="none"/>
                    </w:rPr>
                    <w:t>/</w:t>
                  </w:r>
                </w:p>
              </w:tc>
              <w:tc>
                <w:tcPr>
                  <w:tcW w:w="1786" w:type="dxa"/>
                  <w:tcBorders>
                    <w:tl2br w:val="nil"/>
                    <w:tr2bl w:val="nil"/>
                  </w:tcBorders>
                  <w:vAlign w:val="center"/>
                </w:tcPr>
                <w:p>
                  <w:pPr>
                    <w:jc w:val="center"/>
                    <w:rPr>
                      <w:rFonts w:hint="default"/>
                      <w:color w:val="0000FF"/>
                      <w:highlight w:val="none"/>
                      <w:lang w:val="en-US"/>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⑦</w:t>
                  </w:r>
                </w:p>
              </w:tc>
              <w:tc>
                <w:tcPr>
                  <w:tcW w:w="2462"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恒温培养箱</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生化培养测试及相关</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⑧</w:t>
                  </w:r>
                </w:p>
              </w:tc>
              <w:tc>
                <w:tcPr>
                  <w:tcW w:w="2462"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灭菌锅</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国标高压灭菌</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⑨</w:t>
                  </w:r>
                </w:p>
              </w:tc>
              <w:tc>
                <w:tcPr>
                  <w:tcW w:w="2462" w:type="dxa"/>
                  <w:tcBorders>
                    <w:tl2br w:val="nil"/>
                    <w:tr2bl w:val="nil"/>
                  </w:tcBorders>
                  <w:vAlign w:val="center"/>
                </w:tcPr>
                <w:p>
                  <w:pPr>
                    <w:pStyle w:val="102"/>
                    <w:rPr>
                      <w:rFonts w:hint="default"/>
                      <w:color w:val="0000FF"/>
                      <w:highlight w:val="none"/>
                      <w:lang w:val="en-US" w:eastAsia="zh-CN"/>
                    </w:rPr>
                  </w:pPr>
                  <w:r>
                    <w:rPr>
                      <w:rFonts w:hint="eastAsia"/>
                      <w:color w:val="0000FF"/>
                      <w:highlight w:val="none"/>
                      <w:lang w:val="en-US" w:eastAsia="zh-CN"/>
                    </w:rPr>
                    <w:t>移液器</w:t>
                  </w:r>
                </w:p>
              </w:tc>
              <w:tc>
                <w:tcPr>
                  <w:tcW w:w="935"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套</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用于移取样品</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⑩</w:t>
                  </w:r>
                </w:p>
              </w:tc>
              <w:tc>
                <w:tcPr>
                  <w:tcW w:w="2462"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微生物快速检测设备</w:t>
                  </w:r>
                </w:p>
              </w:tc>
              <w:tc>
                <w:tcPr>
                  <w:tcW w:w="935" w:type="dxa"/>
                  <w:tcBorders>
                    <w:tl2br w:val="nil"/>
                    <w:tr2bl w:val="nil"/>
                  </w:tcBorders>
                  <w:vAlign w:val="center"/>
                </w:tcPr>
                <w:p>
                  <w:pPr>
                    <w:pStyle w:val="102"/>
                    <w:rPr>
                      <w:rFonts w:hint="eastAsia"/>
                      <w:color w:val="0000FF"/>
                      <w:highlight w:val="none"/>
                    </w:rPr>
                  </w:pPr>
                  <w:r>
                    <w:rPr>
                      <w:rFonts w:hint="eastAsia"/>
                      <w:color w:val="0000FF"/>
                      <w:highlight w:val="none"/>
                    </w:rPr>
                    <w:t>台</w:t>
                  </w:r>
                </w:p>
              </w:tc>
              <w:tc>
                <w:tcPr>
                  <w:tcW w:w="819" w:type="dxa"/>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1</w:t>
                  </w:r>
                </w:p>
              </w:tc>
              <w:tc>
                <w:tcPr>
                  <w:tcW w:w="1615" w:type="dxa"/>
                  <w:tcBorders>
                    <w:tl2br w:val="nil"/>
                    <w:tr2bl w:val="nil"/>
                  </w:tcBorders>
                  <w:vAlign w:val="center"/>
                </w:tcPr>
                <w:p>
                  <w:pPr>
                    <w:jc w:val="center"/>
                    <w:rPr>
                      <w:rFonts w:hint="eastAsia"/>
                      <w:color w:val="0000FF"/>
                      <w:highlight w:val="none"/>
                    </w:rPr>
                  </w:pPr>
                  <w:r>
                    <w:rPr>
                      <w:rFonts w:hint="eastAsia"/>
                      <w:color w:val="0000FF"/>
                      <w:highlight w:val="none"/>
                    </w:rPr>
                    <w:t>/</w:t>
                  </w:r>
                </w:p>
              </w:tc>
              <w:tc>
                <w:tcPr>
                  <w:tcW w:w="1786"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手持式测试</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4"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23</w:t>
                  </w:r>
                </w:p>
              </w:tc>
              <w:tc>
                <w:tcPr>
                  <w:tcW w:w="2462" w:type="dxa"/>
                  <w:tcBorders>
                    <w:tl2br w:val="nil"/>
                    <w:tr2bl w:val="nil"/>
                  </w:tcBorders>
                  <w:vAlign w:val="center"/>
                </w:tcPr>
                <w:p>
                  <w:pPr>
                    <w:pStyle w:val="102"/>
                    <w:rPr>
                      <w:highlight w:val="none"/>
                    </w:rPr>
                  </w:pPr>
                  <w:r>
                    <w:rPr>
                      <w:rFonts w:hint="eastAsia"/>
                      <w:highlight w:val="none"/>
                    </w:rPr>
                    <w:t>研发室设备一套</w:t>
                  </w:r>
                </w:p>
              </w:tc>
              <w:tc>
                <w:tcPr>
                  <w:tcW w:w="935" w:type="dxa"/>
                  <w:tcBorders>
                    <w:tl2br w:val="nil"/>
                    <w:tr2bl w:val="nil"/>
                  </w:tcBorders>
                  <w:vAlign w:val="center"/>
                </w:tcPr>
                <w:p>
                  <w:pPr>
                    <w:pStyle w:val="102"/>
                    <w:rPr>
                      <w:highlight w:val="none"/>
                    </w:rPr>
                  </w:pPr>
                  <w:r>
                    <w:rPr>
                      <w:rFonts w:hint="eastAsia"/>
                      <w:highlight w:val="none"/>
                    </w:rPr>
                    <w:t>套</w:t>
                  </w:r>
                </w:p>
              </w:tc>
              <w:tc>
                <w:tcPr>
                  <w:tcW w:w="819" w:type="dxa"/>
                  <w:tcBorders>
                    <w:tl2br w:val="nil"/>
                    <w:tr2bl w:val="nil"/>
                  </w:tcBorders>
                  <w:vAlign w:val="center"/>
                </w:tcPr>
                <w:p>
                  <w:pPr>
                    <w:pStyle w:val="102"/>
                    <w:rPr>
                      <w:highlight w:val="none"/>
                    </w:rPr>
                  </w:pPr>
                  <w:r>
                    <w:rPr>
                      <w:rFonts w:hint="eastAsia"/>
                      <w:highlight w:val="none"/>
                    </w:rPr>
                    <w:t>1</w:t>
                  </w:r>
                </w:p>
              </w:tc>
              <w:tc>
                <w:tcPr>
                  <w:tcW w:w="1615" w:type="dxa"/>
                  <w:tcBorders>
                    <w:tl2br w:val="nil"/>
                    <w:tr2bl w:val="nil"/>
                  </w:tcBorders>
                  <w:vAlign w:val="center"/>
                </w:tcPr>
                <w:p>
                  <w:pPr>
                    <w:pStyle w:val="102"/>
                    <w:rPr>
                      <w:highlight w:val="none"/>
                    </w:rPr>
                  </w:pPr>
                  <w:r>
                    <w:rPr>
                      <w:rFonts w:hint="eastAsia"/>
                      <w:highlight w:val="none"/>
                    </w:rPr>
                    <w:t>/</w:t>
                  </w:r>
                </w:p>
              </w:tc>
              <w:tc>
                <w:tcPr>
                  <w:tcW w:w="1786" w:type="dxa"/>
                  <w:tcBorders>
                    <w:tl2br w:val="nil"/>
                    <w:tr2bl w:val="nil"/>
                  </w:tcBorders>
                  <w:vAlign w:val="center"/>
                </w:tcPr>
                <w:p>
                  <w:pPr>
                    <w:pStyle w:val="102"/>
                    <w:rPr>
                      <w:highlight w:val="none"/>
                    </w:rPr>
                  </w:pPr>
                  <w:r>
                    <w:rPr>
                      <w:rFonts w:hint="eastAsia"/>
                      <w:highlight w:val="none"/>
                    </w:rPr>
                    <w:t>/</w:t>
                  </w:r>
                </w:p>
              </w:tc>
            </w:tr>
          </w:tbl>
          <w:p>
            <w:pPr>
              <w:keepNext w:val="0"/>
              <w:keepLines w:val="0"/>
              <w:suppressLineNumbers w:val="0"/>
              <w:spacing w:before="0" w:beforeAutospacing="0" w:after="0" w:afterAutospacing="0" w:line="240" w:lineRule="auto"/>
              <w:ind w:left="0" w:right="0" w:firstLine="420" w:firstLineChars="200"/>
              <w:jc w:val="both"/>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备注：</w:t>
            </w:r>
            <w:r>
              <w:rPr>
                <w:rFonts w:hint="eastAsia" w:cs="Times New Roman"/>
                <w:b w:val="0"/>
                <w:bCs w:val="0"/>
                <w:color w:val="0000FF"/>
                <w:sz w:val="21"/>
                <w:szCs w:val="21"/>
                <w:highlight w:val="none"/>
                <w:lang w:val="en-US" w:eastAsia="zh-CN"/>
              </w:rPr>
              <w:t>项目冰水机组</w:t>
            </w:r>
            <w:r>
              <w:rPr>
                <w:rFonts w:hint="default" w:ascii="Times New Roman" w:hAnsi="Times New Roman" w:eastAsia="宋体" w:cs="Times New Roman"/>
                <w:b w:val="0"/>
                <w:bCs w:val="0"/>
                <w:color w:val="0000FF"/>
                <w:sz w:val="21"/>
                <w:szCs w:val="21"/>
                <w:highlight w:val="none"/>
                <w:lang w:val="en-US" w:eastAsia="zh-CN"/>
              </w:rPr>
              <w:t>采用</w:t>
            </w:r>
            <w:r>
              <w:rPr>
                <w:rFonts w:hint="default" w:ascii="Times New Roman" w:hAnsi="Times New Roman" w:eastAsia="宋体" w:cs="Times New Roman"/>
                <w:color w:val="0000FF"/>
                <w:kern w:val="0"/>
                <w:sz w:val="21"/>
                <w:szCs w:val="21"/>
                <w:highlight w:val="none"/>
                <w:lang w:val="en-US" w:eastAsia="zh-CN" w:bidi="ar"/>
              </w:rPr>
              <w:t xml:space="preserve">R407c </w:t>
            </w:r>
            <w:r>
              <w:rPr>
                <w:rFonts w:hint="eastAsia" w:ascii="宋体" w:hAnsi="宋体" w:eastAsia="宋体" w:cs="宋体"/>
                <w:color w:val="0000FF"/>
                <w:kern w:val="0"/>
                <w:sz w:val="21"/>
                <w:szCs w:val="21"/>
                <w:highlight w:val="none"/>
                <w:lang w:val="en-US" w:eastAsia="zh-CN" w:bidi="ar"/>
              </w:rPr>
              <w:t>混合型环保制冷剂</w:t>
            </w:r>
            <w:r>
              <w:rPr>
                <w:rFonts w:hint="default" w:ascii="Times New Roman" w:hAnsi="Times New Roman" w:eastAsia="宋体" w:cs="Times New Roman"/>
                <w:b w:val="0"/>
                <w:bCs w:val="0"/>
                <w:color w:val="0000FF"/>
                <w:sz w:val="21"/>
                <w:szCs w:val="21"/>
                <w:highlight w:val="none"/>
                <w:lang w:val="en-US" w:eastAsia="zh-CN"/>
              </w:rPr>
              <w:t>，是一种不含破坏臭氧层的物质的新型环保制冷剂，制冷剂不在厂内暂存，需要补充制冷剂时，由厂家直接上门补充。</w:t>
            </w:r>
          </w:p>
          <w:p>
            <w:pPr>
              <w:keepNext w:val="0"/>
              <w:keepLines w:val="0"/>
              <w:suppressLineNumbers w:val="0"/>
              <w:spacing w:before="0" w:beforeAutospacing="0" w:after="0" w:afterAutospacing="0" w:line="240" w:lineRule="auto"/>
              <w:ind w:left="0" w:right="0" w:firstLine="480" w:firstLineChars="200"/>
              <w:jc w:val="both"/>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产能匹配性分析：</w:t>
            </w:r>
          </w:p>
          <w:p>
            <w:pPr>
              <w:pStyle w:val="2"/>
              <w:keepNext w:val="0"/>
              <w:keepLines w:val="0"/>
              <w:pageBreakBefore w:val="0"/>
              <w:widowControl w:val="0"/>
              <w:kinsoku/>
              <w:wordWrap/>
              <w:overflowPunct/>
              <w:topLinePunct w:val="0"/>
              <w:autoSpaceDE w:val="0"/>
              <w:autoSpaceDN w:val="0"/>
              <w:bidi w:val="0"/>
              <w:adjustRightInd w:val="0"/>
              <w:snapToGrid/>
              <w:spacing w:before="157" w:beforeLines="50" w:after="0" w:line="240" w:lineRule="auto"/>
              <w:ind w:left="0" w:leftChars="0" w:firstLine="0" w:firstLineChars="0"/>
              <w:jc w:val="center"/>
              <w:textAlignment w:val="auto"/>
              <w:rPr>
                <w:rFonts w:hint="default" w:ascii="Times New Roman" w:hAnsi="Times New Roman" w:eastAsia="宋体" w:cs="Times New Roman"/>
                <w:b/>
                <w:bCs/>
                <w:color w:val="0000FF"/>
                <w:sz w:val="21"/>
                <w:szCs w:val="21"/>
                <w:highlight w:val="none"/>
                <w:u w:val="none"/>
              </w:rPr>
            </w:pPr>
            <w:r>
              <w:rPr>
                <w:rFonts w:hint="eastAsia" w:ascii="Times New Roman" w:hAnsi="Times New Roman" w:eastAsia="宋体" w:cs="Times New Roman"/>
                <w:b/>
                <w:bCs/>
                <w:color w:val="0000FF"/>
                <w:sz w:val="21"/>
                <w:szCs w:val="21"/>
                <w:highlight w:val="none"/>
                <w:u w:val="none"/>
                <w:lang w:val="en-US" w:eastAsia="zh-CN"/>
              </w:rPr>
              <w:t>表2-</w:t>
            </w:r>
            <w:r>
              <w:rPr>
                <w:rFonts w:hint="eastAsia" w:ascii="Times New Roman" w:hAnsi="Times New Roman" w:cs="Times New Roman"/>
                <w:b/>
                <w:bCs/>
                <w:color w:val="0000FF"/>
                <w:sz w:val="21"/>
                <w:szCs w:val="21"/>
                <w:highlight w:val="none"/>
                <w:u w:val="none"/>
                <w:lang w:val="en-US" w:eastAsia="zh-CN"/>
              </w:rPr>
              <w:t>8</w:t>
            </w:r>
            <w:r>
              <w:rPr>
                <w:rFonts w:hint="default" w:ascii="Times New Roman" w:hAnsi="Times New Roman" w:eastAsia="宋体" w:cs="Times New Roman"/>
                <w:b/>
                <w:bCs/>
                <w:color w:val="0000FF"/>
                <w:sz w:val="21"/>
                <w:szCs w:val="21"/>
                <w:highlight w:val="none"/>
                <w:u w:val="none"/>
                <w:lang w:val="en-US" w:eastAsia="zh-CN"/>
              </w:rPr>
              <w:t xml:space="preserve">   </w:t>
            </w:r>
            <w:r>
              <w:rPr>
                <w:rFonts w:hint="default" w:ascii="Times New Roman" w:hAnsi="Times New Roman" w:eastAsia="宋体" w:cs="Times New Roman"/>
                <w:b/>
                <w:bCs/>
                <w:color w:val="0000FF"/>
                <w:sz w:val="21"/>
                <w:szCs w:val="21"/>
                <w:highlight w:val="none"/>
                <w:u w:val="none"/>
                <w:lang w:eastAsia="zh-CN"/>
              </w:rPr>
              <w:t>主要生产设备</w:t>
            </w:r>
            <w:r>
              <w:rPr>
                <w:rFonts w:hint="eastAsia" w:ascii="Times New Roman" w:cs="Times New Roman"/>
                <w:b/>
                <w:bCs/>
                <w:color w:val="0000FF"/>
                <w:sz w:val="21"/>
                <w:szCs w:val="21"/>
                <w:highlight w:val="none"/>
                <w:u w:val="none"/>
                <w:lang w:eastAsia="zh-CN"/>
              </w:rPr>
              <w:t>产能匹配性分析</w:t>
            </w:r>
            <w:r>
              <w:rPr>
                <w:rFonts w:hint="default" w:ascii="Times New Roman" w:hAnsi="Times New Roman" w:eastAsia="宋体" w:cs="Times New Roman"/>
                <w:b/>
                <w:bCs/>
                <w:color w:val="0000FF"/>
                <w:sz w:val="21"/>
                <w:szCs w:val="21"/>
                <w:highlight w:val="none"/>
                <w:u w:val="none"/>
              </w:rPr>
              <w:t>表</w:t>
            </w:r>
          </w:p>
          <w:tbl>
            <w:tblPr>
              <w:tblStyle w:val="39"/>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1114"/>
              <w:gridCol w:w="1004"/>
              <w:gridCol w:w="2876"/>
              <w:gridCol w:w="33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732" w:hRule="exact"/>
                <w:jc w:val="center"/>
              </w:trPr>
              <w:tc>
                <w:tcPr>
                  <w:tcW w:w="111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bCs/>
                      <w:color w:val="0000FF"/>
                      <w:sz w:val="21"/>
                      <w:highlight w:val="none"/>
                    </w:rPr>
                  </w:pPr>
                  <w:r>
                    <w:rPr>
                      <w:rFonts w:hint="default" w:ascii="Times New Roman" w:hAnsi="Times New Roman" w:eastAsia="宋体" w:cs="Times New Roman"/>
                      <w:b/>
                      <w:bCs/>
                      <w:color w:val="0000FF"/>
                      <w:sz w:val="21"/>
                      <w:highlight w:val="none"/>
                    </w:rPr>
                    <w:t>设备名称</w:t>
                  </w:r>
                </w:p>
              </w:tc>
              <w:tc>
                <w:tcPr>
                  <w:tcW w:w="100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bCs/>
                      <w:color w:val="0000FF"/>
                      <w:sz w:val="21"/>
                      <w:highlight w:val="none"/>
                    </w:rPr>
                  </w:pPr>
                  <w:r>
                    <w:rPr>
                      <w:rFonts w:hint="default" w:ascii="Times New Roman" w:hAnsi="Times New Roman" w:eastAsia="宋体" w:cs="Times New Roman"/>
                      <w:b/>
                      <w:bCs/>
                      <w:color w:val="0000FF"/>
                      <w:sz w:val="21"/>
                      <w:highlight w:val="none"/>
                    </w:rPr>
                    <w:t>设备数量 （台）</w:t>
                  </w:r>
                </w:p>
              </w:tc>
              <w:tc>
                <w:tcPr>
                  <w:tcW w:w="287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bCs/>
                      <w:color w:val="0000FF"/>
                      <w:sz w:val="21"/>
                      <w:highlight w:val="none"/>
                      <w:lang w:eastAsia="zh-CN"/>
                    </w:rPr>
                  </w:pPr>
                  <w:r>
                    <w:rPr>
                      <w:rFonts w:hint="eastAsia" w:ascii="Times New Roman" w:hAnsi="Times New Roman" w:eastAsia="宋体" w:cs="Times New Roman"/>
                      <w:b/>
                      <w:bCs/>
                      <w:color w:val="0000FF"/>
                      <w:sz w:val="21"/>
                      <w:highlight w:val="none"/>
                      <w:lang w:eastAsia="zh-CN"/>
                    </w:rPr>
                    <w:t>单台设备参数</w:t>
                  </w:r>
                </w:p>
              </w:tc>
              <w:tc>
                <w:tcPr>
                  <w:tcW w:w="339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bCs/>
                      <w:color w:val="0000FF"/>
                      <w:sz w:val="21"/>
                      <w:highlight w:val="none"/>
                      <w:lang w:eastAsia="zh-CN"/>
                    </w:rPr>
                  </w:pPr>
                  <w:r>
                    <w:rPr>
                      <w:rFonts w:hint="eastAsia" w:ascii="Times New Roman" w:hAnsi="Times New Roman" w:eastAsia="宋体" w:cs="Times New Roman"/>
                      <w:b/>
                      <w:bCs/>
                      <w:color w:val="0000FF"/>
                      <w:sz w:val="21"/>
                      <w:highlight w:val="none"/>
                      <w:lang w:eastAsia="zh-CN"/>
                    </w:rPr>
                    <w:t>产能分析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346" w:hRule="exact"/>
                <w:jc w:val="center"/>
              </w:trPr>
              <w:tc>
                <w:tcPr>
                  <w:tcW w:w="111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rPr>
                    <w:t>鸡蛋上蛋系统</w:t>
                  </w:r>
                </w:p>
              </w:tc>
              <w:tc>
                <w:tcPr>
                  <w:tcW w:w="100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2</w:t>
                  </w:r>
                </w:p>
              </w:tc>
              <w:tc>
                <w:tcPr>
                  <w:tcW w:w="287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1台鸡蛋上蛋系统每小时可处理7.5万枚鲜鸡蛋，单枚鸡蛋重量约50g，则1台处理能力为3.75t/h。</w:t>
                  </w:r>
                </w:p>
              </w:tc>
              <w:tc>
                <w:tcPr>
                  <w:tcW w:w="339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本项目鸡蛋用量为28000t/a，鸡蛋上蛋系统年运转时间4800h，则2台鸡蛋上蛋系统年处理鸡蛋量为36000t，能满足产能需求。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282" w:hRule="exact"/>
                <w:jc w:val="center"/>
              </w:trPr>
              <w:tc>
                <w:tcPr>
                  <w:tcW w:w="111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rPr>
                    <w:t>打蛋机</w:t>
                  </w:r>
                </w:p>
              </w:tc>
              <w:tc>
                <w:tcPr>
                  <w:tcW w:w="100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2</w:t>
                  </w:r>
                </w:p>
              </w:tc>
              <w:tc>
                <w:tcPr>
                  <w:tcW w:w="287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1台鸡蛋上蛋系统每小时可处理7.5万枚鲜鸡蛋，单枚鸡蛋重量约50g，则1台处理能力为3.75t/h。</w:t>
                  </w:r>
                </w:p>
              </w:tc>
              <w:tc>
                <w:tcPr>
                  <w:tcW w:w="339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eastAsia="zh-CN"/>
                    </w:rPr>
                  </w:pPr>
                  <w:r>
                    <w:rPr>
                      <w:rFonts w:hint="eastAsia" w:ascii="Times New Roman" w:hAnsi="Times New Roman" w:eastAsia="宋体" w:cs="Times New Roman"/>
                      <w:b w:val="0"/>
                      <w:bCs w:val="0"/>
                      <w:color w:val="0000FF"/>
                      <w:sz w:val="21"/>
                      <w:highlight w:val="none"/>
                      <w:lang w:val="en-US" w:eastAsia="zh-CN"/>
                    </w:rPr>
                    <w:t>本项目鸡蛋用量为28000t/a，鸡蛋上蛋系统年运转时间4800h，则2台鸡蛋上蛋系统年处理鸡蛋量为36000t，能满足产能需求。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533" w:hRule="exact"/>
                <w:jc w:val="center"/>
              </w:trPr>
              <w:tc>
                <w:tcPr>
                  <w:tcW w:w="1114"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rPr>
                    <w:t>巴氏杀菌机系统（含均质机）</w:t>
                  </w:r>
                </w:p>
              </w:tc>
              <w:tc>
                <w:tcPr>
                  <w:tcW w:w="1004" w:type="dxa"/>
                  <w:tcBorders>
                    <w:tl2br w:val="nil"/>
                    <w:tr2bl w:val="nil"/>
                  </w:tcBorders>
                  <w:shd w:val="clear" w:color="auto" w:fill="FFFFFF"/>
                  <w:vAlign w:val="center"/>
                </w:tcPr>
                <w:p>
                  <w:pPr>
                    <w:pStyle w:val="58"/>
                    <w:spacing w:before="24" w:after="24"/>
                    <w:jc w:val="center"/>
                    <w:rPr>
                      <w:rFonts w:hint="eastAsia"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2</w:t>
                  </w:r>
                </w:p>
              </w:tc>
              <w:tc>
                <w:tcPr>
                  <w:tcW w:w="287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val="en-US" w:eastAsia="zh-CN"/>
                    </w:rPr>
                  </w:pPr>
                  <w:r>
                    <w:rPr>
                      <w:rFonts w:hint="eastAsia" w:ascii="Times New Roman" w:hAnsi="Times New Roman" w:eastAsia="宋体" w:cs="Times New Roman"/>
                      <w:b w:val="0"/>
                      <w:bCs w:val="0"/>
                      <w:color w:val="0000FF"/>
                      <w:sz w:val="21"/>
                      <w:highlight w:val="none"/>
                      <w:lang w:val="en-US" w:eastAsia="zh-CN"/>
                    </w:rPr>
                    <w:t>1套巴氏杀菌系统每小时可对4吨产品进行杀菌</w:t>
                  </w:r>
                </w:p>
              </w:tc>
              <w:tc>
                <w:tcPr>
                  <w:tcW w:w="3396" w:type="dxa"/>
                  <w:tcBorders>
                    <w:tl2br w:val="nil"/>
                    <w:tr2bl w:val="nil"/>
                  </w:tcBorders>
                  <w:shd w:val="clear" w:color="auto" w:fill="FFFFFF"/>
                  <w:vAlign w:val="center"/>
                </w:tcPr>
                <w:p>
                  <w:pPr>
                    <w:pStyle w:val="58"/>
                    <w:spacing w:before="24" w:after="24"/>
                    <w:jc w:val="center"/>
                    <w:rPr>
                      <w:rFonts w:hint="default" w:ascii="Times New Roman" w:hAnsi="Times New Roman" w:eastAsia="宋体" w:cs="Times New Roman"/>
                      <w:b w:val="0"/>
                      <w:bCs w:val="0"/>
                      <w:color w:val="0000FF"/>
                      <w:sz w:val="21"/>
                      <w:highlight w:val="none"/>
                      <w:lang w:eastAsia="zh-CN"/>
                    </w:rPr>
                  </w:pPr>
                  <w:r>
                    <w:rPr>
                      <w:rFonts w:hint="eastAsia" w:ascii="Times New Roman" w:hAnsi="Times New Roman" w:eastAsia="宋体" w:cs="Times New Roman"/>
                      <w:b w:val="0"/>
                      <w:bCs w:val="0"/>
                      <w:color w:val="0000FF"/>
                      <w:sz w:val="21"/>
                      <w:highlight w:val="none"/>
                      <w:lang w:val="en-US" w:eastAsia="zh-CN"/>
                    </w:rPr>
                    <w:t>本项目蛋液年产量为25000t/a，巴氏杀菌系统年运行时间4800h，则2套巴氏杀菌系统年处理蛋液量为38400t，能满足产能需求。</w:t>
                  </w:r>
                </w:p>
              </w:tc>
            </w:tr>
          </w:tbl>
          <w:p>
            <w:pPr>
              <w:keepNext w:val="0"/>
              <w:keepLines w:val="0"/>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lang w:val="en-US" w:eastAsia="zh-CN"/>
              </w:rPr>
            </w:pPr>
          </w:p>
          <w:p>
            <w:pPr>
              <w:spacing w:line="360" w:lineRule="auto"/>
              <w:ind w:firstLine="481" w:firstLineChars="200"/>
              <w:rPr>
                <w:b/>
                <w:bCs/>
                <w:sz w:val="24"/>
                <w:highlight w:val="none"/>
              </w:rPr>
            </w:pPr>
            <w:r>
              <w:rPr>
                <w:rFonts w:hint="eastAsia"/>
                <w:b/>
                <w:bCs/>
                <w:sz w:val="24"/>
                <w:highlight w:val="none"/>
              </w:rPr>
              <w:t>5</w:t>
            </w:r>
            <w:r>
              <w:rPr>
                <w:b/>
                <w:bCs/>
                <w:sz w:val="24"/>
                <w:highlight w:val="none"/>
              </w:rPr>
              <w:t>、劳动定员及工作制度</w:t>
            </w:r>
          </w:p>
          <w:p>
            <w:pPr>
              <w:spacing w:line="360" w:lineRule="auto"/>
              <w:ind w:firstLine="480" w:firstLineChars="200"/>
              <w:rPr>
                <w:color w:val="0000FF"/>
                <w:sz w:val="24"/>
                <w:highlight w:val="none"/>
                <w:lang w:val="en-GB"/>
              </w:rPr>
            </w:pPr>
            <w:r>
              <w:rPr>
                <w:rFonts w:hint="eastAsia"/>
                <w:sz w:val="24"/>
                <w:highlight w:val="none"/>
                <w:lang w:val="en-GB"/>
              </w:rPr>
              <w:t>项目劳动定员</w:t>
            </w:r>
            <w:r>
              <w:rPr>
                <w:rFonts w:hint="eastAsia"/>
                <w:sz w:val="24"/>
                <w:highlight w:val="none"/>
              </w:rPr>
              <w:t>40</w:t>
            </w:r>
            <w:r>
              <w:rPr>
                <w:rFonts w:hint="eastAsia"/>
                <w:sz w:val="24"/>
                <w:highlight w:val="none"/>
                <w:lang w:val="en-GB"/>
              </w:rPr>
              <w:t>人，全年生产天数为3</w:t>
            </w:r>
            <w:r>
              <w:rPr>
                <w:rFonts w:hint="eastAsia"/>
                <w:sz w:val="24"/>
                <w:highlight w:val="none"/>
              </w:rPr>
              <w:t>00</w:t>
            </w:r>
            <w:r>
              <w:rPr>
                <w:rFonts w:hint="eastAsia"/>
                <w:sz w:val="24"/>
                <w:highlight w:val="none"/>
                <w:lang w:val="en-GB"/>
              </w:rPr>
              <w:t>天，</w:t>
            </w:r>
            <w:r>
              <w:rPr>
                <w:rFonts w:hint="eastAsia"/>
                <w:color w:val="0000FF"/>
                <w:sz w:val="24"/>
                <w:highlight w:val="none"/>
                <w:lang w:val="en-GB"/>
              </w:rPr>
              <w:t>实行</w:t>
            </w:r>
            <w:r>
              <w:rPr>
                <w:rFonts w:hint="eastAsia"/>
                <w:color w:val="0000FF"/>
                <w:sz w:val="24"/>
                <w:highlight w:val="none"/>
              </w:rPr>
              <w:t>2</w:t>
            </w:r>
            <w:r>
              <w:rPr>
                <w:rFonts w:hint="eastAsia"/>
                <w:color w:val="0000FF"/>
                <w:sz w:val="24"/>
                <w:highlight w:val="none"/>
                <w:lang w:val="en-GB"/>
              </w:rPr>
              <w:t>班制，每班工作</w:t>
            </w:r>
            <w:r>
              <w:rPr>
                <w:rFonts w:hint="eastAsia"/>
                <w:color w:val="0000FF"/>
                <w:sz w:val="24"/>
                <w:highlight w:val="none"/>
                <w:lang w:val="en-US" w:eastAsia="zh-CN"/>
              </w:rPr>
              <w:t>8</w:t>
            </w:r>
            <w:r>
              <w:rPr>
                <w:rFonts w:hint="eastAsia"/>
                <w:color w:val="0000FF"/>
                <w:sz w:val="24"/>
                <w:highlight w:val="none"/>
                <w:lang w:val="en-GB"/>
              </w:rPr>
              <w:t>小时。</w:t>
            </w:r>
          </w:p>
          <w:p>
            <w:pPr>
              <w:spacing w:line="360" w:lineRule="auto"/>
              <w:ind w:firstLine="481" w:firstLineChars="200"/>
              <w:rPr>
                <w:b/>
                <w:bCs/>
                <w:sz w:val="24"/>
                <w:highlight w:val="none"/>
              </w:rPr>
            </w:pPr>
            <w:r>
              <w:rPr>
                <w:rFonts w:hint="eastAsia"/>
                <w:b/>
                <w:bCs/>
                <w:sz w:val="24"/>
                <w:highlight w:val="none"/>
              </w:rPr>
              <w:t>6</w:t>
            </w:r>
            <w:r>
              <w:rPr>
                <w:b/>
                <w:bCs/>
                <w:sz w:val="24"/>
                <w:highlight w:val="none"/>
              </w:rPr>
              <w:t>、公用工程</w:t>
            </w:r>
          </w:p>
          <w:p>
            <w:pPr>
              <w:spacing w:line="360" w:lineRule="auto"/>
              <w:ind w:firstLine="481" w:firstLineChars="200"/>
              <w:rPr>
                <w:b/>
                <w:bCs/>
                <w:kern w:val="0"/>
                <w:sz w:val="24"/>
                <w:szCs w:val="20"/>
                <w:highlight w:val="none"/>
              </w:rPr>
            </w:pPr>
            <w:r>
              <w:rPr>
                <w:rFonts w:hint="eastAsia"/>
                <w:b/>
                <w:bCs/>
                <w:kern w:val="0"/>
                <w:sz w:val="24"/>
                <w:szCs w:val="20"/>
                <w:highlight w:val="none"/>
              </w:rPr>
              <w:t>（1）供电</w:t>
            </w:r>
          </w:p>
          <w:p>
            <w:pPr>
              <w:spacing w:line="360" w:lineRule="auto"/>
              <w:ind w:firstLine="480" w:firstLineChars="200"/>
              <w:rPr>
                <w:kern w:val="0"/>
                <w:sz w:val="24"/>
                <w:szCs w:val="20"/>
                <w:highlight w:val="none"/>
              </w:rPr>
            </w:pPr>
            <w:r>
              <w:rPr>
                <w:rFonts w:hint="eastAsia"/>
                <w:kern w:val="0"/>
                <w:sz w:val="24"/>
                <w:szCs w:val="20"/>
                <w:highlight w:val="none"/>
              </w:rPr>
              <w:t>本项目年用电量1245万kW</w:t>
            </w:r>
            <w:r>
              <w:rPr>
                <w:kern w:val="0"/>
                <w:sz w:val="24"/>
                <w:szCs w:val="20"/>
                <w:highlight w:val="none"/>
              </w:rPr>
              <w:t>·</w:t>
            </w:r>
            <w:r>
              <w:rPr>
                <w:rFonts w:hint="eastAsia"/>
                <w:kern w:val="0"/>
                <w:sz w:val="24"/>
                <w:szCs w:val="20"/>
                <w:highlight w:val="none"/>
              </w:rPr>
              <w:t>h，由庐山市市政供电电网供给。</w:t>
            </w:r>
          </w:p>
          <w:p>
            <w:pPr>
              <w:spacing w:line="360" w:lineRule="auto"/>
              <w:ind w:firstLine="481" w:firstLineChars="200"/>
              <w:rPr>
                <w:b/>
                <w:bCs/>
                <w:kern w:val="0"/>
                <w:sz w:val="24"/>
                <w:szCs w:val="20"/>
                <w:highlight w:val="none"/>
              </w:rPr>
            </w:pPr>
            <w:r>
              <w:rPr>
                <w:rFonts w:hint="eastAsia"/>
                <w:b/>
                <w:bCs/>
                <w:kern w:val="0"/>
                <w:sz w:val="24"/>
                <w:szCs w:val="20"/>
                <w:highlight w:val="none"/>
              </w:rPr>
              <w:t>（2）供热</w:t>
            </w:r>
          </w:p>
          <w:p>
            <w:pPr>
              <w:spacing w:line="360" w:lineRule="auto"/>
              <w:ind w:firstLine="480" w:firstLineChars="200"/>
              <w:rPr>
                <w:kern w:val="0"/>
                <w:sz w:val="24"/>
                <w:szCs w:val="20"/>
                <w:highlight w:val="none"/>
              </w:rPr>
            </w:pPr>
            <w:r>
              <w:rPr>
                <w:rFonts w:hint="eastAsia"/>
                <w:color w:val="0000FF"/>
                <w:kern w:val="0"/>
                <w:sz w:val="24"/>
                <w:szCs w:val="20"/>
                <w:highlight w:val="none"/>
              </w:rPr>
              <w:t>目前，本项目采用1台2.5t/h生物质蒸汽锅炉供热，</w:t>
            </w:r>
            <w:r>
              <w:rPr>
                <w:rFonts w:hint="eastAsia"/>
                <w:color w:val="0000FF"/>
                <w:kern w:val="0"/>
                <w:sz w:val="24"/>
                <w:szCs w:val="20"/>
                <w:highlight w:val="none"/>
                <w:lang w:val="en-US" w:eastAsia="zh-CN"/>
              </w:rPr>
              <w:t>锅炉年运行时间4800h，锅炉生产负荷率按75%计，</w:t>
            </w:r>
            <w:r>
              <w:rPr>
                <w:rFonts w:hint="eastAsia"/>
                <w:color w:val="0000FF"/>
                <w:kern w:val="0"/>
                <w:sz w:val="24"/>
                <w:szCs w:val="20"/>
                <w:highlight w:val="none"/>
              </w:rPr>
              <w:t>年产生蒸汽量为</w:t>
            </w:r>
            <w:r>
              <w:rPr>
                <w:rFonts w:hint="eastAsia"/>
                <w:color w:val="0000FF"/>
                <w:kern w:val="0"/>
                <w:sz w:val="24"/>
                <w:szCs w:val="20"/>
                <w:highlight w:val="none"/>
                <w:lang w:val="en-US" w:eastAsia="zh-CN"/>
              </w:rPr>
              <w:t>9</w:t>
            </w:r>
            <w:r>
              <w:rPr>
                <w:rFonts w:hint="eastAsia"/>
                <w:color w:val="0000FF"/>
                <w:kern w:val="0"/>
                <w:sz w:val="24"/>
                <w:szCs w:val="20"/>
                <w:highlight w:val="none"/>
              </w:rPr>
              <w:t>000</w:t>
            </w:r>
            <w:r>
              <w:rPr>
                <w:color w:val="0000FF"/>
                <w:kern w:val="0"/>
                <w:sz w:val="24"/>
                <w:szCs w:val="20"/>
                <w:highlight w:val="none"/>
              </w:rPr>
              <w:t>t/a</w:t>
            </w:r>
            <w:r>
              <w:rPr>
                <w:rFonts w:hint="eastAsia"/>
                <w:color w:val="0000FF"/>
                <w:kern w:val="0"/>
                <w:sz w:val="24"/>
                <w:szCs w:val="20"/>
                <w:highlight w:val="none"/>
              </w:rPr>
              <w:t>。</w:t>
            </w:r>
            <w:r>
              <w:rPr>
                <w:kern w:val="0"/>
                <w:sz w:val="24"/>
                <w:szCs w:val="20"/>
                <w:highlight w:val="none"/>
              </w:rPr>
              <w:t>根据企业规划，待厂区天然气管道接通后，将改用天然气作为锅炉燃料，实现供热方式的清洁能源替代。</w:t>
            </w:r>
          </w:p>
          <w:p>
            <w:pPr>
              <w:spacing w:line="360" w:lineRule="auto"/>
              <w:ind w:firstLine="480"/>
              <w:rPr>
                <w:highlight w:val="none"/>
              </w:rPr>
            </w:pPr>
            <w:r>
              <w:rPr>
                <w:b/>
                <w:bCs/>
                <w:sz w:val="24"/>
                <w:highlight w:val="none"/>
              </w:rPr>
              <w:t>（</w:t>
            </w:r>
            <w:r>
              <w:rPr>
                <w:rFonts w:hint="eastAsia"/>
                <w:b/>
                <w:bCs/>
                <w:sz w:val="24"/>
                <w:highlight w:val="none"/>
              </w:rPr>
              <w:t>3</w:t>
            </w:r>
            <w:r>
              <w:rPr>
                <w:b/>
                <w:bCs/>
                <w:sz w:val="24"/>
                <w:highlight w:val="none"/>
              </w:rPr>
              <w:t>）给水</w:t>
            </w:r>
          </w:p>
          <w:p>
            <w:pPr>
              <w:spacing w:line="360" w:lineRule="auto"/>
              <w:ind w:firstLine="480" w:firstLineChars="200"/>
              <w:rPr>
                <w:sz w:val="24"/>
                <w:highlight w:val="none"/>
              </w:rPr>
            </w:pPr>
            <w:r>
              <w:rPr>
                <w:sz w:val="24"/>
                <w:highlight w:val="none"/>
              </w:rPr>
              <w:t>本项目用水由</w:t>
            </w:r>
            <w:r>
              <w:rPr>
                <w:rFonts w:hint="eastAsia"/>
                <w:sz w:val="24"/>
                <w:highlight w:val="none"/>
              </w:rPr>
              <w:t>市政</w:t>
            </w:r>
            <w:r>
              <w:rPr>
                <w:sz w:val="24"/>
                <w:highlight w:val="none"/>
              </w:rPr>
              <w:t>供水管网供给。本项目用水主要包括生活用水、鸡蛋清洗用水、 CIP 系统用水、</w:t>
            </w:r>
            <w:r>
              <w:rPr>
                <w:rFonts w:hint="eastAsia"/>
                <w:sz w:val="24"/>
                <w:highlight w:val="none"/>
              </w:rPr>
              <w:t>地面清洗</w:t>
            </w:r>
            <w:r>
              <w:rPr>
                <w:sz w:val="24"/>
                <w:highlight w:val="none"/>
              </w:rPr>
              <w:t>用水等。</w:t>
            </w:r>
          </w:p>
          <w:p>
            <w:pPr>
              <w:pStyle w:val="108"/>
              <w:ind w:firstLine="480"/>
              <w:rPr>
                <w:highlight w:val="none"/>
              </w:rPr>
            </w:pPr>
            <w:r>
              <w:rPr>
                <w:highlight w:val="none"/>
              </w:rPr>
              <w:t>1）生活用水</w:t>
            </w:r>
          </w:p>
          <w:p>
            <w:pPr>
              <w:pStyle w:val="108"/>
              <w:ind w:firstLine="480"/>
              <w:rPr>
                <w:highlight w:val="none"/>
              </w:rPr>
            </w:pPr>
            <w:r>
              <w:rPr>
                <w:highlight w:val="none"/>
              </w:rPr>
              <w:t>本项目劳动定员为</w:t>
            </w:r>
            <w:r>
              <w:rPr>
                <w:rFonts w:hint="eastAsia"/>
                <w:highlight w:val="none"/>
              </w:rPr>
              <w:t>40</w:t>
            </w:r>
            <w:r>
              <w:rPr>
                <w:highlight w:val="none"/>
              </w:rPr>
              <w:t>人</w:t>
            </w:r>
            <w:r>
              <w:rPr>
                <w:rFonts w:hint="eastAsia"/>
                <w:highlight w:val="none"/>
                <w:lang w:val="en-GB"/>
              </w:rPr>
              <w:t>，</w:t>
            </w:r>
            <w:r>
              <w:rPr>
                <w:rFonts w:hint="eastAsia"/>
                <w:color w:val="0000FF"/>
                <w:highlight w:val="none"/>
                <w:lang w:val="en-US" w:eastAsia="zh-CN"/>
              </w:rPr>
              <w:t>员工住宿依托项目西侧庐山市华林镇吉山村华林板岩加工园已建宿舍楼</w:t>
            </w:r>
            <w:r>
              <w:rPr>
                <w:highlight w:val="none"/>
              </w:rPr>
              <w:t>，</w:t>
            </w:r>
            <w:r>
              <w:rPr>
                <w:rFonts w:hint="eastAsia"/>
                <w:highlight w:val="none"/>
                <w:lang w:val="en-US" w:eastAsia="zh-CN"/>
              </w:rPr>
              <w:t>本项目生活用水主要为员工办公生活用水，</w:t>
            </w:r>
            <w:r>
              <w:rPr>
                <w:rFonts w:hint="eastAsia"/>
                <w:highlight w:val="none"/>
              </w:rPr>
              <w:t>年</w:t>
            </w:r>
            <w:r>
              <w:rPr>
                <w:highlight w:val="none"/>
              </w:rPr>
              <w:t>工作</w:t>
            </w:r>
            <w:r>
              <w:rPr>
                <w:rFonts w:hint="eastAsia"/>
                <w:highlight w:val="none"/>
              </w:rPr>
              <w:t>300</w:t>
            </w:r>
            <w:r>
              <w:rPr>
                <w:highlight w:val="none"/>
              </w:rPr>
              <w:t>天，根据《生活及服务业用水定额第2部分</w:t>
            </w:r>
            <w:r>
              <w:rPr>
                <w:rFonts w:hint="eastAsia"/>
                <w:highlight w:val="none"/>
              </w:rPr>
              <w:t>：</w:t>
            </w:r>
            <w:r>
              <w:rPr>
                <w:highlight w:val="none"/>
              </w:rPr>
              <w:t>服务业、居民生活和建筑业》（赣府发〔202</w:t>
            </w:r>
            <w:r>
              <w:rPr>
                <w:rFonts w:hint="eastAsia"/>
                <w:highlight w:val="none"/>
              </w:rPr>
              <w:t>4</w:t>
            </w:r>
            <w:r>
              <w:rPr>
                <w:highlight w:val="none"/>
              </w:rPr>
              <w:t>〕17号），</w:t>
            </w:r>
            <w:r>
              <w:rPr>
                <w:rFonts w:hint="eastAsia"/>
                <w:highlight w:val="none"/>
              </w:rPr>
              <w:t>城镇居民生活用水定额160L/人·d计，则</w:t>
            </w:r>
            <w:r>
              <w:rPr>
                <w:highlight w:val="none"/>
              </w:rPr>
              <w:t>员工生活用水量为</w:t>
            </w:r>
            <w:r>
              <w:rPr>
                <w:rFonts w:hint="eastAsia"/>
                <w:highlight w:val="none"/>
              </w:rPr>
              <w:t>6.4</w:t>
            </w:r>
            <w:r>
              <w:rPr>
                <w:highlight w:val="none"/>
              </w:rPr>
              <w:t>m³/d（</w:t>
            </w:r>
            <w:r>
              <w:rPr>
                <w:rFonts w:hint="eastAsia"/>
                <w:highlight w:val="none"/>
              </w:rPr>
              <w:t>1920</w:t>
            </w:r>
            <w:r>
              <w:rPr>
                <w:highlight w:val="none"/>
              </w:rPr>
              <w:t>m³/a）。</w:t>
            </w:r>
          </w:p>
          <w:p>
            <w:pPr>
              <w:pStyle w:val="108"/>
              <w:ind w:firstLine="480"/>
              <w:rPr>
                <w:highlight w:val="none"/>
              </w:rPr>
            </w:pPr>
            <w:r>
              <w:rPr>
                <w:rFonts w:hint="eastAsia"/>
                <w:highlight w:val="none"/>
              </w:rPr>
              <w:t>2）鸡蛋清洗用水</w:t>
            </w:r>
          </w:p>
          <w:p>
            <w:pPr>
              <w:pStyle w:val="108"/>
              <w:ind w:firstLine="480"/>
              <w:rPr>
                <w:highlight w:val="none"/>
              </w:rPr>
            </w:pPr>
            <w:r>
              <w:rPr>
                <w:highlight w:val="none"/>
              </w:rPr>
              <w:t>鸡蛋进入打蛋机前需进行清洗。利用</w:t>
            </w:r>
            <w:r>
              <w:rPr>
                <w:rFonts w:hint="eastAsia"/>
                <w:highlight w:val="none"/>
              </w:rPr>
              <w:t>水箱上蛋机简单清洗</w:t>
            </w:r>
            <w:r>
              <w:rPr>
                <w:highlight w:val="none"/>
              </w:rPr>
              <w:t>后</w:t>
            </w:r>
            <w:r>
              <w:rPr>
                <w:rFonts w:hint="eastAsia"/>
                <w:highlight w:val="none"/>
              </w:rPr>
              <w:t>，</w:t>
            </w:r>
            <w:r>
              <w:rPr>
                <w:highlight w:val="none"/>
              </w:rPr>
              <w:t>通过</w:t>
            </w:r>
            <w:r>
              <w:rPr>
                <w:rFonts w:hint="eastAsia"/>
                <w:highlight w:val="none"/>
              </w:rPr>
              <w:t>洗蛋机</w:t>
            </w:r>
            <w:r>
              <w:rPr>
                <w:highlight w:val="none"/>
              </w:rPr>
              <w:t>毛刷及喷淋水清洁鸡蛋；最后对鸡蛋进行烘干，送入打蛋机。</w:t>
            </w:r>
          </w:p>
          <w:p>
            <w:pPr>
              <w:pStyle w:val="108"/>
              <w:ind w:firstLine="480"/>
              <w:rPr>
                <w:highlight w:val="none"/>
              </w:rPr>
            </w:pPr>
            <w:r>
              <w:rPr>
                <w:rFonts w:hint="eastAsia"/>
                <w:highlight w:val="none"/>
              </w:rPr>
              <w:t>本项目水箱上蛋机对鸡蛋进行简单清洗，设置 2台水箱上蛋机，水箱有效容积为800L，水箱内水预计2小时更换一次，则水箱上蛋机用水量为12.8</w:t>
            </w:r>
            <w:r>
              <w:rPr>
                <w:highlight w:val="none"/>
              </w:rPr>
              <w:t>m</w:t>
            </w:r>
            <w:r>
              <w:rPr>
                <w:highlight w:val="none"/>
                <w:vertAlign w:val="superscript"/>
              </w:rPr>
              <w:t>3</w:t>
            </w:r>
            <w:r>
              <w:rPr>
                <w:highlight w:val="none"/>
              </w:rPr>
              <w:t>/d（</w:t>
            </w:r>
            <w:r>
              <w:rPr>
                <w:rFonts w:hint="eastAsia"/>
                <w:highlight w:val="none"/>
              </w:rPr>
              <w:t>3840</w:t>
            </w:r>
            <w:r>
              <w:rPr>
                <w:highlight w:val="none"/>
              </w:rPr>
              <w:t>m</w:t>
            </w:r>
            <w:r>
              <w:rPr>
                <w:highlight w:val="none"/>
                <w:vertAlign w:val="superscript"/>
              </w:rPr>
              <w:t>3</w:t>
            </w:r>
            <w:r>
              <w:rPr>
                <w:highlight w:val="none"/>
              </w:rPr>
              <w:t>/a）</w:t>
            </w:r>
            <w:r>
              <w:rPr>
                <w:rFonts w:hint="eastAsia"/>
                <w:highlight w:val="none"/>
              </w:rPr>
              <w:t>。</w:t>
            </w:r>
          </w:p>
          <w:p>
            <w:pPr>
              <w:pStyle w:val="108"/>
              <w:ind w:firstLine="480"/>
              <w:rPr>
                <w:highlight w:val="none"/>
              </w:rPr>
            </w:pPr>
            <w:r>
              <w:rPr>
                <w:rFonts w:hint="eastAsia"/>
                <w:highlight w:val="none"/>
              </w:rPr>
              <w:t>清洗采用洗蛋机高压喷淋清洗，本项目设2台洗蛋机，清洗流量约为0.8t/h，洗蛋机每天工作16</w:t>
            </w:r>
            <w:r>
              <w:rPr>
                <w:highlight w:val="none"/>
              </w:rPr>
              <w:t>h</w:t>
            </w:r>
            <w:r>
              <w:rPr>
                <w:rFonts w:hint="eastAsia"/>
                <w:highlight w:val="none"/>
              </w:rPr>
              <w:t>，则洗蛋机用水量为25.6</w:t>
            </w:r>
            <w:r>
              <w:rPr>
                <w:highlight w:val="none"/>
              </w:rPr>
              <w:t>m</w:t>
            </w:r>
            <w:r>
              <w:rPr>
                <w:highlight w:val="none"/>
                <w:vertAlign w:val="superscript"/>
              </w:rPr>
              <w:t>3</w:t>
            </w:r>
            <w:r>
              <w:rPr>
                <w:highlight w:val="none"/>
              </w:rPr>
              <w:t xml:space="preserve"> /d</w:t>
            </w:r>
            <w:r>
              <w:rPr>
                <w:rFonts w:hint="eastAsia"/>
                <w:highlight w:val="none"/>
              </w:rPr>
              <w:t>（7680</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 xml:space="preserve"> /a</w:t>
            </w:r>
            <w:r>
              <w:rPr>
                <w:rFonts w:hint="eastAsia"/>
                <w:highlight w:val="none"/>
              </w:rPr>
              <w:t xml:space="preserve">）。 </w:t>
            </w:r>
          </w:p>
          <w:p>
            <w:pPr>
              <w:pStyle w:val="108"/>
              <w:ind w:firstLine="480"/>
              <w:rPr>
                <w:highlight w:val="none"/>
              </w:rPr>
            </w:pPr>
            <w:r>
              <w:rPr>
                <w:rFonts w:hint="eastAsia"/>
                <w:highlight w:val="none"/>
              </w:rPr>
              <w:t>则鸡蛋清洗用水量合计为38.4</w:t>
            </w:r>
            <w:r>
              <w:rPr>
                <w:highlight w:val="none"/>
              </w:rPr>
              <w:t>m</w:t>
            </w:r>
            <w:r>
              <w:rPr>
                <w:highlight w:val="none"/>
                <w:vertAlign w:val="superscript"/>
              </w:rPr>
              <w:t>3</w:t>
            </w:r>
            <w:r>
              <w:rPr>
                <w:highlight w:val="none"/>
              </w:rPr>
              <w:t>/d</w:t>
            </w:r>
            <w:r>
              <w:rPr>
                <w:rFonts w:hint="eastAsia"/>
                <w:highlight w:val="none"/>
              </w:rPr>
              <w:t>（11520</w:t>
            </w:r>
            <w:r>
              <w:rPr>
                <w:highlight w:val="none"/>
              </w:rPr>
              <w:t>m</w:t>
            </w:r>
            <w:r>
              <w:rPr>
                <w:highlight w:val="none"/>
                <w:vertAlign w:val="superscript"/>
              </w:rPr>
              <w:t>3</w:t>
            </w:r>
            <w:r>
              <w:rPr>
                <w:highlight w:val="none"/>
              </w:rPr>
              <w:t>/a</w:t>
            </w:r>
            <w:r>
              <w:rPr>
                <w:rFonts w:hint="eastAsia"/>
                <w:highlight w:val="none"/>
              </w:rPr>
              <w:t>）。</w:t>
            </w:r>
          </w:p>
          <w:p>
            <w:pPr>
              <w:pStyle w:val="108"/>
              <w:ind w:firstLine="480"/>
              <w:rPr>
                <w:highlight w:val="none"/>
              </w:rPr>
            </w:pPr>
            <w:r>
              <w:rPr>
                <w:rFonts w:hint="eastAsia"/>
                <w:highlight w:val="none"/>
              </w:rPr>
              <w:t>3）</w:t>
            </w:r>
            <w:r>
              <w:rPr>
                <w:highlight w:val="none"/>
              </w:rPr>
              <w:t>CIP 系统用水</w:t>
            </w:r>
          </w:p>
          <w:p>
            <w:pPr>
              <w:pStyle w:val="108"/>
              <w:ind w:firstLine="480"/>
              <w:rPr>
                <w:rFonts w:hint="eastAsia"/>
                <w:highlight w:val="none"/>
              </w:rPr>
            </w:pPr>
            <w:r>
              <w:rPr>
                <w:rFonts w:hint="eastAsia"/>
                <w:color w:val="0000FF"/>
                <w:highlight w:val="none"/>
              </w:rPr>
              <w:t>本项目预计每天对</w:t>
            </w:r>
            <w:r>
              <w:rPr>
                <w:rFonts w:hint="eastAsia"/>
                <w:color w:val="0000FF"/>
                <w:highlight w:val="none"/>
                <w:lang w:val="en-US" w:eastAsia="zh-CN"/>
              </w:rPr>
              <w:t>每条生产线的</w:t>
            </w:r>
            <w:r>
              <w:rPr>
                <w:rFonts w:hint="eastAsia"/>
                <w:color w:val="0000FF"/>
                <w:highlight w:val="none"/>
              </w:rPr>
              <w:t>设备、管道等进行 CIP 清洗，采用五罐式 CIP 清洗系统，包括化学冲洗、热水冲洗和水冲洗，主要由酸罐、碱罐、热水罐（蒸汽间接加热）、回收水罐（中和罐）和清水罐组成，清洗用酸液为浓度1%的硝酸，清洗用碱液为浓度2%的氢氧化钠。</w:t>
            </w:r>
            <w:r>
              <w:rPr>
                <w:rFonts w:hint="eastAsia"/>
                <w:color w:val="0000FF"/>
                <w:highlight w:val="none"/>
                <w:lang w:val="en-US" w:eastAsia="zh-CN"/>
              </w:rPr>
              <w:t>清洗程序为①自来水冲洗，冲洗时间为</w:t>
            </w:r>
            <w:r>
              <w:rPr>
                <w:rFonts w:hint="default"/>
                <w:color w:val="0000FF"/>
                <w:highlight w:val="none"/>
                <w:lang w:val="en-US" w:eastAsia="zh-CN"/>
              </w:rPr>
              <w:t>10min</w:t>
            </w:r>
            <w:r>
              <w:rPr>
                <w:rFonts w:hint="eastAsia"/>
                <w:color w:val="0000FF"/>
                <w:highlight w:val="none"/>
                <w:lang w:val="en-US" w:eastAsia="zh-CN"/>
              </w:rPr>
              <w:t xml:space="preserve">，流量为 </w:t>
            </w:r>
            <w:r>
              <w:rPr>
                <w:rFonts w:hint="default"/>
                <w:color w:val="0000FF"/>
                <w:highlight w:val="none"/>
                <w:lang w:val="en-US" w:eastAsia="zh-CN"/>
              </w:rPr>
              <w:t>10L/s</w:t>
            </w:r>
            <w:r>
              <w:rPr>
                <w:rFonts w:hint="eastAsia"/>
                <w:color w:val="0000FF"/>
                <w:highlight w:val="none"/>
                <w:lang w:val="en-US" w:eastAsia="zh-CN"/>
              </w:rPr>
              <w:t>，则需要自来水量为</w:t>
            </w:r>
            <w:r>
              <w:rPr>
                <w:rFonts w:hint="default"/>
                <w:color w:val="0000FF"/>
                <w:highlight w:val="none"/>
                <w:lang w:val="en-US" w:eastAsia="zh-CN"/>
              </w:rPr>
              <w:t>1800m</w:t>
            </w:r>
            <w:r>
              <w:rPr>
                <w:rFonts w:hint="default"/>
                <w:color w:val="0000FF"/>
                <w:highlight w:val="none"/>
                <w:vertAlign w:val="superscript"/>
                <w:lang w:val="en-US" w:eastAsia="zh-CN"/>
              </w:rPr>
              <w:t>3</w:t>
            </w:r>
            <w:r>
              <w:rPr>
                <w:rFonts w:hint="default"/>
                <w:color w:val="0000FF"/>
                <w:highlight w:val="none"/>
                <w:lang w:val="en-US" w:eastAsia="zh-CN"/>
              </w:rPr>
              <w:t xml:space="preserve"> /a</w:t>
            </w:r>
            <w:r>
              <w:rPr>
                <w:rFonts w:hint="eastAsia"/>
                <w:color w:val="0000FF"/>
                <w:highlight w:val="none"/>
                <w:lang w:val="en-US" w:eastAsia="zh-CN"/>
              </w:rPr>
              <w:t>；②碱液冲洗，冲洗时间为25</w:t>
            </w:r>
            <w:r>
              <w:rPr>
                <w:rFonts w:hint="default"/>
                <w:color w:val="0000FF"/>
                <w:highlight w:val="none"/>
                <w:lang w:val="en-US" w:eastAsia="zh-CN"/>
              </w:rPr>
              <w:t>min</w:t>
            </w:r>
            <w:r>
              <w:rPr>
                <w:rFonts w:hint="eastAsia"/>
                <w:color w:val="0000FF"/>
                <w:highlight w:val="none"/>
                <w:lang w:val="en-US" w:eastAsia="zh-CN"/>
              </w:rPr>
              <w:t xml:space="preserve">，流量为 </w:t>
            </w:r>
            <w:r>
              <w:rPr>
                <w:rFonts w:hint="default"/>
                <w:color w:val="0000FF"/>
                <w:highlight w:val="none"/>
                <w:lang w:val="en-US" w:eastAsia="zh-CN"/>
              </w:rPr>
              <w:t>1.5L/s</w:t>
            </w:r>
            <w:r>
              <w:rPr>
                <w:rFonts w:hint="eastAsia"/>
                <w:color w:val="0000FF"/>
                <w:highlight w:val="none"/>
                <w:lang w:val="en-US" w:eastAsia="zh-CN"/>
              </w:rPr>
              <w:t>，则需要碱液量为675</w:t>
            </w:r>
            <w:r>
              <w:rPr>
                <w:rFonts w:hint="default"/>
                <w:color w:val="0000FF"/>
                <w:highlight w:val="none"/>
                <w:lang w:val="en-US" w:eastAsia="zh-CN"/>
              </w:rPr>
              <w:t>m</w:t>
            </w:r>
            <w:r>
              <w:rPr>
                <w:rFonts w:hint="default"/>
                <w:color w:val="0000FF"/>
                <w:highlight w:val="none"/>
                <w:vertAlign w:val="superscript"/>
                <w:lang w:val="en-US" w:eastAsia="zh-CN"/>
              </w:rPr>
              <w:t>3</w:t>
            </w:r>
            <w:r>
              <w:rPr>
                <w:rFonts w:hint="default"/>
                <w:color w:val="0000FF"/>
                <w:highlight w:val="none"/>
                <w:lang w:val="en-US" w:eastAsia="zh-CN"/>
              </w:rPr>
              <w:t xml:space="preserve"> /a</w:t>
            </w:r>
            <w:r>
              <w:rPr>
                <w:rFonts w:hint="eastAsia"/>
                <w:color w:val="0000FF"/>
                <w:highlight w:val="none"/>
                <w:lang w:val="en-US" w:eastAsia="zh-CN"/>
              </w:rPr>
              <w:t>；③自来水冲洗，冲洗时间为</w:t>
            </w:r>
            <w:r>
              <w:rPr>
                <w:rFonts w:hint="default"/>
                <w:color w:val="0000FF"/>
                <w:highlight w:val="none"/>
                <w:lang w:val="en-US" w:eastAsia="zh-CN"/>
              </w:rPr>
              <w:t>20min</w:t>
            </w:r>
            <w:r>
              <w:rPr>
                <w:rFonts w:hint="eastAsia"/>
                <w:color w:val="0000FF"/>
                <w:highlight w:val="none"/>
                <w:lang w:val="en-US" w:eastAsia="zh-CN"/>
              </w:rPr>
              <w:t xml:space="preserve">，流量为 </w:t>
            </w:r>
            <w:r>
              <w:rPr>
                <w:rFonts w:hint="default"/>
                <w:color w:val="0000FF"/>
                <w:highlight w:val="none"/>
                <w:lang w:val="en-US" w:eastAsia="zh-CN"/>
              </w:rPr>
              <w:t>30L/s</w:t>
            </w:r>
            <w:r>
              <w:rPr>
                <w:rFonts w:hint="eastAsia"/>
                <w:color w:val="0000FF"/>
                <w:highlight w:val="none"/>
                <w:lang w:val="en-US" w:eastAsia="zh-CN"/>
              </w:rPr>
              <w:t xml:space="preserve">，则需要自来水量为 </w:t>
            </w:r>
            <w:r>
              <w:rPr>
                <w:rFonts w:hint="default"/>
                <w:color w:val="0000FF"/>
                <w:highlight w:val="none"/>
                <w:lang w:val="en-US" w:eastAsia="zh-CN"/>
              </w:rPr>
              <w:t>10800m</w:t>
            </w:r>
            <w:r>
              <w:rPr>
                <w:rFonts w:hint="default"/>
                <w:color w:val="0000FF"/>
                <w:highlight w:val="none"/>
                <w:vertAlign w:val="superscript"/>
                <w:lang w:val="en-US" w:eastAsia="zh-CN"/>
              </w:rPr>
              <w:t>3</w:t>
            </w:r>
            <w:r>
              <w:rPr>
                <w:rFonts w:hint="default"/>
                <w:color w:val="0000FF"/>
                <w:highlight w:val="none"/>
                <w:lang w:val="en-US" w:eastAsia="zh-CN"/>
              </w:rPr>
              <w:t xml:space="preserve"> /a</w:t>
            </w:r>
            <w:r>
              <w:rPr>
                <w:rFonts w:hint="eastAsia"/>
                <w:color w:val="0000FF"/>
                <w:highlight w:val="none"/>
                <w:lang w:val="en-US" w:eastAsia="zh-CN"/>
              </w:rPr>
              <w:t>；④酸液冲洗，冲洗时间为 25</w:t>
            </w:r>
            <w:r>
              <w:rPr>
                <w:rFonts w:hint="default"/>
                <w:color w:val="0000FF"/>
                <w:highlight w:val="none"/>
                <w:lang w:val="en-US" w:eastAsia="zh-CN"/>
              </w:rPr>
              <w:t>min</w:t>
            </w:r>
            <w:r>
              <w:rPr>
                <w:rFonts w:hint="eastAsia"/>
                <w:color w:val="0000FF"/>
                <w:highlight w:val="none"/>
                <w:lang w:val="en-US" w:eastAsia="zh-CN"/>
              </w:rPr>
              <w:t xml:space="preserve">，流量为 </w:t>
            </w:r>
            <w:r>
              <w:rPr>
                <w:rFonts w:hint="default"/>
                <w:color w:val="0000FF"/>
                <w:highlight w:val="none"/>
                <w:lang w:val="en-US" w:eastAsia="zh-CN"/>
              </w:rPr>
              <w:t>3L/s</w:t>
            </w:r>
            <w:r>
              <w:rPr>
                <w:rFonts w:hint="eastAsia"/>
                <w:color w:val="0000FF"/>
                <w:highlight w:val="none"/>
                <w:lang w:val="en-US" w:eastAsia="zh-CN"/>
              </w:rPr>
              <w:t>，则需要酸液量为1350</w:t>
            </w:r>
            <w:r>
              <w:rPr>
                <w:rFonts w:hint="default"/>
                <w:color w:val="0000FF"/>
                <w:highlight w:val="none"/>
                <w:lang w:val="en-US" w:eastAsia="zh-CN"/>
              </w:rPr>
              <w:t>m</w:t>
            </w:r>
            <w:r>
              <w:rPr>
                <w:rFonts w:hint="default"/>
                <w:color w:val="0000FF"/>
                <w:highlight w:val="none"/>
                <w:vertAlign w:val="superscript"/>
                <w:lang w:val="en-US" w:eastAsia="zh-CN"/>
              </w:rPr>
              <w:t>3</w:t>
            </w:r>
            <w:r>
              <w:rPr>
                <w:rFonts w:hint="default"/>
                <w:color w:val="0000FF"/>
                <w:highlight w:val="none"/>
                <w:lang w:val="en-US" w:eastAsia="zh-CN"/>
              </w:rPr>
              <w:t xml:space="preserve"> /a</w:t>
            </w:r>
            <w:r>
              <w:rPr>
                <w:rFonts w:hint="eastAsia"/>
                <w:color w:val="0000FF"/>
                <w:highlight w:val="none"/>
                <w:lang w:val="en-US" w:eastAsia="zh-CN"/>
              </w:rPr>
              <w:t xml:space="preserve">；⑤自来水冲洗，冲洗时间为 </w:t>
            </w:r>
            <w:r>
              <w:rPr>
                <w:rFonts w:hint="default"/>
                <w:color w:val="0000FF"/>
                <w:highlight w:val="none"/>
                <w:lang w:val="en-US" w:eastAsia="zh-CN"/>
              </w:rPr>
              <w:t>10min</w:t>
            </w:r>
            <w:r>
              <w:rPr>
                <w:rFonts w:hint="eastAsia"/>
                <w:color w:val="0000FF"/>
                <w:highlight w:val="none"/>
                <w:lang w:val="en-US" w:eastAsia="zh-CN"/>
              </w:rPr>
              <w:t xml:space="preserve">，流量为 </w:t>
            </w:r>
            <w:r>
              <w:rPr>
                <w:rFonts w:hint="default"/>
                <w:color w:val="0000FF"/>
                <w:highlight w:val="none"/>
                <w:lang w:val="en-US" w:eastAsia="zh-CN"/>
              </w:rPr>
              <w:t>10L/s</w:t>
            </w:r>
            <w:r>
              <w:rPr>
                <w:rFonts w:hint="eastAsia"/>
                <w:color w:val="0000FF"/>
                <w:highlight w:val="none"/>
                <w:lang w:val="en-US" w:eastAsia="zh-CN"/>
              </w:rPr>
              <w:t xml:space="preserve">，则需要自来水量为 </w:t>
            </w:r>
            <w:r>
              <w:rPr>
                <w:rFonts w:hint="default"/>
                <w:color w:val="0000FF"/>
                <w:highlight w:val="none"/>
                <w:lang w:val="en-US" w:eastAsia="zh-CN"/>
              </w:rPr>
              <w:t>1800m</w:t>
            </w:r>
            <w:r>
              <w:rPr>
                <w:rFonts w:hint="default"/>
                <w:color w:val="0000FF"/>
                <w:highlight w:val="none"/>
                <w:vertAlign w:val="superscript"/>
                <w:lang w:val="en-US" w:eastAsia="zh-CN"/>
              </w:rPr>
              <w:t>3</w:t>
            </w:r>
            <w:r>
              <w:rPr>
                <w:rFonts w:hint="default"/>
                <w:color w:val="0000FF"/>
                <w:highlight w:val="none"/>
                <w:lang w:val="en-US" w:eastAsia="zh-CN"/>
              </w:rPr>
              <w:t xml:space="preserve"> /a</w:t>
            </w:r>
            <w:r>
              <w:rPr>
                <w:rFonts w:hint="eastAsia"/>
                <w:color w:val="0000FF"/>
                <w:highlight w:val="none"/>
                <w:lang w:val="en-US" w:eastAsia="zh-CN"/>
              </w:rPr>
              <w:t>。其中：</w:t>
            </w:r>
            <w:r>
              <w:rPr>
                <w:rFonts w:hint="eastAsia"/>
                <w:highlight w:val="none"/>
                <w:lang w:val="en-US" w:eastAsia="zh-CN"/>
              </w:rPr>
              <w:t xml:space="preserve"> </w:t>
            </w:r>
          </w:p>
          <w:p>
            <w:pPr>
              <w:pStyle w:val="108"/>
              <w:ind w:firstLine="480"/>
              <w:rPr>
                <w:rFonts w:hint="eastAsia"/>
                <w:color w:val="0000FF"/>
                <w:highlight w:val="none"/>
              </w:rPr>
            </w:pPr>
            <w:r>
              <w:rPr>
                <w:rFonts w:hint="default"/>
                <w:color w:val="0000FF"/>
                <w:highlight w:val="none"/>
                <w:lang w:val="en-US" w:eastAsia="zh-CN"/>
              </w:rPr>
              <w:t>a.</w:t>
            </w:r>
            <w:r>
              <w:rPr>
                <w:rFonts w:hint="eastAsia"/>
                <w:color w:val="0000FF"/>
                <w:highlight w:val="none"/>
                <w:lang w:val="en-US" w:eastAsia="zh-CN"/>
              </w:rPr>
              <w:t>本项目所用碱液浓度为</w:t>
            </w:r>
            <w:r>
              <w:rPr>
                <w:rFonts w:hint="default"/>
                <w:color w:val="0000FF"/>
                <w:highlight w:val="none"/>
                <w:lang w:val="en-US" w:eastAsia="zh-CN"/>
              </w:rPr>
              <w:t>2%</w:t>
            </w:r>
            <w:r>
              <w:rPr>
                <w:rFonts w:hint="eastAsia"/>
                <w:color w:val="0000FF"/>
                <w:highlight w:val="none"/>
                <w:lang w:val="en-US" w:eastAsia="zh-CN"/>
              </w:rPr>
              <w:t xml:space="preserve">，外购 </w:t>
            </w:r>
            <w:r>
              <w:rPr>
                <w:rFonts w:hint="default"/>
                <w:color w:val="0000FF"/>
                <w:highlight w:val="none"/>
                <w:lang w:val="en-US" w:eastAsia="zh-CN"/>
              </w:rPr>
              <w:t xml:space="preserve">CIP </w:t>
            </w:r>
            <w:r>
              <w:rPr>
                <w:rFonts w:hint="eastAsia"/>
                <w:color w:val="0000FF"/>
                <w:highlight w:val="none"/>
                <w:lang w:val="en-US" w:eastAsia="zh-CN"/>
              </w:rPr>
              <w:t>清洗用碱为45</w:t>
            </w:r>
            <w:r>
              <w:rPr>
                <w:rFonts w:hint="default"/>
                <w:color w:val="0000FF"/>
                <w:highlight w:val="none"/>
                <w:lang w:val="en-US" w:eastAsia="zh-CN"/>
              </w:rPr>
              <w:t>%</w:t>
            </w:r>
            <w:r>
              <w:rPr>
                <w:rFonts w:hint="eastAsia"/>
                <w:color w:val="0000FF"/>
                <w:highlight w:val="none"/>
                <w:lang w:val="en-US" w:eastAsia="zh-CN"/>
              </w:rPr>
              <w:t xml:space="preserve">氢氧化钠水溶液， </w:t>
            </w:r>
          </w:p>
          <w:p>
            <w:pPr>
              <w:pStyle w:val="108"/>
              <w:ind w:left="0" w:leftChars="0" w:firstLine="0" w:firstLineChars="0"/>
              <w:rPr>
                <w:rFonts w:hint="eastAsia"/>
                <w:color w:val="0000FF"/>
                <w:highlight w:val="none"/>
                <w:lang w:val="en-US" w:eastAsia="zh-CN"/>
              </w:rPr>
            </w:pPr>
            <w:r>
              <w:rPr>
                <w:rFonts w:hint="eastAsia"/>
                <w:color w:val="0000FF"/>
                <w:highlight w:val="none"/>
                <w:lang w:val="en-US" w:eastAsia="zh-CN"/>
              </w:rPr>
              <w:t>用量为30</w:t>
            </w:r>
            <w:r>
              <w:rPr>
                <w:rFonts w:hint="default"/>
                <w:color w:val="0000FF"/>
                <w:highlight w:val="none"/>
                <w:lang w:val="en-US" w:eastAsia="zh-CN"/>
              </w:rPr>
              <w:t>t/a</w:t>
            </w:r>
            <w:r>
              <w:rPr>
                <w:rFonts w:hint="eastAsia"/>
                <w:color w:val="0000FF"/>
                <w:highlight w:val="none"/>
                <w:lang w:val="en-US" w:eastAsia="zh-CN"/>
              </w:rPr>
              <w:t>，则碱液配制用自来水量约为645</w:t>
            </w:r>
            <w:r>
              <w:rPr>
                <w:rFonts w:hint="default"/>
                <w:color w:val="0000FF"/>
                <w:highlight w:val="none"/>
                <w:lang w:val="en-US" w:eastAsia="zh-CN"/>
              </w:rPr>
              <w:t>m3 /a</w:t>
            </w:r>
            <w:r>
              <w:rPr>
                <w:rFonts w:hint="eastAsia"/>
                <w:color w:val="0000FF"/>
                <w:highlight w:val="none"/>
                <w:lang w:val="en-US" w:eastAsia="zh-CN"/>
              </w:rPr>
              <w:t>，2.15</w:t>
            </w:r>
            <w:r>
              <w:rPr>
                <w:rFonts w:hint="default"/>
                <w:color w:val="0000FF"/>
                <w:highlight w:val="none"/>
                <w:lang w:val="en-US" w:eastAsia="zh-CN"/>
              </w:rPr>
              <w:t>m</w:t>
            </w:r>
            <w:r>
              <w:rPr>
                <w:rFonts w:hint="default"/>
                <w:color w:val="0000FF"/>
                <w:highlight w:val="none"/>
                <w:vertAlign w:val="superscript"/>
                <w:lang w:val="en-US" w:eastAsia="zh-CN"/>
              </w:rPr>
              <w:t>3</w:t>
            </w:r>
            <w:r>
              <w:rPr>
                <w:rFonts w:hint="default"/>
                <w:color w:val="0000FF"/>
                <w:highlight w:val="none"/>
                <w:lang w:val="en-US" w:eastAsia="zh-CN"/>
              </w:rPr>
              <w:t xml:space="preserve"> /d</w:t>
            </w:r>
            <w:r>
              <w:rPr>
                <w:rFonts w:hint="eastAsia"/>
                <w:color w:val="0000FF"/>
                <w:highlight w:val="none"/>
                <w:lang w:val="en-US" w:eastAsia="zh-CN"/>
              </w:rPr>
              <w:t xml:space="preserve">； </w:t>
            </w:r>
          </w:p>
          <w:p>
            <w:pPr>
              <w:pStyle w:val="108"/>
              <w:ind w:firstLine="480"/>
              <w:rPr>
                <w:rFonts w:hint="eastAsia"/>
                <w:color w:val="0000FF"/>
                <w:highlight w:val="none"/>
                <w:lang w:val="en-US" w:eastAsia="zh-CN"/>
              </w:rPr>
            </w:pPr>
            <w:r>
              <w:rPr>
                <w:rFonts w:hint="eastAsia"/>
                <w:color w:val="0000FF"/>
                <w:highlight w:val="none"/>
                <w:lang w:val="en-US" w:eastAsia="zh-CN"/>
              </w:rPr>
              <w:t>b.本项目所用酸液浓度为1%，外购 CIP 清洗用酸为 45%硝酸水溶液，用量为30t/a，则酸液配制用自来水量约为1320m3 /a，4.4m</w:t>
            </w:r>
            <w:r>
              <w:rPr>
                <w:rFonts w:hint="eastAsia"/>
                <w:color w:val="0000FF"/>
                <w:highlight w:val="none"/>
                <w:vertAlign w:val="superscript"/>
                <w:lang w:val="en-US" w:eastAsia="zh-CN"/>
              </w:rPr>
              <w:t>3</w:t>
            </w:r>
            <w:r>
              <w:rPr>
                <w:rFonts w:hint="eastAsia"/>
                <w:color w:val="0000FF"/>
                <w:highlight w:val="none"/>
                <w:lang w:val="en-US" w:eastAsia="zh-CN"/>
              </w:rPr>
              <w:t xml:space="preserve"> /d； </w:t>
            </w:r>
          </w:p>
          <w:p>
            <w:pPr>
              <w:pStyle w:val="108"/>
              <w:ind w:firstLine="480"/>
              <w:rPr>
                <w:rFonts w:hint="default"/>
                <w:color w:val="0000FF"/>
                <w:highlight w:val="none"/>
                <w:lang w:val="en-US" w:eastAsia="zh-CN"/>
              </w:rPr>
            </w:pPr>
            <w:r>
              <w:rPr>
                <w:rFonts w:hint="eastAsia"/>
                <w:color w:val="0000FF"/>
                <w:highlight w:val="none"/>
                <w:lang w:val="en-US" w:eastAsia="zh-CN"/>
              </w:rPr>
              <w:t>综上，本项目单条生产线CIP 清洗用水量为16365m</w:t>
            </w:r>
            <w:r>
              <w:rPr>
                <w:rFonts w:hint="eastAsia"/>
                <w:color w:val="0000FF"/>
                <w:highlight w:val="none"/>
                <w:vertAlign w:val="superscript"/>
                <w:lang w:val="en-US" w:eastAsia="zh-CN"/>
              </w:rPr>
              <w:t>3</w:t>
            </w:r>
            <w:r>
              <w:rPr>
                <w:rFonts w:hint="eastAsia"/>
                <w:color w:val="0000FF"/>
                <w:highlight w:val="none"/>
                <w:lang w:val="en-US" w:eastAsia="zh-CN"/>
              </w:rPr>
              <w:t xml:space="preserve"> /a，54.55m</w:t>
            </w:r>
            <w:r>
              <w:rPr>
                <w:rFonts w:hint="eastAsia"/>
                <w:color w:val="0000FF"/>
                <w:highlight w:val="none"/>
                <w:vertAlign w:val="superscript"/>
                <w:lang w:val="en-US" w:eastAsia="zh-CN"/>
              </w:rPr>
              <w:t>3</w:t>
            </w:r>
            <w:r>
              <w:rPr>
                <w:rFonts w:hint="eastAsia"/>
                <w:color w:val="0000FF"/>
                <w:highlight w:val="none"/>
                <w:lang w:val="en-US" w:eastAsia="zh-CN"/>
              </w:rPr>
              <w:t xml:space="preserve"> /d，项目2条生产线，CIP 清洗用水总量为32730m</w:t>
            </w:r>
            <w:r>
              <w:rPr>
                <w:rFonts w:hint="eastAsia"/>
                <w:color w:val="0000FF"/>
                <w:highlight w:val="none"/>
                <w:vertAlign w:val="superscript"/>
                <w:lang w:val="en-US" w:eastAsia="zh-CN"/>
              </w:rPr>
              <w:t>3</w:t>
            </w:r>
            <w:r>
              <w:rPr>
                <w:rFonts w:hint="eastAsia"/>
                <w:color w:val="0000FF"/>
                <w:highlight w:val="none"/>
                <w:lang w:val="en-US" w:eastAsia="zh-CN"/>
              </w:rPr>
              <w:t xml:space="preserve"> /a，109.1m</w:t>
            </w:r>
            <w:r>
              <w:rPr>
                <w:rFonts w:hint="eastAsia"/>
                <w:color w:val="0000FF"/>
                <w:highlight w:val="none"/>
                <w:vertAlign w:val="superscript"/>
                <w:lang w:val="en-US" w:eastAsia="zh-CN"/>
              </w:rPr>
              <w:t>3</w:t>
            </w:r>
            <w:r>
              <w:rPr>
                <w:rFonts w:hint="eastAsia"/>
                <w:color w:val="0000FF"/>
                <w:highlight w:val="none"/>
                <w:lang w:val="en-US" w:eastAsia="zh-CN"/>
              </w:rPr>
              <w:t xml:space="preserve"> /d。</w:t>
            </w:r>
          </w:p>
          <w:p>
            <w:pPr>
              <w:pStyle w:val="108"/>
              <w:ind w:firstLine="480"/>
              <w:rPr>
                <w:rFonts w:hint="eastAsia" w:eastAsia="宋体"/>
                <w:highlight w:val="none"/>
                <w:lang w:val="en-US" w:eastAsia="zh-CN"/>
              </w:rPr>
            </w:pPr>
            <w:r>
              <w:rPr>
                <w:rFonts w:hint="eastAsia"/>
                <w:highlight w:val="none"/>
              </w:rPr>
              <w:t>4）</w:t>
            </w:r>
            <w:r>
              <w:rPr>
                <w:highlight w:val="none"/>
              </w:rPr>
              <w:t>检验用水</w:t>
            </w:r>
          </w:p>
          <w:p>
            <w:pPr>
              <w:pStyle w:val="108"/>
              <w:ind w:firstLine="480"/>
              <w:rPr>
                <w:highlight w:val="none"/>
              </w:rPr>
            </w:pPr>
            <w:r>
              <w:rPr>
                <w:highlight w:val="none"/>
              </w:rPr>
              <w:t>项目设化验室1间、微生物检测室1间，负责产品水分检测、微生物</w:t>
            </w:r>
            <w:r>
              <w:rPr>
                <w:rFonts w:hint="eastAsia"/>
                <w:highlight w:val="none"/>
                <w:lang w:val="en-US" w:eastAsia="zh-CN"/>
              </w:rPr>
              <w:t>检验</w:t>
            </w:r>
            <w:r>
              <w:rPr>
                <w:highlight w:val="none"/>
              </w:rPr>
              <w:t>等。根据企业经验，检验</w:t>
            </w:r>
            <w:r>
              <w:rPr>
                <w:rFonts w:hint="eastAsia"/>
                <w:highlight w:val="none"/>
              </w:rPr>
              <w:t>用水</w:t>
            </w:r>
            <w:r>
              <w:rPr>
                <w:highlight w:val="none"/>
              </w:rPr>
              <w:t>约</w:t>
            </w:r>
            <w:r>
              <w:rPr>
                <w:rFonts w:hint="eastAsia"/>
                <w:highlight w:val="none"/>
              </w:rPr>
              <w:t>1</w:t>
            </w:r>
            <w:r>
              <w:rPr>
                <w:highlight w:val="none"/>
              </w:rPr>
              <w:t>m</w:t>
            </w:r>
            <w:r>
              <w:rPr>
                <w:highlight w:val="none"/>
                <w:vertAlign w:val="superscript"/>
              </w:rPr>
              <w:t>3</w:t>
            </w:r>
            <w:r>
              <w:rPr>
                <w:highlight w:val="none"/>
              </w:rPr>
              <w:t>/d（</w:t>
            </w:r>
            <w:r>
              <w:rPr>
                <w:rFonts w:hint="eastAsia"/>
                <w:highlight w:val="none"/>
              </w:rPr>
              <w:t>300</w:t>
            </w:r>
            <w:r>
              <w:rPr>
                <w:highlight w:val="none"/>
              </w:rPr>
              <w:t>m</w:t>
            </w:r>
            <w:r>
              <w:rPr>
                <w:highlight w:val="none"/>
                <w:vertAlign w:val="superscript"/>
              </w:rPr>
              <w:t>3</w:t>
            </w:r>
            <w:r>
              <w:rPr>
                <w:highlight w:val="none"/>
              </w:rPr>
              <w:t>/a）。</w:t>
            </w:r>
          </w:p>
          <w:p>
            <w:pPr>
              <w:pStyle w:val="108"/>
              <w:ind w:firstLine="480"/>
              <w:rPr>
                <w:highlight w:val="none"/>
              </w:rPr>
            </w:pPr>
            <w:r>
              <w:rPr>
                <w:rFonts w:hint="eastAsia"/>
                <w:highlight w:val="none"/>
              </w:rPr>
              <w:t>5）锅炉用水</w:t>
            </w:r>
          </w:p>
          <w:p>
            <w:pPr>
              <w:pStyle w:val="81"/>
              <w:ind w:firstLine="480"/>
              <w:rPr>
                <w:spacing w:val="-5"/>
                <w:highlight w:val="none"/>
              </w:rPr>
            </w:pPr>
            <w:r>
              <w:rPr>
                <w:rFonts w:hint="eastAsia"/>
                <w:highlight w:val="none"/>
              </w:rPr>
              <w:t>项目锅炉额定蒸发量为2.5</w:t>
            </w:r>
            <w:r>
              <w:rPr>
                <w:highlight w:val="none"/>
              </w:rPr>
              <w:t>t/h</w:t>
            </w:r>
            <w:r>
              <w:rPr>
                <w:rFonts w:hint="eastAsia"/>
                <w:highlight w:val="none"/>
              </w:rPr>
              <w:t>，</w:t>
            </w:r>
            <w:r>
              <w:rPr>
                <w:rFonts w:hint="eastAsia"/>
                <w:color w:val="0000FF"/>
                <w:kern w:val="0"/>
                <w:sz w:val="24"/>
                <w:szCs w:val="20"/>
                <w:highlight w:val="none"/>
                <w:lang w:val="en-US" w:eastAsia="zh-CN"/>
              </w:rPr>
              <w:t>锅炉年运行时间4800h，锅炉生产负荷率按75%计，</w:t>
            </w:r>
            <w:r>
              <w:rPr>
                <w:rFonts w:hint="eastAsia"/>
                <w:color w:val="0000FF"/>
                <w:kern w:val="0"/>
                <w:sz w:val="24"/>
                <w:szCs w:val="20"/>
                <w:highlight w:val="none"/>
              </w:rPr>
              <w:t>年产生蒸汽量为</w:t>
            </w:r>
            <w:r>
              <w:rPr>
                <w:rFonts w:hint="eastAsia"/>
                <w:color w:val="0000FF"/>
                <w:kern w:val="0"/>
                <w:sz w:val="24"/>
                <w:szCs w:val="20"/>
                <w:highlight w:val="none"/>
                <w:lang w:val="en-US" w:eastAsia="zh-CN"/>
              </w:rPr>
              <w:t>9</w:t>
            </w:r>
            <w:r>
              <w:rPr>
                <w:rFonts w:hint="eastAsia"/>
                <w:color w:val="0000FF"/>
                <w:kern w:val="0"/>
                <w:sz w:val="24"/>
                <w:szCs w:val="20"/>
                <w:highlight w:val="none"/>
              </w:rPr>
              <w:t>000</w:t>
            </w:r>
            <w:r>
              <w:rPr>
                <w:color w:val="0000FF"/>
                <w:kern w:val="0"/>
                <w:sz w:val="24"/>
                <w:szCs w:val="20"/>
                <w:highlight w:val="none"/>
              </w:rPr>
              <w:t>t/a</w:t>
            </w:r>
            <w:r>
              <w:rPr>
                <w:rFonts w:hint="eastAsia"/>
                <w:color w:val="0000FF"/>
                <w:kern w:val="0"/>
                <w:sz w:val="24"/>
                <w:szCs w:val="20"/>
                <w:highlight w:val="none"/>
                <w:lang w:eastAsia="zh-CN"/>
              </w:rPr>
              <w:t>，</w:t>
            </w:r>
            <w:r>
              <w:rPr>
                <w:rFonts w:hint="eastAsia"/>
                <w:highlight w:val="none"/>
              </w:rPr>
              <w:t>用于</w:t>
            </w:r>
            <w:r>
              <w:rPr>
                <w:spacing w:val="-4"/>
                <w:highlight w:val="none"/>
              </w:rPr>
              <w:t>巴氏杀菌、</w:t>
            </w:r>
            <w:r>
              <w:rPr>
                <w:rFonts w:eastAsia="Times New Roman"/>
                <w:spacing w:val="-4"/>
                <w:highlight w:val="none"/>
              </w:rPr>
              <w:t>CIP</w:t>
            </w:r>
            <w:r>
              <w:rPr>
                <w:spacing w:val="-5"/>
                <w:highlight w:val="none"/>
              </w:rPr>
              <w:t>系统等供热</w:t>
            </w:r>
            <w:r>
              <w:rPr>
                <w:rFonts w:hint="eastAsia"/>
                <w:spacing w:val="-5"/>
                <w:highlight w:val="none"/>
              </w:rPr>
              <w:t>。</w:t>
            </w:r>
          </w:p>
          <w:p>
            <w:pPr>
              <w:pStyle w:val="81"/>
              <w:ind w:firstLine="460"/>
              <w:rPr>
                <w:spacing w:val="-5"/>
                <w:highlight w:val="none"/>
              </w:rPr>
            </w:pPr>
            <w:r>
              <w:rPr>
                <w:rFonts w:hint="eastAsia"/>
                <w:spacing w:val="-5"/>
                <w:highlight w:val="none"/>
              </w:rPr>
              <w:t>项目锅炉配套有软水制备系统，</w:t>
            </w:r>
            <w:r>
              <w:rPr>
                <w:rFonts w:hint="eastAsia"/>
                <w:bCs/>
                <w:highlight w:val="none"/>
              </w:rPr>
              <w:t>蒸汽循环使用，锅炉</w:t>
            </w:r>
            <w:r>
              <w:rPr>
                <w:rFonts w:hint="eastAsia"/>
                <w:spacing w:val="-5"/>
                <w:highlight w:val="none"/>
              </w:rPr>
              <w:t>日常需要补充蒸发损耗，蒸发损耗量大约为蒸汽量的5%左右，则蒸汽损耗量为</w:t>
            </w:r>
            <w:r>
              <w:rPr>
                <w:rFonts w:hint="eastAsia"/>
                <w:spacing w:val="-5"/>
                <w:highlight w:val="none"/>
                <w:lang w:val="en-US" w:eastAsia="zh-CN"/>
              </w:rPr>
              <w:t>450</w:t>
            </w:r>
            <w:r>
              <w:rPr>
                <w:rFonts w:hint="eastAsia"/>
                <w:spacing w:val="-5"/>
                <w:highlight w:val="none"/>
              </w:rPr>
              <w:t>t/a。</w:t>
            </w:r>
          </w:p>
          <w:p>
            <w:pPr>
              <w:pStyle w:val="96"/>
              <w:ind w:firstLine="480"/>
              <w:rPr>
                <w:rFonts w:hint="eastAsia"/>
                <w:color w:val="0000FF"/>
                <w:highlight w:val="none"/>
              </w:rPr>
            </w:pPr>
            <w:r>
              <w:rPr>
                <w:rFonts w:hint="eastAsia"/>
                <w:color w:val="0000FF"/>
                <w:highlight w:val="none"/>
              </w:rPr>
              <w:t>根据锅炉对水质的要求，新鲜水在进入锅炉前需要进行软化处理，处理目的</w:t>
            </w:r>
          </w:p>
          <w:p>
            <w:pPr>
              <w:pStyle w:val="96"/>
              <w:ind w:left="0" w:leftChars="0" w:firstLine="0" w:firstLineChars="0"/>
              <w:rPr>
                <w:rFonts w:hint="eastAsia"/>
                <w:color w:val="0000FF"/>
                <w:highlight w:val="none"/>
              </w:rPr>
            </w:pPr>
            <w:r>
              <w:rPr>
                <w:rFonts w:hint="eastAsia"/>
                <w:color w:val="0000FF"/>
                <w:highlight w:val="none"/>
              </w:rPr>
              <w:t>是去除水中的钙、镁离子，以防止水的硬度过高，影响锅炉的正常运行。在软化</w:t>
            </w:r>
          </w:p>
          <w:p>
            <w:pPr>
              <w:pStyle w:val="96"/>
              <w:ind w:left="0" w:leftChars="0" w:firstLine="0" w:firstLineChars="0"/>
              <w:rPr>
                <w:rFonts w:hint="eastAsia"/>
                <w:color w:val="0000FF"/>
                <w:highlight w:val="none"/>
              </w:rPr>
            </w:pPr>
            <w:r>
              <w:rPr>
                <w:rFonts w:hint="eastAsia"/>
                <w:color w:val="0000FF"/>
                <w:highlight w:val="none"/>
              </w:rPr>
              <w:t>水处理过程中，会产生软化处理废水，同时锅炉运行过程中同样会产生锅炉排污</w:t>
            </w:r>
          </w:p>
          <w:p>
            <w:pPr>
              <w:pStyle w:val="96"/>
              <w:ind w:left="0" w:leftChars="0" w:firstLine="0" w:firstLineChars="0"/>
              <w:rPr>
                <w:color w:val="0000FF"/>
                <w:highlight w:val="none"/>
              </w:rPr>
            </w:pPr>
            <w:r>
              <w:rPr>
                <w:rFonts w:hint="eastAsia"/>
                <w:color w:val="0000FF"/>
                <w:highlight w:val="none"/>
              </w:rPr>
              <w:t>水。</w:t>
            </w:r>
            <w:r>
              <w:rPr>
                <w:rFonts w:hint="eastAsia"/>
                <w:highlight w:val="none"/>
              </w:rPr>
              <w:t>根据生态环境部公布的《排放源统计调查产排污核算方法和系数手册》（公告2021年第24号）中的4430工业锅炉（热力生产和供应行业）生物质燃料产污系数表—工业废水量，锅炉排污水（含软化处理废水）产污系数为0.356t/t-原料，本项目锅炉生物质燃料用量为</w:t>
            </w:r>
            <w:r>
              <w:rPr>
                <w:rFonts w:hint="eastAsia"/>
                <w:color w:val="0000FF"/>
                <w:highlight w:val="none"/>
                <w:lang w:val="en-US" w:eastAsia="zh-CN"/>
              </w:rPr>
              <w:t>1611</w:t>
            </w:r>
            <w:r>
              <w:rPr>
                <w:rFonts w:hint="eastAsia"/>
                <w:color w:val="0000FF"/>
                <w:highlight w:val="none"/>
              </w:rPr>
              <w:t>t/a，则计算锅炉排污水产生量为</w:t>
            </w:r>
            <w:r>
              <w:rPr>
                <w:rFonts w:hint="eastAsia"/>
                <w:color w:val="0000FF"/>
                <w:highlight w:val="none"/>
                <w:lang w:val="en-US" w:eastAsia="zh-CN"/>
              </w:rPr>
              <w:t>1.91</w:t>
            </w:r>
            <w:r>
              <w:rPr>
                <w:rFonts w:eastAsia="Times New Roman"/>
                <w:color w:val="0000FF"/>
                <w:spacing w:val="-5"/>
                <w:sz w:val="21"/>
                <w:szCs w:val="21"/>
                <w:highlight w:val="none"/>
              </w:rPr>
              <w:t>m</w:t>
            </w:r>
            <w:r>
              <w:rPr>
                <w:rFonts w:eastAsia="Times New Roman"/>
                <w:color w:val="0000FF"/>
                <w:spacing w:val="-5"/>
                <w:position w:val="6"/>
                <w:sz w:val="13"/>
                <w:szCs w:val="13"/>
                <w:highlight w:val="none"/>
              </w:rPr>
              <w:t>3</w:t>
            </w:r>
            <w:r>
              <w:rPr>
                <w:rFonts w:hint="eastAsia"/>
                <w:color w:val="0000FF"/>
                <w:highlight w:val="none"/>
              </w:rPr>
              <w:t>/d（</w:t>
            </w:r>
            <w:r>
              <w:rPr>
                <w:rFonts w:hint="eastAsia"/>
                <w:color w:val="0000FF"/>
                <w:highlight w:val="none"/>
                <w:lang w:val="en-US" w:eastAsia="zh-CN"/>
              </w:rPr>
              <w:t>573.52</w:t>
            </w:r>
            <w:r>
              <w:rPr>
                <w:rFonts w:eastAsia="Times New Roman"/>
                <w:color w:val="0000FF"/>
                <w:spacing w:val="-5"/>
                <w:sz w:val="21"/>
                <w:szCs w:val="21"/>
                <w:highlight w:val="none"/>
              </w:rPr>
              <w:t>m</w:t>
            </w:r>
            <w:r>
              <w:rPr>
                <w:rFonts w:eastAsia="Times New Roman"/>
                <w:color w:val="0000FF"/>
                <w:spacing w:val="-5"/>
                <w:position w:val="6"/>
                <w:sz w:val="13"/>
                <w:szCs w:val="13"/>
                <w:highlight w:val="none"/>
              </w:rPr>
              <w:t>3</w:t>
            </w:r>
            <w:r>
              <w:rPr>
                <w:rFonts w:hint="eastAsia"/>
                <w:color w:val="0000FF"/>
                <w:highlight w:val="none"/>
              </w:rPr>
              <w:t>/a）。</w:t>
            </w:r>
          </w:p>
          <w:p>
            <w:pPr>
              <w:pStyle w:val="96"/>
              <w:ind w:firstLine="480"/>
              <w:rPr>
                <w:color w:val="0000FF"/>
                <w:highlight w:val="none"/>
              </w:rPr>
            </w:pPr>
            <w:r>
              <w:rPr>
                <w:rFonts w:hint="eastAsia"/>
                <w:color w:val="0000FF"/>
                <w:highlight w:val="none"/>
              </w:rPr>
              <w:t>锅炉总蒸汽产生量为</w:t>
            </w:r>
            <w:r>
              <w:rPr>
                <w:rFonts w:hint="eastAsia"/>
                <w:color w:val="0000FF"/>
                <w:highlight w:val="none"/>
                <w:lang w:val="en-US" w:eastAsia="zh-CN"/>
              </w:rPr>
              <w:t>9</w:t>
            </w:r>
            <w:r>
              <w:rPr>
                <w:rFonts w:hint="eastAsia"/>
                <w:color w:val="0000FF"/>
                <w:highlight w:val="none"/>
              </w:rPr>
              <w:t>000t/a。锅炉蒸发损耗量按5%计，蒸汽冷凝水回用率为</w:t>
            </w:r>
            <w:r>
              <w:rPr>
                <w:rFonts w:hint="eastAsia"/>
                <w:color w:val="0000FF"/>
                <w:highlight w:val="none"/>
                <w:lang w:val="en-US" w:eastAsia="zh-CN"/>
              </w:rPr>
              <w:t>70</w:t>
            </w:r>
            <w:r>
              <w:rPr>
                <w:rFonts w:hint="eastAsia"/>
                <w:color w:val="0000FF"/>
                <w:highlight w:val="none"/>
              </w:rPr>
              <w:t>%，锅炉用水量计算如下：</w:t>
            </w:r>
          </w:p>
          <w:p>
            <w:pPr>
              <w:pStyle w:val="96"/>
              <w:ind w:firstLine="480"/>
              <w:rPr>
                <w:color w:val="0000FF"/>
                <w:highlight w:val="none"/>
              </w:rPr>
            </w:pPr>
            <w:r>
              <w:rPr>
                <w:rFonts w:hint="eastAsia"/>
                <w:color w:val="0000FF"/>
                <w:highlight w:val="none"/>
              </w:rPr>
              <w:t>锅炉</w:t>
            </w:r>
            <w:r>
              <w:rPr>
                <w:rFonts w:hint="eastAsia"/>
                <w:color w:val="0000FF"/>
                <w:highlight w:val="none"/>
                <w:lang w:val="en-US" w:eastAsia="zh-CN"/>
              </w:rPr>
              <w:t>用</w:t>
            </w:r>
            <w:r>
              <w:rPr>
                <w:rFonts w:hint="eastAsia"/>
                <w:color w:val="0000FF"/>
                <w:highlight w:val="none"/>
              </w:rPr>
              <w:t>水量=锅炉蒸发量+蒸发损失量+锅炉排污损失-冷凝水回收量</w:t>
            </w:r>
          </w:p>
          <w:p>
            <w:pPr>
              <w:pStyle w:val="96"/>
              <w:ind w:firstLine="480"/>
              <w:rPr>
                <w:color w:val="0000FF"/>
                <w:highlight w:val="none"/>
              </w:rPr>
            </w:pPr>
            <w:r>
              <w:rPr>
                <w:rFonts w:hint="eastAsia"/>
                <w:color w:val="0000FF"/>
                <w:highlight w:val="none"/>
              </w:rPr>
              <w:t>项目生物质蒸汽锅炉用水量=</w:t>
            </w:r>
            <w:r>
              <w:rPr>
                <w:rFonts w:hint="eastAsia"/>
                <w:color w:val="0000FF"/>
                <w:highlight w:val="none"/>
                <w:lang w:val="en-US" w:eastAsia="zh-CN"/>
              </w:rPr>
              <w:t>9</w:t>
            </w:r>
            <w:r>
              <w:rPr>
                <w:rFonts w:hint="eastAsia"/>
                <w:color w:val="0000FF"/>
                <w:highlight w:val="none"/>
              </w:rPr>
              <w:t>000t/a+</w:t>
            </w:r>
            <w:r>
              <w:rPr>
                <w:rFonts w:hint="eastAsia"/>
                <w:color w:val="0000FF"/>
                <w:highlight w:val="none"/>
                <w:lang w:val="en-US" w:eastAsia="zh-CN"/>
              </w:rPr>
              <w:t>450</w:t>
            </w:r>
            <w:r>
              <w:rPr>
                <w:rFonts w:hint="eastAsia"/>
                <w:color w:val="0000FF"/>
                <w:highlight w:val="none"/>
              </w:rPr>
              <w:t>t/a+</w:t>
            </w:r>
            <w:r>
              <w:rPr>
                <w:rFonts w:hint="eastAsia"/>
                <w:color w:val="0000FF"/>
                <w:highlight w:val="none"/>
                <w:lang w:val="en-US" w:eastAsia="zh-CN"/>
              </w:rPr>
              <w:t>573.52</w:t>
            </w:r>
            <w:r>
              <w:rPr>
                <w:rFonts w:hint="eastAsia"/>
                <w:color w:val="0000FF"/>
                <w:highlight w:val="none"/>
              </w:rPr>
              <w:t>t/a-（</w:t>
            </w:r>
            <w:r>
              <w:rPr>
                <w:rFonts w:hint="eastAsia"/>
                <w:color w:val="0000FF"/>
                <w:highlight w:val="none"/>
                <w:lang w:val="en-US" w:eastAsia="zh-CN"/>
              </w:rPr>
              <w:t>9</w:t>
            </w:r>
            <w:r>
              <w:rPr>
                <w:rFonts w:hint="eastAsia"/>
                <w:color w:val="0000FF"/>
                <w:highlight w:val="none"/>
              </w:rPr>
              <w:t>000t/a×</w:t>
            </w:r>
            <w:r>
              <w:rPr>
                <w:rFonts w:hint="eastAsia"/>
                <w:color w:val="0000FF"/>
                <w:highlight w:val="none"/>
                <w:lang w:val="en-US" w:eastAsia="zh-CN"/>
              </w:rPr>
              <w:t>70</w:t>
            </w:r>
            <w:r>
              <w:rPr>
                <w:rFonts w:hint="eastAsia"/>
                <w:color w:val="0000FF"/>
                <w:highlight w:val="none"/>
              </w:rPr>
              <w:t>%）=</w:t>
            </w:r>
            <w:r>
              <w:rPr>
                <w:rFonts w:hint="eastAsia"/>
                <w:color w:val="0000FF"/>
                <w:highlight w:val="none"/>
                <w:lang w:val="en-US" w:eastAsia="zh-CN"/>
              </w:rPr>
              <w:t>3723.52</w:t>
            </w:r>
            <w:r>
              <w:rPr>
                <w:rFonts w:hint="eastAsia"/>
                <w:color w:val="0000FF"/>
                <w:highlight w:val="none"/>
              </w:rPr>
              <w:t>t/a，即锅炉新鲜水用量为</w:t>
            </w:r>
            <w:r>
              <w:rPr>
                <w:rFonts w:hint="eastAsia"/>
                <w:color w:val="0000FF"/>
                <w:highlight w:val="none"/>
                <w:lang w:val="en-US" w:eastAsia="zh-CN"/>
              </w:rPr>
              <w:t>12.41</w:t>
            </w:r>
            <w:r>
              <w:rPr>
                <w:rFonts w:eastAsia="Times New Roman"/>
                <w:color w:val="0000FF"/>
                <w:spacing w:val="-5"/>
                <w:sz w:val="21"/>
                <w:szCs w:val="21"/>
                <w:highlight w:val="none"/>
              </w:rPr>
              <w:t>m</w:t>
            </w:r>
            <w:r>
              <w:rPr>
                <w:rFonts w:eastAsia="Times New Roman"/>
                <w:color w:val="0000FF"/>
                <w:spacing w:val="-5"/>
                <w:position w:val="6"/>
                <w:sz w:val="13"/>
                <w:szCs w:val="13"/>
                <w:highlight w:val="none"/>
              </w:rPr>
              <w:t>3</w:t>
            </w:r>
            <w:r>
              <w:rPr>
                <w:rFonts w:hint="eastAsia"/>
                <w:color w:val="0000FF"/>
                <w:highlight w:val="none"/>
              </w:rPr>
              <w:t>/d（</w:t>
            </w:r>
            <w:r>
              <w:rPr>
                <w:rFonts w:hint="eastAsia"/>
                <w:color w:val="0000FF"/>
                <w:highlight w:val="none"/>
                <w:lang w:val="en-US" w:eastAsia="zh-CN"/>
              </w:rPr>
              <w:t>3723.52</w:t>
            </w:r>
            <w:r>
              <w:rPr>
                <w:rFonts w:hint="eastAsia"/>
                <w:color w:val="0000FF"/>
                <w:highlight w:val="none"/>
              </w:rPr>
              <w:t>t/a）。</w:t>
            </w:r>
          </w:p>
          <w:p>
            <w:pPr>
              <w:pStyle w:val="96"/>
              <w:ind w:firstLine="480"/>
              <w:rPr>
                <w:rFonts w:hint="eastAsia"/>
                <w:color w:val="0000FF"/>
                <w:highlight w:val="none"/>
              </w:rPr>
            </w:pPr>
            <w:r>
              <w:rPr>
                <w:rFonts w:hint="eastAsia"/>
                <w:color w:val="0000FF"/>
                <w:highlight w:val="none"/>
              </w:rPr>
              <w:t>综上所述，锅炉用水量为</w:t>
            </w:r>
            <w:r>
              <w:rPr>
                <w:rFonts w:hint="eastAsia"/>
                <w:color w:val="0000FF"/>
                <w:highlight w:val="none"/>
                <w:lang w:val="en-US" w:eastAsia="zh-CN"/>
              </w:rPr>
              <w:t>12.41</w:t>
            </w:r>
            <w:r>
              <w:rPr>
                <w:rFonts w:eastAsia="Times New Roman"/>
                <w:color w:val="0000FF"/>
                <w:spacing w:val="-5"/>
                <w:sz w:val="21"/>
                <w:szCs w:val="21"/>
                <w:highlight w:val="none"/>
              </w:rPr>
              <w:t>m</w:t>
            </w:r>
            <w:r>
              <w:rPr>
                <w:rFonts w:eastAsia="Times New Roman"/>
                <w:color w:val="0000FF"/>
                <w:spacing w:val="-5"/>
                <w:position w:val="6"/>
                <w:sz w:val="13"/>
                <w:szCs w:val="13"/>
                <w:highlight w:val="none"/>
              </w:rPr>
              <w:t>3</w:t>
            </w:r>
            <w:r>
              <w:rPr>
                <w:rFonts w:hint="eastAsia"/>
                <w:color w:val="0000FF"/>
                <w:highlight w:val="none"/>
              </w:rPr>
              <w:t>/d（</w:t>
            </w:r>
            <w:r>
              <w:rPr>
                <w:rFonts w:hint="eastAsia"/>
                <w:color w:val="0000FF"/>
                <w:highlight w:val="none"/>
                <w:lang w:val="en-US" w:eastAsia="zh-CN"/>
              </w:rPr>
              <w:t>3723.52</w:t>
            </w:r>
            <w:r>
              <w:rPr>
                <w:rFonts w:hint="eastAsia"/>
                <w:color w:val="0000FF"/>
                <w:highlight w:val="none"/>
              </w:rPr>
              <w:t>t/a）。</w:t>
            </w:r>
          </w:p>
          <w:p>
            <w:pPr>
              <w:pStyle w:val="108"/>
              <w:ind w:firstLine="480"/>
              <w:rPr>
                <w:highlight w:val="none"/>
              </w:rPr>
            </w:pPr>
            <w:r>
              <w:rPr>
                <w:rFonts w:hint="eastAsia"/>
                <w:highlight w:val="none"/>
                <w:lang w:val="en-US" w:eastAsia="zh-CN"/>
              </w:rPr>
              <w:t>6</w:t>
            </w:r>
            <w:r>
              <w:rPr>
                <w:rFonts w:hint="eastAsia"/>
                <w:highlight w:val="none"/>
              </w:rPr>
              <w:t>）地面清洗用水</w:t>
            </w:r>
          </w:p>
          <w:p>
            <w:pPr>
              <w:pStyle w:val="96"/>
              <w:ind w:firstLine="480"/>
              <w:rPr>
                <w:highlight w:val="none"/>
              </w:rPr>
            </w:pPr>
            <w:r>
              <w:rPr>
                <w:highlight w:val="none"/>
              </w:rPr>
              <w:t>车间面积约</w:t>
            </w:r>
            <w:r>
              <w:rPr>
                <w:rFonts w:hint="eastAsia"/>
                <w:highlight w:val="none"/>
              </w:rPr>
              <w:t>4800</w:t>
            </w:r>
            <w:r>
              <w:rPr>
                <w:highlight w:val="none"/>
              </w:rPr>
              <w:t>m</w:t>
            </w:r>
            <w:r>
              <w:rPr>
                <w:highlight w:val="none"/>
                <w:vertAlign w:val="superscript"/>
              </w:rPr>
              <w:t>2</w:t>
            </w:r>
            <w:r>
              <w:rPr>
                <w:highlight w:val="none"/>
              </w:rPr>
              <w:t xml:space="preserve"> ，每天冲洗1次，冲洗地面水量取</w:t>
            </w:r>
            <w:r>
              <w:rPr>
                <w:rFonts w:hint="eastAsia"/>
                <w:highlight w:val="none"/>
              </w:rPr>
              <w:t>0.5</w:t>
            </w:r>
            <w:r>
              <w:rPr>
                <w:highlight w:val="none"/>
              </w:rPr>
              <w:t>L/(m</w:t>
            </w:r>
            <w:r>
              <w:rPr>
                <w:highlight w:val="none"/>
                <w:vertAlign w:val="superscript"/>
              </w:rPr>
              <w:t>2</w:t>
            </w:r>
            <w:r>
              <w:rPr>
                <w:highlight w:val="none"/>
              </w:rPr>
              <w:t xml:space="preserve"> ·次)，平均每天用水量为</w:t>
            </w:r>
            <w:r>
              <w:rPr>
                <w:rFonts w:hint="eastAsia"/>
                <w:highlight w:val="none"/>
              </w:rPr>
              <w:t>2.4</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/d（</w:t>
            </w:r>
            <w:r>
              <w:rPr>
                <w:rFonts w:hint="eastAsia"/>
                <w:highlight w:val="none"/>
              </w:rPr>
              <w:t>720</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/a）。</w:t>
            </w:r>
          </w:p>
          <w:p>
            <w:pPr>
              <w:pStyle w:val="96"/>
              <w:numPr>
                <w:ilvl w:val="0"/>
                <w:numId w:val="0"/>
              </w:numPr>
              <w:bidi w:val="0"/>
              <w:ind w:firstLine="480" w:firstLineChars="200"/>
              <w:rPr>
                <w:rFonts w:hint="eastAsia"/>
                <w:color w:val="0000FF"/>
                <w:highlight w:val="none"/>
                <w:lang w:val="en-US" w:eastAsia="zh-CN"/>
              </w:rPr>
            </w:pPr>
            <w:r>
              <w:rPr>
                <w:rFonts w:hint="eastAsia" w:cs="Times New Roman"/>
                <w:color w:val="0000FF"/>
                <w:kern w:val="0"/>
                <w:sz w:val="24"/>
                <w:szCs w:val="24"/>
                <w:highlight w:val="none"/>
                <w:lang w:val="en-US" w:eastAsia="zh-CN" w:bidi="ar-SA"/>
              </w:rPr>
              <w:t>7</w:t>
            </w:r>
            <w:r>
              <w:rPr>
                <w:rFonts w:hint="eastAsia" w:ascii="Times New Roman" w:hAnsi="Times New Roman" w:eastAsia="宋体" w:cs="Times New Roman"/>
                <w:color w:val="0000FF"/>
                <w:kern w:val="0"/>
                <w:sz w:val="24"/>
                <w:szCs w:val="24"/>
                <w:highlight w:val="none"/>
                <w:lang w:val="en-US" w:eastAsia="zh-CN" w:bidi="ar-SA"/>
              </w:rPr>
              <w:t>）</w:t>
            </w:r>
            <w:r>
              <w:rPr>
                <w:rFonts w:hint="eastAsia"/>
                <w:color w:val="0000FF"/>
                <w:highlight w:val="none"/>
                <w:lang w:val="en-US" w:eastAsia="zh-CN"/>
              </w:rPr>
              <w:t>绿化用水</w:t>
            </w:r>
          </w:p>
          <w:p>
            <w:pPr>
              <w:pStyle w:val="96"/>
              <w:bidi w:val="0"/>
              <w:rPr>
                <w:rFonts w:hint="default"/>
                <w:color w:val="0000FF"/>
                <w:highlight w:val="none"/>
                <w:lang w:val="en-US" w:eastAsia="zh-CN"/>
              </w:rPr>
            </w:pPr>
            <w:r>
              <w:rPr>
                <w:rFonts w:hint="eastAsia"/>
                <w:color w:val="0000FF"/>
                <w:highlight w:val="none"/>
                <w:lang w:val="en-US" w:eastAsia="zh-CN"/>
              </w:rPr>
              <w:t>本项目绿化用地面积为3045m</w:t>
            </w:r>
            <w:r>
              <w:rPr>
                <w:rFonts w:hint="eastAsia"/>
                <w:color w:val="0000FF"/>
                <w:highlight w:val="none"/>
                <w:vertAlign w:val="superscript"/>
                <w:lang w:val="en-US" w:eastAsia="zh-CN"/>
              </w:rPr>
              <w:t>2</w:t>
            </w:r>
            <w:r>
              <w:rPr>
                <w:rFonts w:hint="eastAsia"/>
                <w:color w:val="0000FF"/>
                <w:highlight w:val="none"/>
                <w:lang w:val="en-US" w:eastAsia="zh-CN"/>
              </w:rPr>
              <w:t>，绿化用水使用污水处理站尾水回用，用水量按 2L/m</w:t>
            </w:r>
            <w:r>
              <w:rPr>
                <w:rFonts w:hint="eastAsia"/>
                <w:color w:val="0000FF"/>
                <w:highlight w:val="none"/>
                <w:vertAlign w:val="superscript"/>
                <w:lang w:val="en-US" w:eastAsia="zh-CN"/>
              </w:rPr>
              <w:t>2</w:t>
            </w:r>
            <w:r>
              <w:rPr>
                <w:rFonts w:hint="eastAsia"/>
                <w:color w:val="0000FF"/>
                <w:highlight w:val="none"/>
                <w:lang w:val="en-US" w:eastAsia="zh-CN"/>
              </w:rPr>
              <w:t>·d，用水量约为6.09m</w:t>
            </w:r>
            <w:r>
              <w:rPr>
                <w:rFonts w:hint="eastAsia"/>
                <w:color w:val="0000FF"/>
                <w:highlight w:val="none"/>
                <w:vertAlign w:val="superscript"/>
                <w:lang w:val="en-US" w:eastAsia="zh-CN"/>
              </w:rPr>
              <w:t>3</w:t>
            </w:r>
            <w:r>
              <w:rPr>
                <w:rFonts w:hint="eastAsia"/>
                <w:color w:val="0000FF"/>
                <w:highlight w:val="none"/>
                <w:lang w:val="en-US" w:eastAsia="zh-CN"/>
              </w:rPr>
              <w:t>/d。年用水按150天计算，则绿化用水量为913.5m</w:t>
            </w:r>
            <w:r>
              <w:rPr>
                <w:rFonts w:hint="eastAsia"/>
                <w:color w:val="0000FF"/>
                <w:highlight w:val="none"/>
                <w:vertAlign w:val="superscript"/>
                <w:lang w:val="en-US" w:eastAsia="zh-CN"/>
              </w:rPr>
              <w:t>3</w:t>
            </w:r>
            <w:r>
              <w:rPr>
                <w:rFonts w:hint="eastAsia"/>
                <w:color w:val="0000FF"/>
                <w:highlight w:val="none"/>
                <w:lang w:val="en-US" w:eastAsia="zh-CN"/>
              </w:rPr>
              <w:t>/a。</w:t>
            </w:r>
          </w:p>
          <w:p>
            <w:pPr>
              <w:pStyle w:val="96"/>
              <w:ind w:firstLine="480"/>
              <w:rPr>
                <w:rFonts w:hint="eastAsia"/>
                <w:color w:val="0000FF"/>
                <w:highlight w:val="none"/>
                <w:lang w:val="en-US" w:eastAsia="zh-CN"/>
              </w:rPr>
            </w:pPr>
            <w:r>
              <w:rPr>
                <w:rFonts w:hint="eastAsia"/>
                <w:color w:val="0000FF"/>
                <w:highlight w:val="none"/>
              </w:rPr>
              <w:t>综上所述，本项目全厂新鲜水用量合计</w:t>
            </w:r>
            <w:r>
              <w:rPr>
                <w:rFonts w:hint="eastAsia"/>
                <w:color w:val="0000FF"/>
                <w:highlight w:val="none"/>
                <w:lang w:val="en-US" w:eastAsia="zh-CN"/>
              </w:rPr>
              <w:t>169.71</w:t>
            </w:r>
            <w:r>
              <w:rPr>
                <w:rFonts w:eastAsia="Times New Roman"/>
                <w:color w:val="0000FF"/>
                <w:spacing w:val="-5"/>
                <w:sz w:val="21"/>
                <w:szCs w:val="21"/>
                <w:highlight w:val="none"/>
              </w:rPr>
              <w:t>m</w:t>
            </w:r>
            <w:r>
              <w:rPr>
                <w:rFonts w:eastAsia="Times New Roman"/>
                <w:color w:val="0000FF"/>
                <w:spacing w:val="-5"/>
                <w:position w:val="6"/>
                <w:sz w:val="13"/>
                <w:szCs w:val="13"/>
                <w:highlight w:val="none"/>
              </w:rPr>
              <w:t>3</w:t>
            </w:r>
            <w:r>
              <w:rPr>
                <w:color w:val="0000FF"/>
                <w:highlight w:val="none"/>
              </w:rPr>
              <w:t xml:space="preserve"> /d</w:t>
            </w:r>
            <w:r>
              <w:rPr>
                <w:rFonts w:hint="eastAsia"/>
                <w:color w:val="0000FF"/>
                <w:highlight w:val="none"/>
              </w:rPr>
              <w:t>（</w:t>
            </w:r>
            <w:r>
              <w:rPr>
                <w:rFonts w:hint="eastAsia"/>
                <w:color w:val="0000FF"/>
                <w:highlight w:val="none"/>
                <w:lang w:val="en-US" w:eastAsia="zh-CN"/>
              </w:rPr>
              <w:t>50913</w:t>
            </w:r>
            <w:r>
              <w:rPr>
                <w:rFonts w:eastAsia="Times New Roman"/>
                <w:color w:val="0000FF"/>
                <w:spacing w:val="-5"/>
                <w:sz w:val="24"/>
                <w:szCs w:val="24"/>
                <w:highlight w:val="none"/>
              </w:rPr>
              <w:t>m</w:t>
            </w:r>
            <w:r>
              <w:rPr>
                <w:rFonts w:hint="eastAsia" w:eastAsia="宋体"/>
                <w:color w:val="0000FF"/>
                <w:spacing w:val="-5"/>
                <w:sz w:val="24"/>
                <w:szCs w:val="24"/>
                <w:highlight w:val="none"/>
                <w:vertAlign w:val="superscript"/>
                <w:lang w:val="en-US" w:eastAsia="zh-CN"/>
              </w:rPr>
              <w:t>3</w:t>
            </w:r>
            <w:r>
              <w:rPr>
                <w:color w:val="0000FF"/>
                <w:highlight w:val="none"/>
              </w:rPr>
              <w:t>/a</w:t>
            </w:r>
            <w:r>
              <w:rPr>
                <w:rFonts w:hint="eastAsia"/>
                <w:color w:val="0000FF"/>
                <w:highlight w:val="none"/>
              </w:rPr>
              <w:t>）。</w:t>
            </w:r>
          </w:p>
          <w:p>
            <w:pPr>
              <w:tabs>
                <w:tab w:val="left" w:pos="1110"/>
              </w:tabs>
              <w:spacing w:line="360" w:lineRule="auto"/>
              <w:ind w:firstLine="481" w:firstLineChars="200"/>
              <w:rPr>
                <w:b/>
                <w:bCs/>
                <w:sz w:val="24"/>
                <w:highlight w:val="none"/>
              </w:rPr>
            </w:pPr>
            <w:r>
              <w:rPr>
                <w:rFonts w:hint="eastAsia"/>
                <w:b/>
                <w:bCs/>
                <w:sz w:val="24"/>
                <w:highlight w:val="none"/>
              </w:rPr>
              <w:t>（4）排水</w:t>
            </w:r>
          </w:p>
          <w:p>
            <w:pPr>
              <w:pStyle w:val="108"/>
              <w:ind w:firstLine="480"/>
              <w:rPr>
                <w:highlight w:val="none"/>
              </w:rPr>
            </w:pPr>
            <w:r>
              <w:rPr>
                <w:rFonts w:hint="eastAsia"/>
                <w:highlight w:val="none"/>
              </w:rPr>
              <w:t>1）</w:t>
            </w:r>
            <w:r>
              <w:rPr>
                <w:highlight w:val="none"/>
              </w:rPr>
              <w:t>生活污水</w:t>
            </w:r>
          </w:p>
          <w:p>
            <w:pPr>
              <w:pStyle w:val="108"/>
              <w:ind w:firstLine="480"/>
              <w:rPr>
                <w:highlight w:val="none"/>
              </w:rPr>
            </w:pPr>
            <w:r>
              <w:rPr>
                <w:highlight w:val="none"/>
              </w:rPr>
              <w:t>生活用水量为</w:t>
            </w:r>
            <w:r>
              <w:rPr>
                <w:rFonts w:hint="eastAsia"/>
                <w:highlight w:val="none"/>
              </w:rPr>
              <w:t>6.4</w:t>
            </w:r>
            <w:r>
              <w:rPr>
                <w:highlight w:val="none"/>
              </w:rPr>
              <w:t>m³/d（</w:t>
            </w:r>
            <w:r>
              <w:rPr>
                <w:rFonts w:hint="eastAsia"/>
                <w:highlight w:val="none"/>
              </w:rPr>
              <w:t>1920</w:t>
            </w:r>
            <w:r>
              <w:rPr>
                <w:highlight w:val="none"/>
              </w:rPr>
              <w:t xml:space="preserve">m³/a），生活污水量按生活用水量的 80%计算，生活污水产生量为 </w:t>
            </w:r>
            <w:r>
              <w:rPr>
                <w:rFonts w:hint="eastAsia"/>
                <w:highlight w:val="none"/>
              </w:rPr>
              <w:t>5.12</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/d（</w:t>
            </w:r>
            <w:r>
              <w:rPr>
                <w:rFonts w:hint="eastAsia"/>
                <w:highlight w:val="none"/>
              </w:rPr>
              <w:t>1536</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/a），经化粪池处理后排入</w:t>
            </w:r>
            <w:r>
              <w:rPr>
                <w:rFonts w:hint="eastAsia"/>
                <w:highlight w:val="none"/>
              </w:rPr>
              <w:t>厂区污水处理站处理</w:t>
            </w:r>
            <w:r>
              <w:rPr>
                <w:highlight w:val="none"/>
              </w:rPr>
              <w:t>达标后</w:t>
            </w:r>
            <w:r>
              <w:rPr>
                <w:rFonts w:hint="eastAsia"/>
                <w:highlight w:val="none"/>
              </w:rPr>
              <w:t>，部分回用于厂区绿化，其余外排至企业租用的池塘后用于农田灌溉。</w:t>
            </w:r>
          </w:p>
          <w:p>
            <w:pPr>
              <w:pStyle w:val="108"/>
              <w:ind w:firstLine="480"/>
              <w:rPr>
                <w:highlight w:val="none"/>
              </w:rPr>
            </w:pPr>
            <w:r>
              <w:rPr>
                <w:rFonts w:hint="eastAsia"/>
                <w:highlight w:val="none"/>
              </w:rPr>
              <w:t>2）</w:t>
            </w:r>
            <w:r>
              <w:rPr>
                <w:highlight w:val="none"/>
              </w:rPr>
              <w:t>鸡蛋清洗废水</w:t>
            </w:r>
          </w:p>
          <w:p>
            <w:pPr>
              <w:pStyle w:val="108"/>
              <w:ind w:firstLine="480"/>
              <w:rPr>
                <w:highlight w:val="none"/>
              </w:rPr>
            </w:pPr>
            <w:r>
              <w:rPr>
                <w:highlight w:val="none"/>
              </w:rPr>
              <w:t>鸡蛋清洗废水按用水量90%计，则排放量为</w:t>
            </w:r>
            <w:r>
              <w:rPr>
                <w:rFonts w:hint="eastAsia"/>
                <w:highlight w:val="none"/>
              </w:rPr>
              <w:t>34.56</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/d（</w:t>
            </w:r>
            <w:r>
              <w:rPr>
                <w:rFonts w:hint="eastAsia"/>
                <w:highlight w:val="none"/>
              </w:rPr>
              <w:t>10368</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/a）。废水经</w:t>
            </w:r>
            <w:r>
              <w:rPr>
                <w:rFonts w:hint="eastAsia"/>
                <w:highlight w:val="none"/>
              </w:rPr>
              <w:t>厂区</w:t>
            </w:r>
            <w:r>
              <w:rPr>
                <w:highlight w:val="none"/>
              </w:rPr>
              <w:t>污水处理</w:t>
            </w:r>
            <w:r>
              <w:rPr>
                <w:rFonts w:hint="eastAsia"/>
                <w:highlight w:val="none"/>
              </w:rPr>
              <w:t>站</w:t>
            </w:r>
            <w:r>
              <w:rPr>
                <w:highlight w:val="none"/>
              </w:rPr>
              <w:t>处理达标后</w:t>
            </w:r>
            <w:r>
              <w:rPr>
                <w:rFonts w:hint="eastAsia"/>
                <w:highlight w:val="none"/>
              </w:rPr>
              <w:t>，部分回用于厂区绿化，其余外排至企业租用的池塘后用于农田灌溉。</w:t>
            </w:r>
          </w:p>
          <w:p>
            <w:pPr>
              <w:pStyle w:val="108"/>
              <w:ind w:firstLine="480"/>
              <w:rPr>
                <w:highlight w:val="none"/>
              </w:rPr>
            </w:pPr>
            <w:r>
              <w:rPr>
                <w:rFonts w:hint="eastAsia"/>
                <w:highlight w:val="none"/>
              </w:rPr>
              <w:t>3）</w:t>
            </w:r>
            <w:r>
              <w:rPr>
                <w:highlight w:val="none"/>
              </w:rPr>
              <w:t>CIP 系统废水</w:t>
            </w:r>
          </w:p>
          <w:p>
            <w:pPr>
              <w:pStyle w:val="108"/>
              <w:ind w:firstLine="480"/>
              <w:rPr>
                <w:highlight w:val="none"/>
              </w:rPr>
            </w:pPr>
            <w:r>
              <w:rPr>
                <w:highlight w:val="none"/>
              </w:rPr>
              <w:t>CIP 系统废水按照用水量90%计，则排放量为</w:t>
            </w:r>
            <w:r>
              <w:rPr>
                <w:rFonts w:hint="eastAsia"/>
                <w:highlight w:val="none"/>
                <w:lang w:val="en-US" w:eastAsia="zh-CN"/>
              </w:rPr>
              <w:t>98.19</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/d（</w:t>
            </w:r>
            <w:r>
              <w:rPr>
                <w:rFonts w:hint="eastAsia"/>
                <w:highlight w:val="none"/>
                <w:lang w:val="en-US" w:eastAsia="zh-CN"/>
              </w:rPr>
              <w:t>29457</w:t>
            </w:r>
            <w:r>
              <w:rPr>
                <w:rFonts w:eastAsia="Times New Roman"/>
                <w:spacing w:val="-5"/>
                <w:sz w:val="21"/>
                <w:szCs w:val="21"/>
                <w:highlight w:val="none"/>
              </w:rPr>
              <w:t>m</w:t>
            </w:r>
            <w:r>
              <w:rPr>
                <w:rFonts w:eastAsia="Times New Roman"/>
                <w:spacing w:val="-5"/>
                <w:position w:val="6"/>
                <w:sz w:val="13"/>
                <w:szCs w:val="13"/>
                <w:highlight w:val="none"/>
              </w:rPr>
              <w:t>3</w:t>
            </w:r>
            <w:r>
              <w:rPr>
                <w:highlight w:val="none"/>
              </w:rPr>
              <w:t>/a）。废水经</w:t>
            </w:r>
            <w:r>
              <w:rPr>
                <w:rFonts w:hint="eastAsia"/>
                <w:highlight w:val="none"/>
              </w:rPr>
              <w:t>厂区</w:t>
            </w:r>
            <w:r>
              <w:rPr>
                <w:highlight w:val="none"/>
              </w:rPr>
              <w:t>污水处理</w:t>
            </w:r>
            <w:r>
              <w:rPr>
                <w:rFonts w:hint="eastAsia"/>
                <w:highlight w:val="none"/>
              </w:rPr>
              <w:t>站</w:t>
            </w:r>
            <w:r>
              <w:rPr>
                <w:highlight w:val="none"/>
              </w:rPr>
              <w:t>处理达标后</w:t>
            </w:r>
            <w:r>
              <w:rPr>
                <w:rFonts w:hint="eastAsia"/>
                <w:highlight w:val="none"/>
              </w:rPr>
              <w:t>，部分回用于厂区绿化，其余外排至企业租用的池塘后用于农田灌溉。</w:t>
            </w:r>
          </w:p>
          <w:p>
            <w:pPr>
              <w:pStyle w:val="96"/>
              <w:ind w:firstLine="480"/>
              <w:rPr>
                <w:highlight w:val="none"/>
              </w:rPr>
            </w:pPr>
            <w:r>
              <w:rPr>
                <w:rFonts w:hint="eastAsia"/>
                <w:highlight w:val="none"/>
              </w:rPr>
              <w:t>4）检验废水</w:t>
            </w:r>
          </w:p>
          <w:p>
            <w:pPr>
              <w:pStyle w:val="96"/>
              <w:ind w:firstLine="480"/>
              <w:rPr>
                <w:highlight w:val="none"/>
              </w:rPr>
            </w:pPr>
            <w:r>
              <w:rPr>
                <w:highlight w:val="none"/>
              </w:rPr>
              <w:t>检验后器皿清洗废水产生量系数取0.9 ，检验</w:t>
            </w:r>
            <w:r>
              <w:rPr>
                <w:rFonts w:hint="eastAsia"/>
                <w:highlight w:val="none"/>
              </w:rPr>
              <w:t>用水量</w:t>
            </w:r>
            <w:r>
              <w:rPr>
                <w:highlight w:val="none"/>
              </w:rPr>
              <w:t>约</w:t>
            </w:r>
            <w:r>
              <w:rPr>
                <w:rFonts w:hint="eastAsia"/>
                <w:highlight w:val="none"/>
              </w:rPr>
              <w:t>1</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 （</w:t>
            </w:r>
            <w:r>
              <w:rPr>
                <w:rFonts w:hint="eastAsia"/>
                <w:highlight w:val="none"/>
              </w:rPr>
              <w:t>300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 xml:space="preserve">/a），则检验清洗废水产生量约为 </w:t>
            </w:r>
            <w:r>
              <w:rPr>
                <w:rFonts w:hint="eastAsia"/>
                <w:highlight w:val="none"/>
              </w:rPr>
              <w:t>0.9</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rPr>
              <w:t>270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w:t>
            </w:r>
            <w:r>
              <w:rPr>
                <w:rFonts w:hint="eastAsia"/>
                <w:highlight w:val="none"/>
              </w:rPr>
              <w:t>检验</w:t>
            </w:r>
            <w:r>
              <w:rPr>
                <w:highlight w:val="none"/>
              </w:rPr>
              <w:t>清洗废水经污水处理设施处理达标后</w:t>
            </w:r>
            <w:r>
              <w:rPr>
                <w:rFonts w:hint="eastAsia"/>
                <w:highlight w:val="none"/>
              </w:rPr>
              <w:t>，部分回用于厂区绿化，其余外排至企业租用的池塘后用于农田灌溉。</w:t>
            </w:r>
          </w:p>
          <w:p>
            <w:pPr>
              <w:pStyle w:val="96"/>
              <w:ind w:firstLine="480"/>
              <w:rPr>
                <w:highlight w:val="none"/>
              </w:rPr>
            </w:pPr>
            <w:r>
              <w:rPr>
                <w:rFonts w:hint="eastAsia"/>
                <w:highlight w:val="none"/>
              </w:rPr>
              <w:t>5）蒸汽锅炉排水</w:t>
            </w:r>
          </w:p>
          <w:p>
            <w:pPr>
              <w:pStyle w:val="96"/>
              <w:ind w:firstLine="480"/>
              <w:rPr>
                <w:rFonts w:hint="eastAsia"/>
                <w:highlight w:val="none"/>
              </w:rPr>
            </w:pPr>
            <w:r>
              <w:rPr>
                <w:rFonts w:hint="eastAsia"/>
                <w:highlight w:val="none"/>
              </w:rPr>
              <w:t>蒸汽锅炉定期排污，排污水（含软化处理废水）产污系数为0.356t/t-原料，本项目锅炉生物质燃料用量为</w:t>
            </w:r>
            <w:r>
              <w:rPr>
                <w:rFonts w:hint="eastAsia"/>
                <w:color w:val="0000FF"/>
                <w:highlight w:val="none"/>
                <w:lang w:val="en-US" w:eastAsia="zh-CN"/>
              </w:rPr>
              <w:t>1611</w:t>
            </w:r>
            <w:r>
              <w:rPr>
                <w:rFonts w:hint="eastAsia"/>
                <w:color w:val="0000FF"/>
                <w:highlight w:val="none"/>
              </w:rPr>
              <w:t>t/a，则计算锅炉排污水量为</w:t>
            </w:r>
            <w:r>
              <w:rPr>
                <w:rFonts w:hint="eastAsia"/>
                <w:color w:val="0000FF"/>
                <w:highlight w:val="none"/>
                <w:lang w:val="en-US" w:eastAsia="zh-CN"/>
              </w:rPr>
              <w:t>1.91</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rPr>
              <w:t>/d（</w:t>
            </w:r>
            <w:r>
              <w:rPr>
                <w:rFonts w:hint="eastAsia"/>
                <w:color w:val="0000FF"/>
                <w:highlight w:val="none"/>
                <w:lang w:val="en-US" w:eastAsia="zh-CN"/>
              </w:rPr>
              <w:t>573.52</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rPr>
              <w:t>/a）</w:t>
            </w:r>
            <w:r>
              <w:rPr>
                <w:rFonts w:hint="eastAsia"/>
                <w:highlight w:val="none"/>
              </w:rPr>
              <w:t>。锅炉排水</w:t>
            </w:r>
            <w:r>
              <w:rPr>
                <w:highlight w:val="none"/>
              </w:rPr>
              <w:t>经污水处理设施处理达标后</w:t>
            </w:r>
            <w:r>
              <w:rPr>
                <w:rFonts w:hint="eastAsia"/>
                <w:highlight w:val="none"/>
              </w:rPr>
              <w:t>，部分回用于厂区绿化，其余外排至企业租用的池塘后用于农田灌溉。</w:t>
            </w:r>
          </w:p>
          <w:p>
            <w:pPr>
              <w:pStyle w:val="108"/>
              <w:ind w:firstLine="480"/>
              <w:rPr>
                <w:highlight w:val="none"/>
              </w:rPr>
            </w:pPr>
            <w:r>
              <w:rPr>
                <w:rFonts w:hint="eastAsia"/>
                <w:highlight w:val="none"/>
                <w:lang w:val="en-US" w:eastAsia="zh-CN"/>
              </w:rPr>
              <w:t>6</w:t>
            </w:r>
            <w:r>
              <w:rPr>
                <w:rFonts w:hint="eastAsia"/>
                <w:highlight w:val="none"/>
              </w:rPr>
              <w:t>）地面清洗</w:t>
            </w:r>
            <w:r>
              <w:rPr>
                <w:highlight w:val="none"/>
              </w:rPr>
              <w:t>废水</w:t>
            </w:r>
          </w:p>
          <w:p>
            <w:pPr>
              <w:pStyle w:val="108"/>
              <w:ind w:firstLine="480"/>
              <w:rPr>
                <w:rFonts w:hint="default"/>
                <w:highlight w:val="none"/>
                <w:lang w:val="en-US" w:eastAsia="zh-CN"/>
              </w:rPr>
            </w:pPr>
            <w:r>
              <w:rPr>
                <w:rFonts w:hint="eastAsia"/>
                <w:highlight w:val="none"/>
              </w:rPr>
              <w:t>地面清洗</w:t>
            </w:r>
            <w:r>
              <w:rPr>
                <w:highlight w:val="none"/>
              </w:rPr>
              <w:t>废水量按照用水量60%计，排放量约为</w:t>
            </w:r>
            <w:r>
              <w:rPr>
                <w:rFonts w:hint="eastAsia"/>
                <w:highlight w:val="none"/>
              </w:rPr>
              <w:t>2.4</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rPr>
              <w:t>720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/a）。废水通过车间排水沟排入污水处理设施，经污水处理设施处理达标后</w:t>
            </w:r>
            <w:r>
              <w:rPr>
                <w:rFonts w:hint="eastAsia"/>
                <w:highlight w:val="none"/>
              </w:rPr>
              <w:t>，部分回用于厂区绿化，其余外排至企业租用的</w:t>
            </w:r>
            <w:r>
              <w:rPr>
                <w:rFonts w:hint="eastAsia"/>
                <w:highlight w:val="none"/>
                <w:lang w:val="en-US" w:eastAsia="zh-CN"/>
              </w:rPr>
              <w:t>池塘</w:t>
            </w:r>
            <w:r>
              <w:rPr>
                <w:rFonts w:hint="eastAsia"/>
                <w:highlight w:val="none"/>
              </w:rPr>
              <w:t>后用于农田灌溉。</w:t>
            </w:r>
          </w:p>
          <w:p>
            <w:pPr>
              <w:pStyle w:val="96"/>
              <w:ind w:firstLine="480"/>
              <w:rPr>
                <w:color w:val="0000FF"/>
                <w:highlight w:val="none"/>
              </w:rPr>
            </w:pPr>
            <w:r>
              <w:rPr>
                <w:rFonts w:hint="eastAsia"/>
                <w:color w:val="0000FF"/>
                <w:highlight w:val="none"/>
              </w:rPr>
              <w:t>综上所述，本项目全厂废水排放量合计</w:t>
            </w:r>
            <w:r>
              <w:rPr>
                <w:rFonts w:hint="eastAsia"/>
                <w:color w:val="0000FF"/>
                <w:highlight w:val="none"/>
                <w:lang w:val="en-US" w:eastAsia="zh-CN"/>
              </w:rPr>
              <w:t>142.12</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color w:val="0000FF"/>
                <w:highlight w:val="none"/>
              </w:rPr>
              <w:t xml:space="preserve"> /d</w:t>
            </w:r>
            <w:r>
              <w:rPr>
                <w:rFonts w:hint="eastAsia"/>
                <w:color w:val="0000FF"/>
                <w:highlight w:val="none"/>
              </w:rPr>
              <w:t>（</w:t>
            </w:r>
            <w:r>
              <w:rPr>
                <w:rFonts w:hint="eastAsia"/>
                <w:color w:val="0000FF"/>
                <w:highlight w:val="none"/>
                <w:lang w:val="en-US" w:eastAsia="zh-CN"/>
              </w:rPr>
              <w:t>42636</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color w:val="0000FF"/>
                <w:highlight w:val="none"/>
              </w:rPr>
              <w:t xml:space="preserve"> /a</w:t>
            </w:r>
            <w:r>
              <w:rPr>
                <w:rFonts w:hint="eastAsia"/>
                <w:color w:val="0000FF"/>
                <w:highlight w:val="none"/>
              </w:rPr>
              <w:t>）。</w:t>
            </w:r>
          </w:p>
          <w:p>
            <w:pPr>
              <w:spacing w:line="360" w:lineRule="auto"/>
              <w:ind w:firstLine="470" w:firstLineChars="196"/>
              <w:rPr>
                <w:sz w:val="24"/>
                <w:highlight w:val="none"/>
              </w:rPr>
            </w:pPr>
            <w:r>
              <w:rPr>
                <w:sz w:val="24"/>
                <w:highlight w:val="none"/>
                <w:lang w:val="en-GB"/>
              </w:rPr>
              <w:t>项目</w:t>
            </w:r>
            <w:r>
              <w:rPr>
                <w:rFonts w:hint="eastAsia"/>
                <w:sz w:val="24"/>
                <w:highlight w:val="none"/>
              </w:rPr>
              <w:t>水</w:t>
            </w:r>
            <w:r>
              <w:rPr>
                <w:sz w:val="24"/>
                <w:highlight w:val="none"/>
                <w:lang w:val="en-GB"/>
              </w:rPr>
              <w:t>平衡见表</w:t>
            </w:r>
            <w:r>
              <w:rPr>
                <w:rFonts w:hint="eastAsia"/>
                <w:sz w:val="24"/>
                <w:highlight w:val="none"/>
              </w:rPr>
              <w:t>2-</w:t>
            </w:r>
            <w:r>
              <w:rPr>
                <w:rFonts w:hint="eastAsia"/>
                <w:sz w:val="24"/>
                <w:highlight w:val="none"/>
                <w:lang w:val="en-US" w:eastAsia="zh-CN"/>
              </w:rPr>
              <w:t>9</w:t>
            </w:r>
            <w:r>
              <w:rPr>
                <w:rFonts w:hint="eastAsia"/>
                <w:sz w:val="24"/>
                <w:highlight w:val="none"/>
              </w:rPr>
              <w:t>、图2-1</w:t>
            </w:r>
            <w:r>
              <w:rPr>
                <w:sz w:val="24"/>
                <w:highlight w:val="none"/>
                <w:lang w:val="en-GB"/>
              </w:rPr>
              <w:t>。</w:t>
            </w:r>
          </w:p>
          <w:p>
            <w:pPr>
              <w:pStyle w:val="141"/>
              <w:rPr>
                <w:highlight w:val="none"/>
              </w:rPr>
            </w:pPr>
            <w:r>
              <w:rPr>
                <w:highlight w:val="none"/>
              </w:rPr>
              <w:t>表</w:t>
            </w:r>
            <w:r>
              <w:rPr>
                <w:rFonts w:hint="eastAsia"/>
                <w:highlight w:val="none"/>
              </w:rPr>
              <w:t>2-</w:t>
            </w:r>
            <w:r>
              <w:rPr>
                <w:rFonts w:hint="eastAsia"/>
                <w:highlight w:val="none"/>
                <w:lang w:val="en-US" w:eastAsia="zh-CN"/>
              </w:rPr>
              <w:t>9</w:t>
            </w:r>
            <w:r>
              <w:rPr>
                <w:highlight w:val="none"/>
              </w:rPr>
              <w:t xml:space="preserve">  </w:t>
            </w:r>
            <w:r>
              <w:rPr>
                <w:rFonts w:hint="eastAsia"/>
                <w:highlight w:val="none"/>
              </w:rPr>
              <w:t>项目水</w:t>
            </w:r>
            <w:r>
              <w:rPr>
                <w:highlight w:val="none"/>
              </w:rPr>
              <w:t>平衡</w:t>
            </w:r>
            <w:r>
              <w:rPr>
                <w:rFonts w:hint="eastAsia"/>
                <w:highlight w:val="none"/>
              </w:rPr>
              <w:t xml:space="preserve">  单位：t/d</w:t>
            </w:r>
          </w:p>
          <w:tbl>
            <w:tblPr>
              <w:tblStyle w:val="39"/>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376"/>
              <w:gridCol w:w="1091"/>
              <w:gridCol w:w="1091"/>
              <w:gridCol w:w="1091"/>
              <w:gridCol w:w="1091"/>
              <w:gridCol w:w="109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vMerge w:val="restart"/>
                  <w:tcBorders>
                    <w:left w:val="nil"/>
                  </w:tcBorders>
                  <w:vAlign w:val="center"/>
                </w:tcPr>
                <w:p>
                  <w:pPr>
                    <w:jc w:val="center"/>
                    <w:rPr>
                      <w:color w:val="0000FF"/>
                      <w:kern w:val="0"/>
                      <w:highlight w:val="none"/>
                    </w:rPr>
                  </w:pPr>
                  <w:r>
                    <w:rPr>
                      <w:b/>
                      <w:bCs/>
                      <w:color w:val="0000FF"/>
                      <w:kern w:val="0"/>
                      <w:highlight w:val="none"/>
                    </w:rPr>
                    <w:t>序号</w:t>
                  </w:r>
                </w:p>
              </w:tc>
              <w:tc>
                <w:tcPr>
                  <w:tcW w:w="1376" w:type="dxa"/>
                  <w:vMerge w:val="restart"/>
                  <w:vAlign w:val="center"/>
                </w:tcPr>
                <w:p>
                  <w:pPr>
                    <w:jc w:val="center"/>
                    <w:rPr>
                      <w:color w:val="0000FF"/>
                      <w:szCs w:val="21"/>
                      <w:highlight w:val="none"/>
                    </w:rPr>
                  </w:pPr>
                  <w:r>
                    <w:rPr>
                      <w:rFonts w:hint="eastAsia"/>
                      <w:b/>
                      <w:bCs/>
                      <w:color w:val="0000FF"/>
                      <w:kern w:val="0"/>
                      <w:highlight w:val="none"/>
                    </w:rPr>
                    <w:t>用水项目</w:t>
                  </w:r>
                </w:p>
              </w:tc>
              <w:tc>
                <w:tcPr>
                  <w:tcW w:w="1091" w:type="dxa"/>
                  <w:vMerge w:val="restart"/>
                  <w:vAlign w:val="center"/>
                </w:tcPr>
                <w:p>
                  <w:pPr>
                    <w:jc w:val="center"/>
                    <w:rPr>
                      <w:color w:val="0000FF"/>
                      <w:kern w:val="0"/>
                      <w:highlight w:val="none"/>
                    </w:rPr>
                  </w:pPr>
                  <w:r>
                    <w:rPr>
                      <w:rFonts w:hint="eastAsia"/>
                      <w:b/>
                      <w:bCs/>
                      <w:color w:val="0000FF"/>
                      <w:kern w:val="0"/>
                      <w:highlight w:val="none"/>
                    </w:rPr>
                    <w:t>总</w:t>
                  </w:r>
                  <w:r>
                    <w:rPr>
                      <w:b/>
                      <w:bCs/>
                      <w:color w:val="0000FF"/>
                      <w:kern w:val="0"/>
                      <w:highlight w:val="none"/>
                    </w:rPr>
                    <w:t>用水量</w:t>
                  </w:r>
                </w:p>
              </w:tc>
              <w:tc>
                <w:tcPr>
                  <w:tcW w:w="2182" w:type="dxa"/>
                  <w:gridSpan w:val="2"/>
                  <w:vAlign w:val="center"/>
                </w:tcPr>
                <w:p>
                  <w:pPr>
                    <w:jc w:val="center"/>
                    <w:rPr>
                      <w:color w:val="0000FF"/>
                      <w:kern w:val="0"/>
                      <w:highlight w:val="none"/>
                    </w:rPr>
                  </w:pPr>
                  <w:r>
                    <w:rPr>
                      <w:b/>
                      <w:bCs/>
                      <w:color w:val="0000FF"/>
                      <w:kern w:val="0"/>
                      <w:highlight w:val="none"/>
                    </w:rPr>
                    <w:t>给水</w:t>
                  </w:r>
                </w:p>
              </w:tc>
              <w:tc>
                <w:tcPr>
                  <w:tcW w:w="3276" w:type="dxa"/>
                  <w:gridSpan w:val="3"/>
                  <w:tcBorders>
                    <w:right w:val="nil"/>
                  </w:tcBorders>
                  <w:vAlign w:val="center"/>
                </w:tcPr>
                <w:p>
                  <w:pPr>
                    <w:jc w:val="center"/>
                    <w:rPr>
                      <w:color w:val="0000FF"/>
                      <w:kern w:val="0"/>
                      <w:highlight w:val="none"/>
                    </w:rPr>
                  </w:pPr>
                  <w:r>
                    <w:rPr>
                      <w:b/>
                      <w:bCs/>
                      <w:color w:val="0000FF"/>
                      <w:kern w:val="0"/>
                      <w:highlight w:val="none"/>
                    </w:rPr>
                    <w:t>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vMerge w:val="continue"/>
                  <w:tcBorders>
                    <w:left w:val="nil"/>
                  </w:tcBorders>
                  <w:vAlign w:val="center"/>
                </w:tcPr>
                <w:p>
                  <w:pPr>
                    <w:jc w:val="center"/>
                    <w:rPr>
                      <w:color w:val="0000FF"/>
                      <w:kern w:val="0"/>
                      <w:highlight w:val="none"/>
                    </w:rPr>
                  </w:pPr>
                </w:p>
              </w:tc>
              <w:tc>
                <w:tcPr>
                  <w:tcW w:w="1376" w:type="dxa"/>
                  <w:vMerge w:val="continue"/>
                  <w:vAlign w:val="center"/>
                </w:tcPr>
                <w:p>
                  <w:pPr>
                    <w:jc w:val="center"/>
                    <w:rPr>
                      <w:color w:val="0000FF"/>
                      <w:szCs w:val="21"/>
                      <w:highlight w:val="none"/>
                    </w:rPr>
                  </w:pPr>
                </w:p>
              </w:tc>
              <w:tc>
                <w:tcPr>
                  <w:tcW w:w="1091" w:type="dxa"/>
                  <w:vMerge w:val="continue"/>
                  <w:vAlign w:val="center"/>
                </w:tcPr>
                <w:p>
                  <w:pPr>
                    <w:jc w:val="center"/>
                    <w:rPr>
                      <w:color w:val="0000FF"/>
                      <w:kern w:val="0"/>
                      <w:highlight w:val="none"/>
                    </w:rPr>
                  </w:pPr>
                </w:p>
              </w:tc>
              <w:tc>
                <w:tcPr>
                  <w:tcW w:w="1091" w:type="dxa"/>
                  <w:vAlign w:val="center"/>
                </w:tcPr>
                <w:p>
                  <w:pPr>
                    <w:jc w:val="center"/>
                    <w:rPr>
                      <w:color w:val="0000FF"/>
                      <w:kern w:val="0"/>
                      <w:highlight w:val="none"/>
                    </w:rPr>
                  </w:pPr>
                  <w:r>
                    <w:rPr>
                      <w:rFonts w:hint="eastAsia"/>
                      <w:b/>
                      <w:bCs/>
                      <w:color w:val="0000FF"/>
                      <w:kern w:val="0"/>
                      <w:highlight w:val="none"/>
                    </w:rPr>
                    <w:t>新鲜水用量</w:t>
                  </w:r>
                </w:p>
              </w:tc>
              <w:tc>
                <w:tcPr>
                  <w:tcW w:w="1091" w:type="dxa"/>
                  <w:vAlign w:val="center"/>
                </w:tcPr>
                <w:p>
                  <w:pPr>
                    <w:jc w:val="center"/>
                    <w:rPr>
                      <w:rFonts w:hint="default" w:eastAsia="宋体"/>
                      <w:color w:val="0000FF"/>
                      <w:kern w:val="0"/>
                      <w:highlight w:val="none"/>
                      <w:lang w:val="en-US" w:eastAsia="zh-CN"/>
                    </w:rPr>
                  </w:pPr>
                  <w:r>
                    <w:rPr>
                      <w:b/>
                      <w:bCs/>
                      <w:color w:val="0000FF"/>
                      <w:kern w:val="0"/>
                      <w:highlight w:val="none"/>
                    </w:rPr>
                    <w:t>循环</w:t>
                  </w:r>
                  <w:r>
                    <w:rPr>
                      <w:rFonts w:hint="eastAsia"/>
                      <w:b/>
                      <w:bCs/>
                      <w:color w:val="0000FF"/>
                      <w:kern w:val="0"/>
                      <w:highlight w:val="none"/>
                      <w:lang w:val="en-US" w:eastAsia="zh-CN"/>
                    </w:rPr>
                    <w:t>/回用</w:t>
                  </w:r>
                  <w:r>
                    <w:rPr>
                      <w:b/>
                      <w:bCs/>
                      <w:color w:val="0000FF"/>
                      <w:kern w:val="0"/>
                      <w:highlight w:val="none"/>
                    </w:rPr>
                    <w:t>水量</w:t>
                  </w:r>
                </w:p>
              </w:tc>
              <w:tc>
                <w:tcPr>
                  <w:tcW w:w="1091" w:type="dxa"/>
                  <w:vAlign w:val="center"/>
                </w:tcPr>
                <w:p>
                  <w:pPr>
                    <w:jc w:val="center"/>
                    <w:rPr>
                      <w:color w:val="0000FF"/>
                      <w:kern w:val="0"/>
                      <w:highlight w:val="none"/>
                    </w:rPr>
                  </w:pPr>
                  <w:r>
                    <w:rPr>
                      <w:b/>
                      <w:bCs/>
                      <w:color w:val="0000FF"/>
                      <w:kern w:val="0"/>
                      <w:highlight w:val="none"/>
                    </w:rPr>
                    <w:t>排放水</w:t>
                  </w:r>
                </w:p>
              </w:tc>
              <w:tc>
                <w:tcPr>
                  <w:tcW w:w="1091" w:type="dxa"/>
                  <w:vAlign w:val="center"/>
                </w:tcPr>
                <w:p>
                  <w:pPr>
                    <w:jc w:val="center"/>
                    <w:rPr>
                      <w:color w:val="0000FF"/>
                      <w:kern w:val="0"/>
                      <w:highlight w:val="none"/>
                    </w:rPr>
                  </w:pPr>
                  <w:r>
                    <w:rPr>
                      <w:b/>
                      <w:bCs/>
                      <w:color w:val="0000FF"/>
                      <w:kern w:val="0"/>
                      <w:highlight w:val="none"/>
                    </w:rPr>
                    <w:t>循环水量</w:t>
                  </w:r>
                </w:p>
              </w:tc>
              <w:tc>
                <w:tcPr>
                  <w:tcW w:w="1094" w:type="dxa"/>
                  <w:tcBorders>
                    <w:right w:val="nil"/>
                  </w:tcBorders>
                  <w:vAlign w:val="center"/>
                </w:tcPr>
                <w:p>
                  <w:pPr>
                    <w:jc w:val="center"/>
                    <w:rPr>
                      <w:color w:val="0000FF"/>
                      <w:kern w:val="0"/>
                      <w:highlight w:val="none"/>
                    </w:rPr>
                  </w:pPr>
                  <w:r>
                    <w:rPr>
                      <w:b/>
                      <w:bCs/>
                      <w:color w:val="0000FF"/>
                      <w:kern w:val="0"/>
                      <w:highlight w:val="none"/>
                    </w:rPr>
                    <w:t>损耗水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color w:val="0000FF"/>
                      <w:kern w:val="0"/>
                      <w:highlight w:val="none"/>
                    </w:rPr>
                  </w:pPr>
                  <w:r>
                    <w:rPr>
                      <w:rFonts w:hint="eastAsia"/>
                      <w:color w:val="0000FF"/>
                      <w:kern w:val="0"/>
                      <w:highlight w:val="none"/>
                    </w:rPr>
                    <w:t>1</w:t>
                  </w:r>
                </w:p>
              </w:tc>
              <w:tc>
                <w:tcPr>
                  <w:tcW w:w="1376" w:type="dxa"/>
                  <w:vAlign w:val="center"/>
                </w:tcPr>
                <w:p>
                  <w:pPr>
                    <w:snapToGrid w:val="0"/>
                    <w:jc w:val="center"/>
                    <w:rPr>
                      <w:color w:val="0000FF"/>
                      <w:kern w:val="0"/>
                      <w:highlight w:val="none"/>
                    </w:rPr>
                  </w:pPr>
                  <w:r>
                    <w:rPr>
                      <w:rFonts w:hint="eastAsia"/>
                      <w:color w:val="0000FF"/>
                      <w:szCs w:val="21"/>
                      <w:highlight w:val="none"/>
                    </w:rPr>
                    <w:t>生活用水</w:t>
                  </w:r>
                </w:p>
              </w:tc>
              <w:tc>
                <w:tcPr>
                  <w:tcW w:w="1091" w:type="dxa"/>
                  <w:vAlign w:val="center"/>
                </w:tcPr>
                <w:p>
                  <w:pPr>
                    <w:jc w:val="center"/>
                    <w:rPr>
                      <w:color w:val="0000FF"/>
                      <w:kern w:val="0"/>
                      <w:highlight w:val="none"/>
                    </w:rPr>
                  </w:pPr>
                  <w:r>
                    <w:rPr>
                      <w:rFonts w:hint="eastAsia"/>
                      <w:color w:val="0000FF"/>
                      <w:kern w:val="0"/>
                      <w:highlight w:val="none"/>
                    </w:rPr>
                    <w:t>6.40</w:t>
                  </w:r>
                </w:p>
              </w:tc>
              <w:tc>
                <w:tcPr>
                  <w:tcW w:w="1091" w:type="dxa"/>
                  <w:vAlign w:val="center"/>
                </w:tcPr>
                <w:p>
                  <w:pPr>
                    <w:jc w:val="center"/>
                    <w:rPr>
                      <w:color w:val="0000FF"/>
                      <w:kern w:val="0"/>
                      <w:highlight w:val="none"/>
                    </w:rPr>
                  </w:pPr>
                  <w:r>
                    <w:rPr>
                      <w:rFonts w:hint="eastAsia"/>
                      <w:color w:val="0000FF"/>
                      <w:kern w:val="0"/>
                      <w:highlight w:val="none"/>
                    </w:rPr>
                    <w:t>6.40</w:t>
                  </w:r>
                </w:p>
              </w:tc>
              <w:tc>
                <w:tcPr>
                  <w:tcW w:w="1091" w:type="dxa"/>
                  <w:vAlign w:val="center"/>
                </w:tcPr>
                <w:p>
                  <w:pPr>
                    <w:jc w:val="center"/>
                    <w:rPr>
                      <w:color w:val="0000FF"/>
                      <w:kern w:val="0"/>
                      <w:highlight w:val="none"/>
                    </w:rPr>
                  </w:pPr>
                  <w:r>
                    <w:rPr>
                      <w:rFonts w:hint="eastAsia"/>
                      <w:color w:val="0000FF"/>
                      <w:kern w:val="0"/>
                      <w:highlight w:val="none"/>
                    </w:rPr>
                    <w:t>0</w:t>
                  </w:r>
                </w:p>
              </w:tc>
              <w:tc>
                <w:tcPr>
                  <w:tcW w:w="1091" w:type="dxa"/>
                  <w:vAlign w:val="center"/>
                </w:tcPr>
                <w:p>
                  <w:pPr>
                    <w:jc w:val="center"/>
                    <w:rPr>
                      <w:color w:val="0000FF"/>
                      <w:kern w:val="0"/>
                      <w:highlight w:val="none"/>
                    </w:rPr>
                  </w:pPr>
                  <w:r>
                    <w:rPr>
                      <w:rFonts w:hint="eastAsia"/>
                      <w:color w:val="0000FF"/>
                      <w:kern w:val="0"/>
                      <w:highlight w:val="none"/>
                    </w:rPr>
                    <w:t>5.12</w:t>
                  </w:r>
                </w:p>
              </w:tc>
              <w:tc>
                <w:tcPr>
                  <w:tcW w:w="1091" w:type="dxa"/>
                  <w:vAlign w:val="center"/>
                </w:tcPr>
                <w:p>
                  <w:pPr>
                    <w:jc w:val="center"/>
                    <w:rPr>
                      <w:color w:val="0000FF"/>
                      <w:kern w:val="0"/>
                      <w:highlight w:val="none"/>
                    </w:rPr>
                  </w:pPr>
                  <w:r>
                    <w:rPr>
                      <w:rFonts w:hint="eastAsia"/>
                      <w:color w:val="0000FF"/>
                      <w:kern w:val="0"/>
                      <w:highlight w:val="none"/>
                    </w:rPr>
                    <w:t>0</w:t>
                  </w:r>
                </w:p>
              </w:tc>
              <w:tc>
                <w:tcPr>
                  <w:tcW w:w="1094" w:type="dxa"/>
                  <w:tcBorders>
                    <w:right w:val="nil"/>
                  </w:tcBorders>
                  <w:vAlign w:val="center"/>
                </w:tcPr>
                <w:p>
                  <w:pPr>
                    <w:jc w:val="center"/>
                    <w:rPr>
                      <w:color w:val="0000FF"/>
                      <w:kern w:val="0"/>
                      <w:highlight w:val="none"/>
                    </w:rPr>
                  </w:pPr>
                  <w:r>
                    <w:rPr>
                      <w:rFonts w:hint="eastAsia"/>
                      <w:color w:val="0000FF"/>
                      <w:kern w:val="0"/>
                      <w:highlight w:val="none"/>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color w:val="0000FF"/>
                      <w:kern w:val="0"/>
                      <w:szCs w:val="22"/>
                      <w:highlight w:val="none"/>
                    </w:rPr>
                  </w:pPr>
                  <w:r>
                    <w:rPr>
                      <w:rFonts w:hint="eastAsia"/>
                      <w:color w:val="0000FF"/>
                      <w:kern w:val="0"/>
                      <w:highlight w:val="none"/>
                    </w:rPr>
                    <w:t>2</w:t>
                  </w:r>
                </w:p>
              </w:tc>
              <w:tc>
                <w:tcPr>
                  <w:tcW w:w="1376" w:type="dxa"/>
                  <w:vAlign w:val="center"/>
                </w:tcPr>
                <w:p>
                  <w:pPr>
                    <w:snapToGrid w:val="0"/>
                    <w:jc w:val="center"/>
                    <w:rPr>
                      <w:color w:val="0000FF"/>
                      <w:kern w:val="0"/>
                      <w:szCs w:val="22"/>
                      <w:highlight w:val="none"/>
                    </w:rPr>
                  </w:pPr>
                  <w:r>
                    <w:rPr>
                      <w:rFonts w:hint="eastAsia"/>
                      <w:color w:val="0000FF"/>
                      <w:highlight w:val="none"/>
                    </w:rPr>
                    <w:t>鸡蛋清洗用水</w:t>
                  </w:r>
                </w:p>
              </w:tc>
              <w:tc>
                <w:tcPr>
                  <w:tcW w:w="1091" w:type="dxa"/>
                  <w:vAlign w:val="center"/>
                </w:tcPr>
                <w:p>
                  <w:pPr>
                    <w:jc w:val="center"/>
                    <w:rPr>
                      <w:color w:val="0000FF"/>
                      <w:kern w:val="0"/>
                      <w:szCs w:val="22"/>
                      <w:highlight w:val="none"/>
                    </w:rPr>
                  </w:pPr>
                  <w:r>
                    <w:rPr>
                      <w:rFonts w:hint="eastAsia"/>
                      <w:color w:val="0000FF"/>
                      <w:kern w:val="0"/>
                      <w:szCs w:val="22"/>
                      <w:highlight w:val="none"/>
                    </w:rPr>
                    <w:t>38.40</w:t>
                  </w:r>
                </w:p>
              </w:tc>
              <w:tc>
                <w:tcPr>
                  <w:tcW w:w="1091" w:type="dxa"/>
                  <w:vAlign w:val="center"/>
                </w:tcPr>
                <w:p>
                  <w:pPr>
                    <w:jc w:val="center"/>
                    <w:rPr>
                      <w:color w:val="0000FF"/>
                      <w:kern w:val="0"/>
                      <w:szCs w:val="22"/>
                      <w:highlight w:val="none"/>
                    </w:rPr>
                  </w:pPr>
                  <w:r>
                    <w:rPr>
                      <w:rFonts w:hint="eastAsia"/>
                      <w:color w:val="0000FF"/>
                      <w:kern w:val="0"/>
                      <w:szCs w:val="22"/>
                      <w:highlight w:val="none"/>
                    </w:rPr>
                    <w:t>38.40</w:t>
                  </w:r>
                </w:p>
              </w:tc>
              <w:tc>
                <w:tcPr>
                  <w:tcW w:w="1091" w:type="dxa"/>
                  <w:vAlign w:val="center"/>
                </w:tcPr>
                <w:p>
                  <w:pPr>
                    <w:jc w:val="center"/>
                    <w:rPr>
                      <w:color w:val="0000FF"/>
                      <w:kern w:val="0"/>
                      <w:szCs w:val="22"/>
                      <w:highlight w:val="none"/>
                    </w:rPr>
                  </w:pPr>
                  <w:r>
                    <w:rPr>
                      <w:rFonts w:hint="eastAsia"/>
                      <w:color w:val="0000FF"/>
                      <w:kern w:val="0"/>
                      <w:szCs w:val="22"/>
                      <w:highlight w:val="none"/>
                    </w:rPr>
                    <w:t>0</w:t>
                  </w:r>
                </w:p>
              </w:tc>
              <w:tc>
                <w:tcPr>
                  <w:tcW w:w="1091" w:type="dxa"/>
                  <w:vAlign w:val="center"/>
                </w:tcPr>
                <w:p>
                  <w:pPr>
                    <w:jc w:val="center"/>
                    <w:rPr>
                      <w:color w:val="0000FF"/>
                      <w:kern w:val="0"/>
                      <w:szCs w:val="22"/>
                      <w:highlight w:val="none"/>
                    </w:rPr>
                  </w:pPr>
                  <w:r>
                    <w:rPr>
                      <w:rFonts w:hint="eastAsia"/>
                      <w:color w:val="0000FF"/>
                      <w:kern w:val="0"/>
                      <w:szCs w:val="22"/>
                      <w:highlight w:val="none"/>
                    </w:rPr>
                    <w:t>34.56</w:t>
                  </w:r>
                </w:p>
              </w:tc>
              <w:tc>
                <w:tcPr>
                  <w:tcW w:w="1091" w:type="dxa"/>
                  <w:vAlign w:val="center"/>
                </w:tcPr>
                <w:p>
                  <w:pPr>
                    <w:jc w:val="center"/>
                    <w:rPr>
                      <w:color w:val="0000FF"/>
                      <w:kern w:val="0"/>
                      <w:szCs w:val="22"/>
                      <w:highlight w:val="none"/>
                    </w:rPr>
                  </w:pPr>
                  <w:r>
                    <w:rPr>
                      <w:rFonts w:hint="eastAsia"/>
                      <w:color w:val="0000FF"/>
                      <w:kern w:val="0"/>
                      <w:szCs w:val="22"/>
                      <w:highlight w:val="none"/>
                    </w:rPr>
                    <w:t>0</w:t>
                  </w:r>
                </w:p>
              </w:tc>
              <w:tc>
                <w:tcPr>
                  <w:tcW w:w="1094" w:type="dxa"/>
                  <w:tcBorders>
                    <w:right w:val="nil"/>
                  </w:tcBorders>
                  <w:vAlign w:val="center"/>
                </w:tcPr>
                <w:p>
                  <w:pPr>
                    <w:jc w:val="center"/>
                    <w:rPr>
                      <w:color w:val="0000FF"/>
                      <w:kern w:val="0"/>
                      <w:szCs w:val="22"/>
                      <w:highlight w:val="none"/>
                    </w:rPr>
                  </w:pPr>
                  <w:r>
                    <w:rPr>
                      <w:rFonts w:hint="eastAsia"/>
                      <w:color w:val="0000FF"/>
                      <w:kern w:val="0"/>
                      <w:szCs w:val="22"/>
                      <w:highlight w:val="none"/>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color w:val="0000FF"/>
                      <w:kern w:val="0"/>
                      <w:highlight w:val="none"/>
                    </w:rPr>
                  </w:pPr>
                  <w:r>
                    <w:rPr>
                      <w:rFonts w:hint="eastAsia"/>
                      <w:color w:val="0000FF"/>
                      <w:kern w:val="0"/>
                      <w:highlight w:val="none"/>
                    </w:rPr>
                    <w:t>3</w:t>
                  </w:r>
                </w:p>
              </w:tc>
              <w:tc>
                <w:tcPr>
                  <w:tcW w:w="1376" w:type="dxa"/>
                  <w:vAlign w:val="center"/>
                </w:tcPr>
                <w:p>
                  <w:pPr>
                    <w:snapToGrid w:val="0"/>
                    <w:jc w:val="center"/>
                    <w:rPr>
                      <w:color w:val="0000FF"/>
                      <w:kern w:val="0"/>
                      <w:highlight w:val="none"/>
                    </w:rPr>
                  </w:pPr>
                  <w:r>
                    <w:rPr>
                      <w:color w:val="0000FF"/>
                      <w:highlight w:val="none"/>
                    </w:rPr>
                    <w:t>CIP 系统用水</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109.1</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109.1</w:t>
                  </w:r>
                </w:p>
              </w:tc>
              <w:tc>
                <w:tcPr>
                  <w:tcW w:w="1091" w:type="dxa"/>
                  <w:vAlign w:val="center"/>
                </w:tcPr>
                <w:p>
                  <w:pPr>
                    <w:jc w:val="center"/>
                    <w:rPr>
                      <w:color w:val="0000FF"/>
                      <w:kern w:val="0"/>
                      <w:highlight w:val="none"/>
                    </w:rPr>
                  </w:pPr>
                  <w:r>
                    <w:rPr>
                      <w:rFonts w:hint="eastAsia"/>
                      <w:color w:val="0000FF"/>
                      <w:kern w:val="0"/>
                      <w:highlight w:val="none"/>
                    </w:rPr>
                    <w:t>0</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98.19</w:t>
                  </w:r>
                </w:p>
              </w:tc>
              <w:tc>
                <w:tcPr>
                  <w:tcW w:w="1091" w:type="dxa"/>
                  <w:vAlign w:val="center"/>
                </w:tcPr>
                <w:p>
                  <w:pPr>
                    <w:jc w:val="center"/>
                    <w:rPr>
                      <w:color w:val="0000FF"/>
                      <w:kern w:val="0"/>
                      <w:highlight w:val="none"/>
                    </w:rPr>
                  </w:pPr>
                  <w:r>
                    <w:rPr>
                      <w:rFonts w:hint="eastAsia"/>
                      <w:color w:val="0000FF"/>
                      <w:kern w:val="0"/>
                      <w:highlight w:val="none"/>
                    </w:rPr>
                    <w:t>0</w:t>
                  </w:r>
                </w:p>
              </w:tc>
              <w:tc>
                <w:tcPr>
                  <w:tcW w:w="1094" w:type="dxa"/>
                  <w:tcBorders>
                    <w:right w:val="nil"/>
                  </w:tcBorders>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color w:val="0000FF"/>
                      <w:kern w:val="0"/>
                      <w:highlight w:val="none"/>
                    </w:rPr>
                  </w:pPr>
                  <w:r>
                    <w:rPr>
                      <w:rFonts w:hint="eastAsia"/>
                      <w:color w:val="0000FF"/>
                      <w:kern w:val="0"/>
                      <w:highlight w:val="none"/>
                    </w:rPr>
                    <w:t>4</w:t>
                  </w:r>
                </w:p>
              </w:tc>
              <w:tc>
                <w:tcPr>
                  <w:tcW w:w="1376" w:type="dxa"/>
                  <w:vAlign w:val="center"/>
                </w:tcPr>
                <w:p>
                  <w:pPr>
                    <w:snapToGrid w:val="0"/>
                    <w:jc w:val="center"/>
                    <w:rPr>
                      <w:color w:val="0000FF"/>
                      <w:kern w:val="0"/>
                      <w:highlight w:val="none"/>
                    </w:rPr>
                  </w:pPr>
                  <w:r>
                    <w:rPr>
                      <w:color w:val="0000FF"/>
                      <w:highlight w:val="none"/>
                    </w:rPr>
                    <w:t>检验用水</w:t>
                  </w:r>
                </w:p>
              </w:tc>
              <w:tc>
                <w:tcPr>
                  <w:tcW w:w="1091" w:type="dxa"/>
                  <w:vAlign w:val="center"/>
                </w:tcPr>
                <w:p>
                  <w:pPr>
                    <w:jc w:val="center"/>
                    <w:rPr>
                      <w:color w:val="0000FF"/>
                      <w:kern w:val="0"/>
                      <w:highlight w:val="none"/>
                    </w:rPr>
                  </w:pPr>
                  <w:r>
                    <w:rPr>
                      <w:rFonts w:hint="eastAsia"/>
                      <w:color w:val="0000FF"/>
                      <w:kern w:val="0"/>
                      <w:highlight w:val="none"/>
                    </w:rPr>
                    <w:t>1.00</w:t>
                  </w:r>
                </w:p>
              </w:tc>
              <w:tc>
                <w:tcPr>
                  <w:tcW w:w="1091" w:type="dxa"/>
                  <w:vAlign w:val="center"/>
                </w:tcPr>
                <w:p>
                  <w:pPr>
                    <w:jc w:val="center"/>
                    <w:rPr>
                      <w:color w:val="0000FF"/>
                      <w:kern w:val="0"/>
                      <w:highlight w:val="none"/>
                    </w:rPr>
                  </w:pPr>
                  <w:r>
                    <w:rPr>
                      <w:rFonts w:hint="eastAsia"/>
                      <w:color w:val="0000FF"/>
                      <w:kern w:val="0"/>
                      <w:highlight w:val="none"/>
                    </w:rPr>
                    <w:t>1.00</w:t>
                  </w:r>
                </w:p>
              </w:tc>
              <w:tc>
                <w:tcPr>
                  <w:tcW w:w="1091" w:type="dxa"/>
                  <w:vAlign w:val="center"/>
                </w:tcPr>
                <w:p>
                  <w:pPr>
                    <w:jc w:val="center"/>
                    <w:rPr>
                      <w:color w:val="0000FF"/>
                      <w:kern w:val="0"/>
                      <w:highlight w:val="none"/>
                    </w:rPr>
                  </w:pPr>
                  <w:r>
                    <w:rPr>
                      <w:rFonts w:hint="eastAsia"/>
                      <w:color w:val="0000FF"/>
                      <w:kern w:val="0"/>
                      <w:highlight w:val="none"/>
                    </w:rPr>
                    <w:t>0</w:t>
                  </w:r>
                </w:p>
              </w:tc>
              <w:tc>
                <w:tcPr>
                  <w:tcW w:w="1091" w:type="dxa"/>
                  <w:vAlign w:val="center"/>
                </w:tcPr>
                <w:p>
                  <w:pPr>
                    <w:jc w:val="center"/>
                    <w:rPr>
                      <w:color w:val="0000FF"/>
                      <w:kern w:val="0"/>
                      <w:highlight w:val="none"/>
                    </w:rPr>
                  </w:pPr>
                  <w:r>
                    <w:rPr>
                      <w:rFonts w:hint="eastAsia"/>
                      <w:color w:val="0000FF"/>
                      <w:kern w:val="0"/>
                      <w:highlight w:val="none"/>
                    </w:rPr>
                    <w:t>0.90</w:t>
                  </w:r>
                </w:p>
              </w:tc>
              <w:tc>
                <w:tcPr>
                  <w:tcW w:w="1091" w:type="dxa"/>
                  <w:vAlign w:val="center"/>
                </w:tcPr>
                <w:p>
                  <w:pPr>
                    <w:jc w:val="center"/>
                    <w:rPr>
                      <w:color w:val="0000FF"/>
                      <w:kern w:val="0"/>
                      <w:highlight w:val="none"/>
                    </w:rPr>
                  </w:pPr>
                  <w:r>
                    <w:rPr>
                      <w:rFonts w:hint="eastAsia"/>
                      <w:color w:val="0000FF"/>
                      <w:kern w:val="0"/>
                      <w:highlight w:val="none"/>
                    </w:rPr>
                    <w:t>0</w:t>
                  </w:r>
                </w:p>
              </w:tc>
              <w:tc>
                <w:tcPr>
                  <w:tcW w:w="1094" w:type="dxa"/>
                  <w:tcBorders>
                    <w:right w:val="nil"/>
                  </w:tcBorders>
                  <w:vAlign w:val="center"/>
                </w:tcPr>
                <w:p>
                  <w:pPr>
                    <w:jc w:val="center"/>
                    <w:rPr>
                      <w:color w:val="0000FF"/>
                      <w:kern w:val="0"/>
                      <w:highlight w:val="none"/>
                    </w:rPr>
                  </w:pPr>
                  <w:r>
                    <w:rPr>
                      <w:rFonts w:hint="eastAsia"/>
                      <w:color w:val="0000FF"/>
                      <w:kern w:val="0"/>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rFonts w:hint="eastAsia" w:eastAsia="宋体"/>
                      <w:color w:val="0000FF"/>
                      <w:kern w:val="0"/>
                      <w:highlight w:val="none"/>
                      <w:lang w:eastAsia="zh-CN"/>
                    </w:rPr>
                  </w:pPr>
                  <w:r>
                    <w:rPr>
                      <w:rFonts w:hint="eastAsia"/>
                      <w:color w:val="0000FF"/>
                      <w:kern w:val="0"/>
                      <w:highlight w:val="none"/>
                      <w:lang w:val="en-US" w:eastAsia="zh-CN"/>
                    </w:rPr>
                    <w:t>5</w:t>
                  </w:r>
                </w:p>
              </w:tc>
              <w:tc>
                <w:tcPr>
                  <w:tcW w:w="1376" w:type="dxa"/>
                  <w:vAlign w:val="center"/>
                </w:tcPr>
                <w:p>
                  <w:pPr>
                    <w:snapToGrid w:val="0"/>
                    <w:jc w:val="center"/>
                    <w:rPr>
                      <w:color w:val="0000FF"/>
                      <w:highlight w:val="none"/>
                    </w:rPr>
                  </w:pPr>
                  <w:r>
                    <w:rPr>
                      <w:rFonts w:hint="eastAsia"/>
                      <w:color w:val="0000FF"/>
                      <w:highlight w:val="none"/>
                    </w:rPr>
                    <w:t>锅炉用水</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33.41</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12.41</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21</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1.91</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21</w:t>
                  </w:r>
                </w:p>
              </w:tc>
              <w:tc>
                <w:tcPr>
                  <w:tcW w:w="1094" w:type="dxa"/>
                  <w:tcBorders>
                    <w:right w:val="nil"/>
                  </w:tcBorders>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rFonts w:hint="eastAsia" w:eastAsia="宋体"/>
                      <w:color w:val="0000FF"/>
                      <w:kern w:val="0"/>
                      <w:highlight w:val="none"/>
                      <w:lang w:eastAsia="zh-CN"/>
                    </w:rPr>
                  </w:pPr>
                  <w:r>
                    <w:rPr>
                      <w:rFonts w:hint="eastAsia"/>
                      <w:color w:val="0000FF"/>
                      <w:kern w:val="0"/>
                      <w:highlight w:val="none"/>
                      <w:lang w:val="en-US" w:eastAsia="zh-CN"/>
                    </w:rPr>
                    <w:t>6</w:t>
                  </w:r>
                </w:p>
              </w:tc>
              <w:tc>
                <w:tcPr>
                  <w:tcW w:w="1376" w:type="dxa"/>
                  <w:vAlign w:val="center"/>
                </w:tcPr>
                <w:p>
                  <w:pPr>
                    <w:snapToGrid w:val="0"/>
                    <w:jc w:val="center"/>
                    <w:rPr>
                      <w:color w:val="0000FF"/>
                      <w:highlight w:val="none"/>
                    </w:rPr>
                  </w:pPr>
                  <w:r>
                    <w:rPr>
                      <w:rFonts w:hint="eastAsia"/>
                      <w:color w:val="0000FF"/>
                      <w:highlight w:val="none"/>
                    </w:rPr>
                    <w:t>地面清洗用水</w:t>
                  </w:r>
                </w:p>
              </w:tc>
              <w:tc>
                <w:tcPr>
                  <w:tcW w:w="1091" w:type="dxa"/>
                  <w:vAlign w:val="center"/>
                </w:tcPr>
                <w:p>
                  <w:pPr>
                    <w:jc w:val="center"/>
                    <w:rPr>
                      <w:color w:val="0000FF"/>
                      <w:kern w:val="0"/>
                      <w:highlight w:val="none"/>
                    </w:rPr>
                  </w:pPr>
                  <w:r>
                    <w:rPr>
                      <w:rFonts w:hint="eastAsia"/>
                      <w:color w:val="0000FF"/>
                      <w:kern w:val="0"/>
                      <w:highlight w:val="none"/>
                    </w:rPr>
                    <w:t>2.40</w:t>
                  </w:r>
                </w:p>
              </w:tc>
              <w:tc>
                <w:tcPr>
                  <w:tcW w:w="1091" w:type="dxa"/>
                  <w:vAlign w:val="center"/>
                </w:tcPr>
                <w:p>
                  <w:pPr>
                    <w:jc w:val="center"/>
                    <w:rPr>
                      <w:color w:val="0000FF"/>
                      <w:kern w:val="0"/>
                      <w:highlight w:val="none"/>
                    </w:rPr>
                  </w:pPr>
                  <w:r>
                    <w:rPr>
                      <w:rFonts w:hint="eastAsia"/>
                      <w:color w:val="0000FF"/>
                      <w:kern w:val="0"/>
                      <w:highlight w:val="none"/>
                    </w:rPr>
                    <w:t>2.40</w:t>
                  </w:r>
                </w:p>
              </w:tc>
              <w:tc>
                <w:tcPr>
                  <w:tcW w:w="1091" w:type="dxa"/>
                  <w:vAlign w:val="center"/>
                </w:tcPr>
                <w:p>
                  <w:pPr>
                    <w:jc w:val="center"/>
                    <w:rPr>
                      <w:color w:val="0000FF"/>
                      <w:kern w:val="0"/>
                      <w:highlight w:val="none"/>
                    </w:rPr>
                  </w:pPr>
                  <w:r>
                    <w:rPr>
                      <w:rFonts w:hint="eastAsia"/>
                      <w:color w:val="0000FF"/>
                      <w:kern w:val="0"/>
                      <w:highlight w:val="none"/>
                    </w:rPr>
                    <w:t>0</w:t>
                  </w:r>
                </w:p>
              </w:tc>
              <w:tc>
                <w:tcPr>
                  <w:tcW w:w="1091" w:type="dxa"/>
                  <w:vAlign w:val="center"/>
                </w:tcPr>
                <w:p>
                  <w:pPr>
                    <w:jc w:val="center"/>
                    <w:rPr>
                      <w:color w:val="0000FF"/>
                      <w:kern w:val="0"/>
                      <w:highlight w:val="none"/>
                    </w:rPr>
                  </w:pPr>
                  <w:r>
                    <w:rPr>
                      <w:rFonts w:hint="eastAsia"/>
                      <w:color w:val="0000FF"/>
                      <w:kern w:val="0"/>
                      <w:highlight w:val="none"/>
                    </w:rPr>
                    <w:t>1.44</w:t>
                  </w:r>
                </w:p>
              </w:tc>
              <w:tc>
                <w:tcPr>
                  <w:tcW w:w="1091" w:type="dxa"/>
                  <w:vAlign w:val="center"/>
                </w:tcPr>
                <w:p>
                  <w:pPr>
                    <w:jc w:val="center"/>
                    <w:rPr>
                      <w:color w:val="0000FF"/>
                      <w:kern w:val="0"/>
                      <w:highlight w:val="none"/>
                    </w:rPr>
                  </w:pPr>
                  <w:r>
                    <w:rPr>
                      <w:rFonts w:hint="eastAsia"/>
                      <w:color w:val="0000FF"/>
                      <w:kern w:val="0"/>
                      <w:highlight w:val="none"/>
                    </w:rPr>
                    <w:t>0</w:t>
                  </w:r>
                </w:p>
              </w:tc>
              <w:tc>
                <w:tcPr>
                  <w:tcW w:w="1094" w:type="dxa"/>
                  <w:tcBorders>
                    <w:right w:val="nil"/>
                  </w:tcBorders>
                  <w:vAlign w:val="center"/>
                </w:tcPr>
                <w:p>
                  <w:pPr>
                    <w:jc w:val="center"/>
                    <w:rPr>
                      <w:color w:val="0000FF"/>
                      <w:kern w:val="0"/>
                      <w:highlight w:val="none"/>
                    </w:rPr>
                  </w:pPr>
                  <w:r>
                    <w:rPr>
                      <w:rFonts w:hint="eastAsia"/>
                      <w:color w:val="0000FF"/>
                      <w:kern w:val="0"/>
                      <w:highlight w:val="none"/>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vAlign w:val="center"/>
                </w:tcPr>
                <w:p>
                  <w:pPr>
                    <w:jc w:val="center"/>
                    <w:rPr>
                      <w:rFonts w:hint="default"/>
                      <w:color w:val="0000FF"/>
                      <w:kern w:val="0"/>
                      <w:highlight w:val="none"/>
                      <w:lang w:val="en-US" w:eastAsia="zh-CN"/>
                    </w:rPr>
                  </w:pPr>
                  <w:r>
                    <w:rPr>
                      <w:rFonts w:hint="eastAsia"/>
                      <w:color w:val="0000FF"/>
                      <w:kern w:val="0"/>
                      <w:highlight w:val="none"/>
                      <w:lang w:val="en-US" w:eastAsia="zh-CN"/>
                    </w:rPr>
                    <w:t>7</w:t>
                  </w:r>
                </w:p>
              </w:tc>
              <w:tc>
                <w:tcPr>
                  <w:tcW w:w="1376" w:type="dxa"/>
                  <w:vAlign w:val="center"/>
                </w:tcPr>
                <w:p>
                  <w:pPr>
                    <w:snapToGrid w:val="0"/>
                    <w:jc w:val="center"/>
                    <w:rPr>
                      <w:rFonts w:hint="default" w:eastAsia="宋体"/>
                      <w:color w:val="0000FF"/>
                      <w:highlight w:val="none"/>
                      <w:lang w:val="en-US" w:eastAsia="zh-CN"/>
                    </w:rPr>
                  </w:pPr>
                  <w:r>
                    <w:rPr>
                      <w:rFonts w:hint="eastAsia"/>
                      <w:color w:val="0000FF"/>
                      <w:highlight w:val="none"/>
                      <w:lang w:val="en-US" w:eastAsia="zh-CN"/>
                    </w:rPr>
                    <w:t>绿化用水</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6.09</w:t>
                  </w:r>
                </w:p>
              </w:tc>
              <w:tc>
                <w:tcPr>
                  <w:tcW w:w="1091" w:type="dxa"/>
                  <w:vAlign w:val="center"/>
                </w:tcPr>
                <w:p>
                  <w:pPr>
                    <w:jc w:val="center"/>
                    <w:rPr>
                      <w:rFonts w:hint="eastAsia" w:eastAsia="宋体"/>
                      <w:color w:val="0000FF"/>
                      <w:kern w:val="0"/>
                      <w:highlight w:val="none"/>
                      <w:lang w:val="en-US" w:eastAsia="zh-CN"/>
                    </w:rPr>
                  </w:pPr>
                  <w:r>
                    <w:rPr>
                      <w:rFonts w:hint="eastAsia"/>
                      <w:color w:val="0000FF"/>
                      <w:kern w:val="0"/>
                      <w:highlight w:val="none"/>
                      <w:lang w:val="en-US" w:eastAsia="zh-CN"/>
                    </w:rPr>
                    <w:t>0</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6.09</w:t>
                  </w:r>
                </w:p>
              </w:tc>
              <w:tc>
                <w:tcPr>
                  <w:tcW w:w="1091" w:type="dxa"/>
                  <w:vAlign w:val="center"/>
                </w:tcPr>
                <w:p>
                  <w:pPr>
                    <w:jc w:val="center"/>
                    <w:rPr>
                      <w:rFonts w:hint="eastAsia" w:eastAsia="宋体"/>
                      <w:color w:val="0000FF"/>
                      <w:kern w:val="0"/>
                      <w:highlight w:val="none"/>
                      <w:lang w:val="en-US" w:eastAsia="zh-CN"/>
                    </w:rPr>
                  </w:pPr>
                  <w:r>
                    <w:rPr>
                      <w:rFonts w:hint="eastAsia"/>
                      <w:color w:val="0000FF"/>
                      <w:kern w:val="0"/>
                      <w:highlight w:val="none"/>
                      <w:lang w:val="en-US" w:eastAsia="zh-CN"/>
                    </w:rPr>
                    <w:t>0</w:t>
                  </w:r>
                </w:p>
              </w:tc>
              <w:tc>
                <w:tcPr>
                  <w:tcW w:w="1091" w:type="dxa"/>
                  <w:vAlign w:val="center"/>
                </w:tcPr>
                <w:p>
                  <w:pPr>
                    <w:jc w:val="center"/>
                    <w:rPr>
                      <w:rFonts w:hint="eastAsia" w:eastAsia="宋体"/>
                      <w:color w:val="0000FF"/>
                      <w:kern w:val="0"/>
                      <w:highlight w:val="none"/>
                      <w:lang w:val="en-US" w:eastAsia="zh-CN"/>
                    </w:rPr>
                  </w:pPr>
                  <w:r>
                    <w:rPr>
                      <w:rFonts w:hint="eastAsia"/>
                      <w:color w:val="0000FF"/>
                      <w:kern w:val="0"/>
                      <w:highlight w:val="none"/>
                      <w:lang w:val="en-US" w:eastAsia="zh-CN"/>
                    </w:rPr>
                    <w:t>0</w:t>
                  </w:r>
                </w:p>
              </w:tc>
              <w:tc>
                <w:tcPr>
                  <w:tcW w:w="1094" w:type="dxa"/>
                  <w:tcBorders>
                    <w:right w:val="nil"/>
                  </w:tcBorders>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5" w:type="dxa"/>
                  <w:gridSpan w:val="2"/>
                  <w:tcBorders>
                    <w:left w:val="nil"/>
                  </w:tcBorders>
                  <w:vAlign w:val="center"/>
                </w:tcPr>
                <w:p>
                  <w:pPr>
                    <w:jc w:val="center"/>
                    <w:rPr>
                      <w:color w:val="0000FF"/>
                      <w:kern w:val="0"/>
                      <w:highlight w:val="none"/>
                    </w:rPr>
                  </w:pPr>
                  <w:r>
                    <w:rPr>
                      <w:rFonts w:hint="eastAsia"/>
                      <w:color w:val="0000FF"/>
                      <w:kern w:val="0"/>
                      <w:highlight w:val="none"/>
                    </w:rPr>
                    <w:t>合计</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196.8</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169.71</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27.09</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142.12</w:t>
                  </w:r>
                </w:p>
              </w:tc>
              <w:tc>
                <w:tcPr>
                  <w:tcW w:w="1091" w:type="dxa"/>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21</w:t>
                  </w:r>
                </w:p>
              </w:tc>
              <w:tc>
                <w:tcPr>
                  <w:tcW w:w="1094" w:type="dxa"/>
                  <w:tcBorders>
                    <w:right w:val="nil"/>
                  </w:tcBorders>
                  <w:vAlign w:val="center"/>
                </w:tcPr>
                <w:p>
                  <w:pPr>
                    <w:jc w:val="center"/>
                    <w:rPr>
                      <w:rFonts w:hint="default" w:eastAsia="宋体"/>
                      <w:color w:val="0000FF"/>
                      <w:kern w:val="0"/>
                      <w:highlight w:val="none"/>
                      <w:lang w:val="en-US" w:eastAsia="zh-CN"/>
                    </w:rPr>
                  </w:pPr>
                  <w:r>
                    <w:rPr>
                      <w:rFonts w:hint="eastAsia"/>
                      <w:color w:val="0000FF"/>
                      <w:kern w:val="0"/>
                      <w:highlight w:val="none"/>
                      <w:lang w:val="en-US" w:eastAsia="zh-CN"/>
                    </w:rPr>
                    <w:t>33.68</w:t>
                  </w:r>
                </w:p>
              </w:tc>
            </w:tr>
          </w:tbl>
          <w:p>
            <w:pPr>
              <w:pStyle w:val="115"/>
              <w:autoSpaceDE w:val="0"/>
              <w:autoSpaceDN w:val="0"/>
              <w:ind w:firstLine="0" w:firstLineChars="0"/>
              <w:jc w:val="center"/>
              <w:rPr>
                <w:rFonts w:hint="eastAsia"/>
                <w:b/>
                <w:bCs/>
                <w:highlight w:val="none"/>
              </w:rPr>
            </w:pPr>
          </w:p>
          <w:p>
            <w:pPr>
              <w:pStyle w:val="115"/>
              <w:autoSpaceDE w:val="0"/>
              <w:autoSpaceDN w:val="0"/>
              <w:ind w:firstLine="0" w:firstLineChars="0"/>
              <w:jc w:val="center"/>
              <w:rPr>
                <w:b/>
                <w:bCs/>
                <w:highlight w:val="none"/>
              </w:rPr>
            </w:pPr>
            <w:r>
              <w:rPr>
                <w:rFonts w:hint="eastAsia"/>
                <w:b/>
                <w:bCs/>
                <w:highlight w:val="none"/>
              </w:rPr>
              <w:drawing>
                <wp:inline distT="0" distB="0" distL="114300" distR="114300">
                  <wp:extent cx="5363845" cy="2584450"/>
                  <wp:effectExtent l="0" t="0" r="0" b="0"/>
                  <wp:docPr id="7" name="ECB019B1-382A-4266-B25C-5B523AA43C14-1" descr="C:/Users/ZhuanZ（无密码）/AppData/Local/Temp/wps.ZgfVR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1" descr="C:/Users/ZhuanZ（无密码）/AppData/Local/Temp/wps.ZgfVRXwps"/>
                          <pic:cNvPicPr>
                            <a:picLocks noChangeAspect="1"/>
                          </pic:cNvPicPr>
                        </pic:nvPicPr>
                        <pic:blipFill>
                          <a:blip r:embed="rId9"/>
                          <a:stretch>
                            <a:fillRect/>
                          </a:stretch>
                        </pic:blipFill>
                        <pic:spPr>
                          <a:xfrm>
                            <a:off x="0" y="0"/>
                            <a:ext cx="5363845" cy="2584450"/>
                          </a:xfrm>
                          <a:prstGeom prst="rect">
                            <a:avLst/>
                          </a:prstGeom>
                        </pic:spPr>
                      </pic:pic>
                    </a:graphicData>
                  </a:graphic>
                </wp:inline>
              </w:drawing>
            </w:r>
          </w:p>
          <w:p>
            <w:pPr>
              <w:jc w:val="center"/>
              <w:rPr>
                <w:b/>
                <w:highlight w:val="none"/>
              </w:rPr>
            </w:pPr>
            <w:r>
              <w:rPr>
                <w:rFonts w:hint="eastAsia"/>
                <w:b/>
                <w:highlight w:val="none"/>
              </w:rPr>
              <w:t>图2-1 项目水平衡图</w:t>
            </w:r>
          </w:p>
          <w:p>
            <w:pPr>
              <w:numPr>
                <w:ilvl w:val="0"/>
                <w:numId w:val="4"/>
              </w:numPr>
              <w:spacing w:line="360" w:lineRule="auto"/>
              <w:ind w:firstLine="481" w:firstLineChars="200"/>
              <w:rPr>
                <w:b/>
                <w:bCs/>
                <w:kern w:val="0"/>
                <w:sz w:val="24"/>
                <w:szCs w:val="20"/>
                <w:highlight w:val="none"/>
              </w:rPr>
            </w:pPr>
            <w:r>
              <w:rPr>
                <w:rFonts w:hint="eastAsia"/>
                <w:b/>
                <w:bCs/>
                <w:kern w:val="0"/>
                <w:sz w:val="24"/>
                <w:szCs w:val="20"/>
                <w:highlight w:val="none"/>
              </w:rPr>
              <w:t>物料平衡</w:t>
            </w:r>
          </w:p>
          <w:p>
            <w:pPr>
              <w:jc w:val="center"/>
              <w:rPr>
                <w:color w:val="0000FF"/>
                <w:highlight w:val="none"/>
              </w:rPr>
            </w:pPr>
            <w:r>
              <w:rPr>
                <w:b/>
                <w:color w:val="0000FF"/>
                <w:highlight w:val="none"/>
              </w:rPr>
              <w:t>表</w:t>
            </w:r>
            <w:r>
              <w:rPr>
                <w:rFonts w:hint="eastAsia"/>
                <w:b/>
                <w:color w:val="0000FF"/>
                <w:highlight w:val="none"/>
              </w:rPr>
              <w:t>2</w:t>
            </w:r>
            <w:r>
              <w:rPr>
                <w:b/>
                <w:color w:val="0000FF"/>
                <w:highlight w:val="none"/>
              </w:rPr>
              <w:t>-</w:t>
            </w:r>
            <w:r>
              <w:rPr>
                <w:rFonts w:hint="eastAsia"/>
                <w:b/>
                <w:color w:val="0000FF"/>
                <w:highlight w:val="none"/>
                <w:lang w:val="en-US" w:eastAsia="zh-CN"/>
              </w:rPr>
              <w:t>10</w:t>
            </w:r>
            <w:r>
              <w:rPr>
                <w:b/>
                <w:color w:val="0000FF"/>
                <w:highlight w:val="none"/>
              </w:rPr>
              <w:t xml:space="preserve"> </w:t>
            </w:r>
            <w:r>
              <w:rPr>
                <w:rFonts w:hint="eastAsia"/>
                <w:b/>
                <w:color w:val="0000FF"/>
                <w:highlight w:val="none"/>
              </w:rPr>
              <w:t>项目物料平衡</w:t>
            </w:r>
            <w:r>
              <w:rPr>
                <w:b/>
                <w:color w:val="0000FF"/>
                <w:highlight w:val="none"/>
              </w:rPr>
              <w:t>表</w:t>
            </w:r>
          </w:p>
          <w:tbl>
            <w:tblPr>
              <w:tblStyle w:val="39"/>
              <w:tblW w:w="850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87"/>
              <w:gridCol w:w="1519"/>
              <w:gridCol w:w="825"/>
              <w:gridCol w:w="2390"/>
              <w:gridCol w:w="13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59" w:type="dxa"/>
                  <w:gridSpan w:val="3"/>
                  <w:tcBorders>
                    <w:tl2br w:val="nil"/>
                    <w:tr2bl w:val="nil"/>
                  </w:tcBorders>
                  <w:shd w:val="clear" w:color="auto" w:fill="FFFFFF"/>
                  <w:vAlign w:val="center"/>
                </w:tcPr>
                <w:p>
                  <w:pPr>
                    <w:pStyle w:val="58"/>
                    <w:adjustRightInd/>
                    <w:snapToGrid/>
                    <w:spacing w:before="0"/>
                    <w:jc w:val="center"/>
                    <w:rPr>
                      <w:b/>
                      <w:color w:val="0000FF"/>
                      <w:sz w:val="21"/>
                      <w:szCs w:val="21"/>
                      <w:highlight w:val="none"/>
                    </w:rPr>
                  </w:pPr>
                  <w:r>
                    <w:rPr>
                      <w:rFonts w:hint="eastAsia"/>
                      <w:b/>
                      <w:color w:val="0000FF"/>
                      <w:sz w:val="21"/>
                      <w:szCs w:val="21"/>
                      <w:highlight w:val="none"/>
                    </w:rPr>
                    <w:t>投入</w:t>
                  </w:r>
                </w:p>
              </w:tc>
              <w:tc>
                <w:tcPr>
                  <w:tcW w:w="4545" w:type="dxa"/>
                  <w:gridSpan w:val="3"/>
                  <w:tcBorders>
                    <w:tl2br w:val="nil"/>
                    <w:tr2bl w:val="nil"/>
                  </w:tcBorders>
                  <w:shd w:val="clear" w:color="auto" w:fill="FFFFFF"/>
                  <w:vAlign w:val="center"/>
                </w:tcPr>
                <w:p>
                  <w:pPr>
                    <w:pStyle w:val="58"/>
                    <w:adjustRightInd/>
                    <w:snapToGrid/>
                    <w:spacing w:before="0"/>
                    <w:jc w:val="center"/>
                    <w:rPr>
                      <w:b/>
                      <w:color w:val="0000FF"/>
                      <w:sz w:val="21"/>
                      <w:szCs w:val="21"/>
                      <w:highlight w:val="none"/>
                    </w:rPr>
                  </w:pPr>
                  <w:r>
                    <w:rPr>
                      <w:rFonts w:hint="eastAsia"/>
                      <w:b/>
                      <w:color w:val="0000FF"/>
                      <w:sz w:val="21"/>
                      <w:szCs w:val="21"/>
                      <w:highlight w:val="none"/>
                    </w:rPr>
                    <w:t>产出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3" w:type="dxa"/>
                  <w:tcBorders>
                    <w:tl2br w:val="nil"/>
                    <w:tr2bl w:val="nil"/>
                  </w:tcBorders>
                  <w:shd w:val="clear" w:color="auto" w:fill="FFFFFF"/>
                  <w:vAlign w:val="center"/>
                </w:tcPr>
                <w:p>
                  <w:pPr>
                    <w:pStyle w:val="58"/>
                    <w:adjustRightInd/>
                    <w:snapToGrid/>
                    <w:rPr>
                      <w:b/>
                      <w:color w:val="0000FF"/>
                      <w:sz w:val="21"/>
                      <w:szCs w:val="21"/>
                      <w:highlight w:val="none"/>
                    </w:rPr>
                  </w:pPr>
                  <w:r>
                    <w:rPr>
                      <w:rFonts w:hint="eastAsia"/>
                      <w:b/>
                      <w:color w:val="0000FF"/>
                      <w:sz w:val="21"/>
                      <w:szCs w:val="21"/>
                      <w:highlight w:val="none"/>
                    </w:rPr>
                    <w:t>序号</w:t>
                  </w:r>
                </w:p>
              </w:tc>
              <w:tc>
                <w:tcPr>
                  <w:tcW w:w="1687" w:type="dxa"/>
                  <w:tcBorders>
                    <w:tl2br w:val="nil"/>
                    <w:tr2bl w:val="nil"/>
                  </w:tcBorders>
                  <w:shd w:val="clear" w:color="auto" w:fill="FFFFFF"/>
                  <w:vAlign w:val="center"/>
                </w:tcPr>
                <w:p>
                  <w:pPr>
                    <w:pStyle w:val="58"/>
                    <w:adjustRightInd/>
                    <w:snapToGrid/>
                    <w:rPr>
                      <w:b/>
                      <w:color w:val="0000FF"/>
                      <w:sz w:val="21"/>
                      <w:szCs w:val="21"/>
                      <w:highlight w:val="none"/>
                    </w:rPr>
                  </w:pPr>
                  <w:r>
                    <w:rPr>
                      <w:rFonts w:hint="eastAsia"/>
                      <w:b/>
                      <w:color w:val="0000FF"/>
                      <w:sz w:val="21"/>
                      <w:szCs w:val="21"/>
                      <w:highlight w:val="none"/>
                    </w:rPr>
                    <w:t>物料名称</w:t>
                  </w:r>
                </w:p>
              </w:tc>
              <w:tc>
                <w:tcPr>
                  <w:tcW w:w="1519" w:type="dxa"/>
                  <w:tcBorders>
                    <w:tl2br w:val="nil"/>
                    <w:tr2bl w:val="nil"/>
                  </w:tcBorders>
                  <w:shd w:val="clear" w:color="auto" w:fill="FFFFFF"/>
                  <w:vAlign w:val="center"/>
                </w:tcPr>
                <w:p>
                  <w:pPr>
                    <w:pStyle w:val="58"/>
                    <w:adjustRightInd/>
                    <w:snapToGrid/>
                    <w:rPr>
                      <w:b/>
                      <w:color w:val="0000FF"/>
                      <w:sz w:val="21"/>
                      <w:szCs w:val="21"/>
                      <w:highlight w:val="none"/>
                    </w:rPr>
                  </w:pPr>
                  <w:r>
                    <w:rPr>
                      <w:rFonts w:hint="eastAsia"/>
                      <w:b/>
                      <w:color w:val="0000FF"/>
                      <w:sz w:val="21"/>
                      <w:szCs w:val="21"/>
                      <w:highlight w:val="none"/>
                    </w:rPr>
                    <w:t>数量t/a</w:t>
                  </w:r>
                </w:p>
              </w:tc>
              <w:tc>
                <w:tcPr>
                  <w:tcW w:w="825" w:type="dxa"/>
                  <w:tcBorders>
                    <w:tl2br w:val="nil"/>
                    <w:tr2bl w:val="nil"/>
                  </w:tcBorders>
                  <w:shd w:val="clear" w:color="auto" w:fill="FFFFFF"/>
                  <w:vAlign w:val="center"/>
                </w:tcPr>
                <w:p>
                  <w:pPr>
                    <w:pStyle w:val="58"/>
                    <w:adjustRightInd/>
                    <w:snapToGrid/>
                    <w:rPr>
                      <w:b/>
                      <w:color w:val="0000FF"/>
                      <w:sz w:val="21"/>
                      <w:szCs w:val="21"/>
                      <w:highlight w:val="none"/>
                    </w:rPr>
                  </w:pPr>
                  <w:r>
                    <w:rPr>
                      <w:rFonts w:hint="eastAsia"/>
                      <w:b/>
                      <w:color w:val="0000FF"/>
                      <w:sz w:val="21"/>
                      <w:szCs w:val="21"/>
                      <w:highlight w:val="none"/>
                    </w:rPr>
                    <w:t>序号</w:t>
                  </w:r>
                </w:p>
              </w:tc>
              <w:tc>
                <w:tcPr>
                  <w:tcW w:w="2390" w:type="dxa"/>
                  <w:tcBorders>
                    <w:tl2br w:val="nil"/>
                    <w:tr2bl w:val="nil"/>
                  </w:tcBorders>
                  <w:shd w:val="clear" w:color="auto" w:fill="FFFFFF"/>
                  <w:vAlign w:val="center"/>
                </w:tcPr>
                <w:p>
                  <w:pPr>
                    <w:pStyle w:val="58"/>
                    <w:adjustRightInd/>
                    <w:snapToGrid/>
                    <w:rPr>
                      <w:b/>
                      <w:color w:val="0000FF"/>
                      <w:sz w:val="21"/>
                      <w:szCs w:val="21"/>
                      <w:highlight w:val="none"/>
                    </w:rPr>
                  </w:pPr>
                  <w:r>
                    <w:rPr>
                      <w:rFonts w:hint="eastAsia"/>
                      <w:b/>
                      <w:color w:val="0000FF"/>
                      <w:sz w:val="21"/>
                      <w:szCs w:val="21"/>
                      <w:highlight w:val="none"/>
                    </w:rPr>
                    <w:t>物料名称</w:t>
                  </w:r>
                </w:p>
              </w:tc>
              <w:tc>
                <w:tcPr>
                  <w:tcW w:w="1330" w:type="dxa"/>
                  <w:tcBorders>
                    <w:tl2br w:val="nil"/>
                    <w:tr2bl w:val="nil"/>
                  </w:tcBorders>
                  <w:shd w:val="clear" w:color="auto" w:fill="FFFFFF"/>
                  <w:vAlign w:val="center"/>
                </w:tcPr>
                <w:p>
                  <w:pPr>
                    <w:pStyle w:val="58"/>
                    <w:adjustRightInd/>
                    <w:snapToGrid/>
                    <w:rPr>
                      <w:b/>
                      <w:color w:val="0000FF"/>
                      <w:sz w:val="21"/>
                      <w:szCs w:val="21"/>
                      <w:highlight w:val="none"/>
                    </w:rPr>
                  </w:pPr>
                  <w:r>
                    <w:rPr>
                      <w:rFonts w:hint="eastAsia"/>
                      <w:b/>
                      <w:color w:val="0000FF"/>
                      <w:sz w:val="21"/>
                      <w:szCs w:val="21"/>
                      <w:highlight w:val="none"/>
                    </w:rPr>
                    <w:t>数量t/a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r>
                    <w:rPr>
                      <w:rFonts w:hint="eastAsia"/>
                      <w:bCs/>
                      <w:color w:val="0000FF"/>
                      <w:sz w:val="21"/>
                      <w:szCs w:val="21"/>
                      <w:highlight w:val="none"/>
                    </w:rPr>
                    <w:t>1</w:t>
                  </w:r>
                </w:p>
              </w:tc>
              <w:tc>
                <w:tcPr>
                  <w:tcW w:w="1687" w:type="dxa"/>
                  <w:tcBorders>
                    <w:tl2br w:val="nil"/>
                    <w:tr2bl w:val="nil"/>
                  </w:tcBorders>
                  <w:shd w:val="clear" w:color="auto" w:fill="FFFFFF"/>
                  <w:vAlign w:val="center"/>
                </w:tcPr>
                <w:p>
                  <w:pPr>
                    <w:pStyle w:val="2"/>
                    <w:adjustRightInd/>
                    <w:spacing w:before="0" w:after="0"/>
                    <w:jc w:val="center"/>
                    <w:rPr>
                      <w:rFonts w:ascii="Times New Roman" w:hAnsi="Times New Roman" w:cs="Times New Roman"/>
                      <w:bCs/>
                      <w:color w:val="0000FF"/>
                      <w:sz w:val="21"/>
                      <w:szCs w:val="21"/>
                      <w:highlight w:val="none"/>
                    </w:rPr>
                  </w:pPr>
                  <w:r>
                    <w:rPr>
                      <w:rFonts w:hint="eastAsia" w:ascii="Times New Roman" w:hAnsi="Times New Roman" w:cs="Times New Roman"/>
                      <w:bCs/>
                      <w:color w:val="0000FF"/>
                      <w:sz w:val="21"/>
                      <w:szCs w:val="21"/>
                      <w:highlight w:val="none"/>
                    </w:rPr>
                    <w:t>鲜鸡蛋</w:t>
                  </w:r>
                </w:p>
              </w:tc>
              <w:tc>
                <w:tcPr>
                  <w:tcW w:w="1519" w:type="dxa"/>
                  <w:tcBorders>
                    <w:tl2br w:val="nil"/>
                    <w:tr2bl w:val="nil"/>
                  </w:tcBorders>
                  <w:shd w:val="clear" w:color="auto" w:fill="FFFFFF"/>
                  <w:vAlign w:val="center"/>
                </w:tcPr>
                <w:p>
                  <w:pPr>
                    <w:widowControl/>
                    <w:jc w:val="center"/>
                    <w:rPr>
                      <w:bCs/>
                      <w:color w:val="0000FF"/>
                      <w:kern w:val="0"/>
                      <w:sz w:val="21"/>
                      <w:szCs w:val="21"/>
                      <w:highlight w:val="none"/>
                    </w:rPr>
                  </w:pPr>
                  <w:r>
                    <w:rPr>
                      <w:rFonts w:hint="eastAsia"/>
                      <w:bCs/>
                      <w:color w:val="0000FF"/>
                      <w:kern w:val="0"/>
                      <w:sz w:val="21"/>
                      <w:szCs w:val="21"/>
                      <w:highlight w:val="none"/>
                    </w:rPr>
                    <w:t>28000</w:t>
                  </w:r>
                </w:p>
              </w:tc>
              <w:tc>
                <w:tcPr>
                  <w:tcW w:w="825" w:type="dxa"/>
                  <w:tcBorders>
                    <w:tl2br w:val="nil"/>
                    <w:tr2bl w:val="nil"/>
                  </w:tcBorders>
                  <w:shd w:val="clear" w:color="auto" w:fill="FFFFFF"/>
                  <w:vAlign w:val="center"/>
                </w:tcPr>
                <w:p>
                  <w:pPr>
                    <w:pStyle w:val="58"/>
                    <w:adjustRightInd/>
                    <w:snapToGrid/>
                    <w:jc w:val="center"/>
                    <w:rPr>
                      <w:bCs/>
                      <w:color w:val="0000FF"/>
                      <w:sz w:val="21"/>
                      <w:szCs w:val="21"/>
                      <w:highlight w:val="none"/>
                    </w:rPr>
                  </w:pPr>
                  <w:r>
                    <w:rPr>
                      <w:rFonts w:hint="eastAsia"/>
                      <w:bCs/>
                      <w:color w:val="0000FF"/>
                      <w:sz w:val="21"/>
                      <w:szCs w:val="21"/>
                      <w:highlight w:val="none"/>
                    </w:rPr>
                    <w:t>1</w:t>
                  </w:r>
                </w:p>
              </w:tc>
              <w:tc>
                <w:tcPr>
                  <w:tcW w:w="2390" w:type="dxa"/>
                  <w:tcBorders>
                    <w:tl2br w:val="nil"/>
                    <w:tr2bl w:val="nil"/>
                  </w:tcBorders>
                  <w:shd w:val="clear" w:color="auto" w:fill="FFFFFF"/>
                  <w:vAlign w:val="center"/>
                </w:tcPr>
                <w:p>
                  <w:pPr>
                    <w:snapToGrid w:val="0"/>
                    <w:jc w:val="center"/>
                    <w:rPr>
                      <w:bCs/>
                      <w:color w:val="0000FF"/>
                      <w:kern w:val="0"/>
                      <w:sz w:val="21"/>
                      <w:szCs w:val="21"/>
                      <w:highlight w:val="none"/>
                    </w:rPr>
                  </w:pPr>
                  <w:r>
                    <w:rPr>
                      <w:rFonts w:hint="eastAsia"/>
                      <w:bCs/>
                      <w:color w:val="0000FF"/>
                      <w:kern w:val="0"/>
                      <w:sz w:val="21"/>
                      <w:szCs w:val="21"/>
                      <w:highlight w:val="none"/>
                    </w:rPr>
                    <w:t>全蛋液</w:t>
                  </w:r>
                </w:p>
              </w:tc>
              <w:tc>
                <w:tcPr>
                  <w:tcW w:w="1330" w:type="dxa"/>
                  <w:tcBorders>
                    <w:tl2br w:val="nil"/>
                    <w:tr2bl w:val="nil"/>
                  </w:tcBorders>
                  <w:shd w:val="clear" w:color="auto" w:fill="FFFFFF"/>
                  <w:vAlign w:val="center"/>
                </w:tcPr>
                <w:p>
                  <w:pPr>
                    <w:pStyle w:val="58"/>
                    <w:jc w:val="center"/>
                    <w:rPr>
                      <w:bCs/>
                      <w:color w:val="0000FF"/>
                      <w:sz w:val="21"/>
                      <w:szCs w:val="21"/>
                      <w:highlight w:val="none"/>
                    </w:rPr>
                  </w:pPr>
                  <w:r>
                    <w:rPr>
                      <w:rFonts w:hint="eastAsia"/>
                      <w:color w:val="0000FF"/>
                      <w:sz w:val="21"/>
                      <w:szCs w:val="21"/>
                      <w:highlight w:val="none"/>
                    </w:rPr>
                    <w:t>13000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FFFFFF"/>
                  <w:vAlign w:val="center"/>
                </w:tcPr>
                <w:p>
                  <w:pPr>
                    <w:widowControl/>
                    <w:jc w:val="center"/>
                    <w:rPr>
                      <w:bCs/>
                      <w:color w:val="0000FF"/>
                      <w:kern w:val="0"/>
                      <w:sz w:val="21"/>
                      <w:szCs w:val="21"/>
                      <w:highlight w:val="none"/>
                    </w:rPr>
                  </w:pPr>
                </w:p>
              </w:tc>
              <w:tc>
                <w:tcPr>
                  <w:tcW w:w="1519" w:type="dxa"/>
                  <w:tcBorders>
                    <w:tl2br w:val="nil"/>
                    <w:tr2bl w:val="nil"/>
                  </w:tcBorders>
                  <w:shd w:val="clear" w:color="auto" w:fill="FFFFFF"/>
                  <w:vAlign w:val="center"/>
                </w:tcPr>
                <w:p>
                  <w:pPr>
                    <w:widowControl/>
                    <w:jc w:val="center"/>
                    <w:rPr>
                      <w:bCs/>
                      <w:color w:val="0000FF"/>
                      <w:kern w:val="0"/>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2</w:t>
                  </w:r>
                </w:p>
              </w:tc>
              <w:tc>
                <w:tcPr>
                  <w:tcW w:w="2390" w:type="dxa"/>
                  <w:tcBorders>
                    <w:tl2br w:val="nil"/>
                    <w:tr2bl w:val="nil"/>
                  </w:tcBorders>
                  <w:shd w:val="clear" w:color="auto" w:fill="FFFFFF"/>
                  <w:vAlign w:val="center"/>
                </w:tcPr>
                <w:p>
                  <w:pPr>
                    <w:snapToGrid w:val="0"/>
                    <w:jc w:val="center"/>
                    <w:rPr>
                      <w:bCs/>
                      <w:color w:val="0000FF"/>
                      <w:kern w:val="0"/>
                      <w:sz w:val="21"/>
                      <w:szCs w:val="21"/>
                      <w:highlight w:val="none"/>
                    </w:rPr>
                  </w:pPr>
                  <w:r>
                    <w:rPr>
                      <w:rFonts w:hint="eastAsia"/>
                      <w:bCs/>
                      <w:color w:val="0000FF"/>
                      <w:kern w:val="0"/>
                      <w:sz w:val="21"/>
                      <w:szCs w:val="21"/>
                      <w:highlight w:val="none"/>
                    </w:rPr>
                    <w:t>蛋黄液</w:t>
                  </w:r>
                </w:p>
              </w:tc>
              <w:tc>
                <w:tcPr>
                  <w:tcW w:w="1330" w:type="dxa"/>
                  <w:tcBorders>
                    <w:tl2br w:val="nil"/>
                    <w:tr2bl w:val="nil"/>
                  </w:tcBorders>
                  <w:shd w:val="clear" w:color="auto" w:fill="FFFFFF"/>
                  <w:noWrap/>
                  <w:vAlign w:val="center"/>
                </w:tcPr>
                <w:p>
                  <w:pPr>
                    <w:pStyle w:val="58"/>
                    <w:jc w:val="center"/>
                    <w:rPr>
                      <w:bCs/>
                      <w:color w:val="0000FF"/>
                      <w:sz w:val="21"/>
                      <w:szCs w:val="21"/>
                      <w:highlight w:val="none"/>
                    </w:rPr>
                  </w:pPr>
                  <w:r>
                    <w:rPr>
                      <w:rFonts w:hint="eastAsia"/>
                      <w:color w:val="0000FF"/>
                      <w:sz w:val="21"/>
                      <w:szCs w:val="21"/>
                      <w:highlight w:val="none"/>
                    </w:rPr>
                    <w:t>3500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auto"/>
                  <w:vAlign w:val="center"/>
                </w:tcPr>
                <w:p>
                  <w:pPr>
                    <w:pStyle w:val="2"/>
                    <w:spacing w:before="0" w:after="0"/>
                    <w:jc w:val="center"/>
                    <w:rPr>
                      <w:rFonts w:ascii="Times New Roman" w:cs="Times New Roman"/>
                      <w:color w:val="0000FF"/>
                      <w:sz w:val="21"/>
                      <w:szCs w:val="21"/>
                      <w:highlight w:val="none"/>
                    </w:rPr>
                  </w:pPr>
                </w:p>
              </w:tc>
              <w:tc>
                <w:tcPr>
                  <w:tcW w:w="1519"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3</w:t>
                  </w:r>
                </w:p>
              </w:tc>
              <w:tc>
                <w:tcPr>
                  <w:tcW w:w="2390" w:type="dxa"/>
                  <w:tcBorders>
                    <w:tl2br w:val="nil"/>
                    <w:tr2bl w:val="nil"/>
                  </w:tcBorders>
                  <w:shd w:val="clear" w:color="auto" w:fill="FFFFFF"/>
                  <w:vAlign w:val="center"/>
                </w:tcPr>
                <w:p>
                  <w:pPr>
                    <w:widowControl/>
                    <w:jc w:val="center"/>
                    <w:rPr>
                      <w:bCs/>
                      <w:color w:val="0000FF"/>
                      <w:kern w:val="0"/>
                      <w:sz w:val="21"/>
                      <w:szCs w:val="21"/>
                      <w:highlight w:val="none"/>
                    </w:rPr>
                  </w:pPr>
                  <w:r>
                    <w:rPr>
                      <w:rFonts w:hint="eastAsia"/>
                      <w:bCs/>
                      <w:color w:val="0000FF"/>
                      <w:kern w:val="0"/>
                      <w:sz w:val="21"/>
                      <w:szCs w:val="21"/>
                      <w:highlight w:val="none"/>
                    </w:rPr>
                    <w:t>蛋白液</w:t>
                  </w:r>
                </w:p>
              </w:tc>
              <w:tc>
                <w:tcPr>
                  <w:tcW w:w="1330" w:type="dxa"/>
                  <w:tcBorders>
                    <w:tl2br w:val="nil"/>
                    <w:tr2bl w:val="nil"/>
                  </w:tcBorders>
                  <w:shd w:val="clear" w:color="auto" w:fill="FFFFFF"/>
                  <w:vAlign w:val="center"/>
                </w:tcPr>
                <w:p>
                  <w:pPr>
                    <w:pStyle w:val="58"/>
                    <w:jc w:val="center"/>
                    <w:rPr>
                      <w:bCs/>
                      <w:color w:val="0000FF"/>
                      <w:sz w:val="21"/>
                      <w:szCs w:val="21"/>
                      <w:highlight w:val="none"/>
                    </w:rPr>
                  </w:pPr>
                  <w:r>
                    <w:rPr>
                      <w:rFonts w:hint="eastAsia"/>
                      <w:color w:val="0000FF"/>
                      <w:sz w:val="21"/>
                      <w:szCs w:val="21"/>
                      <w:highlight w:val="none"/>
                    </w:rPr>
                    <w:t>8500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1519"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4</w:t>
                  </w:r>
                </w:p>
              </w:tc>
              <w:tc>
                <w:tcPr>
                  <w:tcW w:w="2390" w:type="dxa"/>
                  <w:tcBorders>
                    <w:tl2br w:val="nil"/>
                    <w:tr2bl w:val="nil"/>
                  </w:tcBorders>
                  <w:shd w:val="clear" w:color="auto" w:fill="FFFFFF"/>
                  <w:vAlign w:val="center"/>
                </w:tcPr>
                <w:p>
                  <w:pPr>
                    <w:widowControl/>
                    <w:jc w:val="center"/>
                    <w:rPr>
                      <w:bCs/>
                      <w:color w:val="0000FF"/>
                      <w:kern w:val="0"/>
                      <w:sz w:val="21"/>
                      <w:szCs w:val="21"/>
                      <w:highlight w:val="none"/>
                    </w:rPr>
                  </w:pPr>
                  <w:r>
                    <w:rPr>
                      <w:rFonts w:hint="eastAsia"/>
                      <w:bCs/>
                      <w:color w:val="0000FF"/>
                      <w:kern w:val="0"/>
                      <w:sz w:val="21"/>
                      <w:szCs w:val="21"/>
                      <w:highlight w:val="none"/>
                    </w:rPr>
                    <w:t>蛋壳</w:t>
                  </w:r>
                </w:p>
              </w:tc>
              <w:tc>
                <w:tcPr>
                  <w:tcW w:w="1330" w:type="dxa"/>
                  <w:tcBorders>
                    <w:tl2br w:val="nil"/>
                    <w:tr2bl w:val="nil"/>
                  </w:tcBorders>
                  <w:vAlign w:val="center"/>
                </w:tcPr>
                <w:p>
                  <w:pPr>
                    <w:pStyle w:val="58"/>
                    <w:jc w:val="center"/>
                    <w:rPr>
                      <w:rFonts w:hint="default"/>
                      <w:color w:val="0000FF"/>
                      <w:sz w:val="21"/>
                      <w:szCs w:val="21"/>
                      <w:highlight w:val="none"/>
                      <w:lang w:val="en-US" w:eastAsia="zh-CN"/>
                    </w:rPr>
                  </w:pPr>
                  <w:r>
                    <w:rPr>
                      <w:rFonts w:hint="eastAsia"/>
                      <w:color w:val="0000FF"/>
                      <w:sz w:val="21"/>
                      <w:szCs w:val="21"/>
                      <w:highlight w:val="none"/>
                      <w:lang w:val="en-US" w:eastAsia="zh-CN"/>
                    </w:rPr>
                    <w:t>2788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auto"/>
                  <w:vAlign w:val="center"/>
                </w:tcPr>
                <w:p>
                  <w:pPr>
                    <w:pStyle w:val="2"/>
                    <w:spacing w:before="0" w:after="0"/>
                    <w:jc w:val="center"/>
                    <w:rPr>
                      <w:rFonts w:ascii="Times New Roman" w:cs="Times New Roman"/>
                      <w:color w:val="0000FF"/>
                      <w:sz w:val="21"/>
                      <w:szCs w:val="21"/>
                      <w:highlight w:val="none"/>
                    </w:rPr>
                  </w:pPr>
                </w:p>
              </w:tc>
              <w:tc>
                <w:tcPr>
                  <w:tcW w:w="1519"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5</w:t>
                  </w:r>
                </w:p>
              </w:tc>
              <w:tc>
                <w:tcPr>
                  <w:tcW w:w="2390" w:type="dxa"/>
                  <w:tcBorders>
                    <w:tl2br w:val="nil"/>
                    <w:tr2bl w:val="nil"/>
                  </w:tcBorders>
                  <w:shd w:val="clear" w:color="auto" w:fill="FFFFFF"/>
                  <w:vAlign w:val="center"/>
                </w:tcPr>
                <w:p>
                  <w:pPr>
                    <w:widowControl/>
                    <w:jc w:val="center"/>
                    <w:rPr>
                      <w:rFonts w:hint="eastAsia" w:eastAsia="宋体"/>
                      <w:bCs/>
                      <w:color w:val="0000FF"/>
                      <w:kern w:val="0"/>
                      <w:sz w:val="21"/>
                      <w:szCs w:val="21"/>
                      <w:highlight w:val="none"/>
                      <w:lang w:eastAsia="zh-CN"/>
                    </w:rPr>
                  </w:pPr>
                  <w:r>
                    <w:rPr>
                      <w:rFonts w:hint="eastAsia"/>
                      <w:bCs/>
                      <w:color w:val="0000FF"/>
                      <w:kern w:val="0"/>
                      <w:sz w:val="21"/>
                      <w:szCs w:val="21"/>
                      <w:highlight w:val="none"/>
                    </w:rPr>
                    <w:t>不合格</w:t>
                  </w:r>
                  <w:r>
                    <w:rPr>
                      <w:rFonts w:hint="eastAsia"/>
                      <w:bCs/>
                      <w:color w:val="0000FF"/>
                      <w:kern w:val="0"/>
                      <w:sz w:val="21"/>
                      <w:szCs w:val="21"/>
                      <w:highlight w:val="none"/>
                      <w:lang w:val="en-US" w:eastAsia="zh-CN"/>
                    </w:rPr>
                    <w:t>蛋</w:t>
                  </w:r>
                </w:p>
              </w:tc>
              <w:tc>
                <w:tcPr>
                  <w:tcW w:w="1330" w:type="dxa"/>
                  <w:tcBorders>
                    <w:tl2br w:val="nil"/>
                    <w:tr2bl w:val="nil"/>
                  </w:tcBorders>
                  <w:vAlign w:val="center"/>
                </w:tcPr>
                <w:p>
                  <w:pPr>
                    <w:pStyle w:val="58"/>
                    <w:jc w:val="center"/>
                    <w:rPr>
                      <w:rFonts w:hint="default"/>
                      <w:color w:val="0000FF"/>
                      <w:sz w:val="21"/>
                      <w:szCs w:val="21"/>
                      <w:highlight w:val="none"/>
                      <w:lang w:val="en-US" w:eastAsia="zh-CN"/>
                    </w:rPr>
                  </w:pPr>
                  <w:r>
                    <w:rPr>
                      <w:rFonts w:hint="eastAsia"/>
                      <w:color w:val="0000FF"/>
                      <w:sz w:val="21"/>
                      <w:szCs w:val="21"/>
                      <w:highlight w:val="none"/>
                      <w:lang w:val="en-US" w:eastAsia="zh-CN"/>
                    </w:rPr>
                    <w:t>140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auto"/>
                  <w:vAlign w:val="center"/>
                </w:tcPr>
                <w:p>
                  <w:pPr>
                    <w:pStyle w:val="2"/>
                    <w:spacing w:before="0" w:after="0"/>
                    <w:jc w:val="center"/>
                    <w:rPr>
                      <w:rFonts w:ascii="Times New Roman" w:cs="Times New Roman"/>
                      <w:color w:val="0000FF"/>
                      <w:sz w:val="21"/>
                      <w:szCs w:val="21"/>
                      <w:highlight w:val="none"/>
                    </w:rPr>
                  </w:pPr>
                </w:p>
              </w:tc>
              <w:tc>
                <w:tcPr>
                  <w:tcW w:w="1519"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6</w:t>
                  </w:r>
                </w:p>
              </w:tc>
              <w:tc>
                <w:tcPr>
                  <w:tcW w:w="2390" w:type="dxa"/>
                  <w:tcBorders>
                    <w:tl2br w:val="nil"/>
                    <w:tr2bl w:val="nil"/>
                  </w:tcBorders>
                  <w:shd w:val="clear" w:color="auto" w:fill="FFFFFF"/>
                  <w:vAlign w:val="center"/>
                </w:tcPr>
                <w:p>
                  <w:pPr>
                    <w:widowControl/>
                    <w:jc w:val="center"/>
                    <w:rPr>
                      <w:rFonts w:hint="eastAsia"/>
                      <w:bCs/>
                      <w:color w:val="0000FF"/>
                      <w:kern w:val="0"/>
                      <w:sz w:val="21"/>
                      <w:szCs w:val="21"/>
                      <w:highlight w:val="none"/>
                    </w:rPr>
                  </w:pPr>
                  <w:r>
                    <w:rPr>
                      <w:rFonts w:hint="eastAsia"/>
                      <w:bCs/>
                      <w:color w:val="0000FF"/>
                      <w:kern w:val="0"/>
                      <w:sz w:val="21"/>
                      <w:szCs w:val="21"/>
                      <w:highlight w:val="none"/>
                      <w:lang w:val="en-US" w:eastAsia="zh-CN"/>
                    </w:rPr>
                    <w:t>废蛋液</w:t>
                  </w:r>
                </w:p>
              </w:tc>
              <w:tc>
                <w:tcPr>
                  <w:tcW w:w="1330" w:type="dxa"/>
                  <w:tcBorders>
                    <w:tl2br w:val="nil"/>
                    <w:tr2bl w:val="nil"/>
                  </w:tcBorders>
                  <w:vAlign w:val="center"/>
                </w:tcPr>
                <w:p>
                  <w:pPr>
                    <w:pStyle w:val="58"/>
                    <w:jc w:val="center"/>
                    <w:rPr>
                      <w:rFonts w:hint="eastAsia"/>
                      <w:color w:val="0000FF"/>
                      <w:sz w:val="21"/>
                      <w:szCs w:val="21"/>
                      <w:highlight w:val="none"/>
                    </w:rPr>
                  </w:pPr>
                  <w:r>
                    <w:rPr>
                      <w:rFonts w:hint="default"/>
                      <w:color w:val="0000FF"/>
                      <w:sz w:val="21"/>
                      <w:szCs w:val="21"/>
                      <w:highlight w:val="none"/>
                      <w:lang w:val="en-US" w:eastAsia="zh-CN"/>
                    </w:rPr>
                    <w:t>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auto"/>
                  <w:vAlign w:val="center"/>
                </w:tcPr>
                <w:p>
                  <w:pPr>
                    <w:pStyle w:val="2"/>
                    <w:spacing w:before="0" w:after="0"/>
                    <w:jc w:val="center"/>
                    <w:rPr>
                      <w:rFonts w:ascii="Times New Roman" w:cs="Times New Roman"/>
                      <w:color w:val="0000FF"/>
                      <w:sz w:val="21"/>
                      <w:szCs w:val="21"/>
                      <w:highlight w:val="none"/>
                    </w:rPr>
                  </w:pPr>
                </w:p>
              </w:tc>
              <w:tc>
                <w:tcPr>
                  <w:tcW w:w="1519"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7</w:t>
                  </w:r>
                </w:p>
              </w:tc>
              <w:tc>
                <w:tcPr>
                  <w:tcW w:w="2390" w:type="dxa"/>
                  <w:tcBorders>
                    <w:tl2br w:val="nil"/>
                    <w:tr2bl w:val="nil"/>
                  </w:tcBorders>
                  <w:shd w:val="clear" w:color="auto" w:fill="FFFFFF"/>
                  <w:vAlign w:val="center"/>
                </w:tcPr>
                <w:p>
                  <w:pPr>
                    <w:widowControl/>
                    <w:jc w:val="center"/>
                    <w:rPr>
                      <w:rFonts w:hint="eastAsia"/>
                      <w:bCs/>
                      <w:color w:val="0000FF"/>
                      <w:kern w:val="0"/>
                      <w:sz w:val="21"/>
                      <w:szCs w:val="21"/>
                      <w:highlight w:val="none"/>
                    </w:rPr>
                  </w:pPr>
                  <w:r>
                    <w:rPr>
                      <w:rFonts w:hint="eastAsia"/>
                      <w:bCs/>
                      <w:color w:val="0000FF"/>
                      <w:kern w:val="0"/>
                      <w:sz w:val="21"/>
                      <w:szCs w:val="21"/>
                      <w:highlight w:val="none"/>
                      <w:lang w:val="en-US" w:eastAsia="zh-CN"/>
                    </w:rPr>
                    <w:t>过滤废弃物</w:t>
                  </w:r>
                </w:p>
              </w:tc>
              <w:tc>
                <w:tcPr>
                  <w:tcW w:w="1330" w:type="dxa"/>
                  <w:tcBorders>
                    <w:tl2br w:val="nil"/>
                    <w:tr2bl w:val="nil"/>
                  </w:tcBorders>
                  <w:vAlign w:val="center"/>
                </w:tcPr>
                <w:p>
                  <w:pPr>
                    <w:pStyle w:val="58"/>
                    <w:jc w:val="center"/>
                    <w:rPr>
                      <w:rFonts w:hint="eastAsia"/>
                      <w:color w:val="0000FF"/>
                      <w:sz w:val="21"/>
                      <w:szCs w:val="21"/>
                      <w:highlight w:val="none"/>
                    </w:rPr>
                  </w:pPr>
                  <w:r>
                    <w:rPr>
                      <w:rFonts w:hint="eastAsia"/>
                      <w:color w:val="0000FF"/>
                      <w:sz w:val="21"/>
                      <w:szCs w:val="21"/>
                      <w:highlight w:val="none"/>
                      <w:lang w:val="en-US" w:eastAsia="zh-CN"/>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1687" w:type="dxa"/>
                  <w:tcBorders>
                    <w:tl2br w:val="nil"/>
                    <w:tr2bl w:val="nil"/>
                  </w:tcBorders>
                  <w:shd w:val="clear" w:color="auto" w:fill="auto"/>
                  <w:vAlign w:val="center"/>
                </w:tcPr>
                <w:p>
                  <w:pPr>
                    <w:pStyle w:val="2"/>
                    <w:spacing w:before="0" w:after="0"/>
                    <w:jc w:val="center"/>
                    <w:rPr>
                      <w:rFonts w:ascii="Times New Roman" w:cs="Times New Roman"/>
                      <w:color w:val="0000FF"/>
                      <w:sz w:val="21"/>
                      <w:szCs w:val="21"/>
                      <w:highlight w:val="none"/>
                    </w:rPr>
                  </w:pPr>
                </w:p>
              </w:tc>
              <w:tc>
                <w:tcPr>
                  <w:tcW w:w="1519" w:type="dxa"/>
                  <w:tcBorders>
                    <w:tl2br w:val="nil"/>
                    <w:tr2bl w:val="nil"/>
                  </w:tcBorders>
                  <w:shd w:val="clear" w:color="auto" w:fill="auto"/>
                  <w:vAlign w:val="center"/>
                </w:tcPr>
                <w:p>
                  <w:pPr>
                    <w:pStyle w:val="2"/>
                    <w:spacing w:before="0" w:after="0"/>
                    <w:jc w:val="center"/>
                    <w:rPr>
                      <w:rFonts w:ascii="Times New Roman" w:hAnsi="Times New Roman" w:cs="Times New Roman"/>
                      <w:color w:val="0000FF"/>
                      <w:sz w:val="21"/>
                      <w:szCs w:val="21"/>
                      <w:highlight w:val="none"/>
                    </w:rPr>
                  </w:pPr>
                </w:p>
              </w:tc>
              <w:tc>
                <w:tcPr>
                  <w:tcW w:w="825" w:type="dxa"/>
                  <w:tcBorders>
                    <w:tl2br w:val="nil"/>
                    <w:tr2bl w:val="nil"/>
                  </w:tcBorders>
                  <w:shd w:val="clear" w:color="auto" w:fill="FFFFFF"/>
                  <w:vAlign w:val="center"/>
                </w:tcPr>
                <w:p>
                  <w:pPr>
                    <w:pStyle w:val="58"/>
                    <w:adjustRightInd/>
                    <w:snapToGrid/>
                    <w:jc w:val="center"/>
                    <w:rPr>
                      <w:rFonts w:hint="eastAsia" w:eastAsia="宋体"/>
                      <w:bCs/>
                      <w:color w:val="0000FF"/>
                      <w:sz w:val="21"/>
                      <w:szCs w:val="21"/>
                      <w:highlight w:val="none"/>
                      <w:lang w:val="en-US" w:eastAsia="zh-CN"/>
                    </w:rPr>
                  </w:pPr>
                  <w:r>
                    <w:rPr>
                      <w:rFonts w:hint="eastAsia"/>
                      <w:bCs/>
                      <w:color w:val="0000FF"/>
                      <w:sz w:val="21"/>
                      <w:szCs w:val="21"/>
                      <w:highlight w:val="none"/>
                      <w:lang w:val="en-US" w:eastAsia="zh-CN"/>
                    </w:rPr>
                    <w:t>8</w:t>
                  </w:r>
                </w:p>
              </w:tc>
              <w:tc>
                <w:tcPr>
                  <w:tcW w:w="2390" w:type="dxa"/>
                  <w:tcBorders>
                    <w:tl2br w:val="nil"/>
                    <w:tr2bl w:val="nil"/>
                  </w:tcBorders>
                  <w:shd w:val="clear" w:color="auto" w:fill="FFFFFF"/>
                  <w:vAlign w:val="center"/>
                </w:tcPr>
                <w:p>
                  <w:pPr>
                    <w:widowControl/>
                    <w:jc w:val="center"/>
                    <w:rPr>
                      <w:rFonts w:hint="eastAsia"/>
                      <w:bCs/>
                      <w:color w:val="0000FF"/>
                      <w:kern w:val="0"/>
                      <w:sz w:val="21"/>
                      <w:szCs w:val="21"/>
                      <w:highlight w:val="none"/>
                    </w:rPr>
                  </w:pPr>
                  <w:r>
                    <w:rPr>
                      <w:rFonts w:hint="eastAsia"/>
                      <w:bCs/>
                      <w:color w:val="0000FF"/>
                      <w:kern w:val="0"/>
                      <w:sz w:val="21"/>
                      <w:szCs w:val="21"/>
                      <w:highlight w:val="none"/>
                      <w:lang w:val="en-US" w:eastAsia="zh-CN"/>
                    </w:rPr>
                    <w:t>不合格品</w:t>
                  </w:r>
                </w:p>
              </w:tc>
              <w:tc>
                <w:tcPr>
                  <w:tcW w:w="1330" w:type="dxa"/>
                  <w:tcBorders>
                    <w:tl2br w:val="nil"/>
                    <w:tr2bl w:val="nil"/>
                  </w:tcBorders>
                  <w:vAlign w:val="center"/>
                </w:tcPr>
                <w:p>
                  <w:pPr>
                    <w:pStyle w:val="58"/>
                    <w:jc w:val="center"/>
                    <w:rPr>
                      <w:rFonts w:hint="eastAsia"/>
                      <w:color w:val="0000FF"/>
                      <w:sz w:val="21"/>
                      <w:szCs w:val="21"/>
                      <w:highlight w:val="none"/>
                    </w:rPr>
                  </w:pPr>
                  <w:r>
                    <w:rPr>
                      <w:rFonts w:hint="eastAsia"/>
                      <w:color w:val="0000FF"/>
                      <w:sz w:val="21"/>
                      <w:szCs w:val="21"/>
                      <w:highlight w:val="none"/>
                      <w:lang w:val="en-US" w:eastAsia="zh-CN"/>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0" w:type="dxa"/>
                  <w:gridSpan w:val="2"/>
                  <w:tcBorders>
                    <w:tl2br w:val="nil"/>
                    <w:tr2bl w:val="nil"/>
                  </w:tcBorders>
                  <w:shd w:val="clear" w:color="auto" w:fill="FFFFFF"/>
                  <w:vAlign w:val="center"/>
                </w:tcPr>
                <w:p>
                  <w:pPr>
                    <w:pStyle w:val="2"/>
                    <w:spacing w:before="0" w:after="0"/>
                    <w:jc w:val="center"/>
                    <w:rPr>
                      <w:rFonts w:hint="eastAsia" w:ascii="Times New Roman" w:eastAsia="宋体" w:cs="Times New Roman"/>
                      <w:color w:val="0000FF"/>
                      <w:sz w:val="21"/>
                      <w:szCs w:val="21"/>
                      <w:highlight w:val="none"/>
                      <w:lang w:val="en-US" w:eastAsia="zh-CN"/>
                    </w:rPr>
                  </w:pPr>
                  <w:r>
                    <w:rPr>
                      <w:rFonts w:hint="eastAsia" w:ascii="Times New Roman" w:cs="Times New Roman"/>
                      <w:color w:val="0000FF"/>
                      <w:sz w:val="21"/>
                      <w:szCs w:val="21"/>
                      <w:highlight w:val="none"/>
                      <w:lang w:val="en-US" w:eastAsia="zh-CN"/>
                    </w:rPr>
                    <w:t>合计</w:t>
                  </w:r>
                </w:p>
              </w:tc>
              <w:tc>
                <w:tcPr>
                  <w:tcW w:w="1519" w:type="dxa"/>
                  <w:tcBorders>
                    <w:tl2br w:val="nil"/>
                    <w:tr2bl w:val="nil"/>
                  </w:tcBorders>
                  <w:shd w:val="clear" w:color="auto" w:fill="auto"/>
                  <w:vAlign w:val="center"/>
                </w:tcPr>
                <w:p>
                  <w:pPr>
                    <w:pStyle w:val="2"/>
                    <w:spacing w:before="0" w:after="0"/>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cs="Times New Roman"/>
                      <w:color w:val="0000FF"/>
                      <w:sz w:val="21"/>
                      <w:szCs w:val="21"/>
                      <w:highlight w:val="none"/>
                      <w:lang w:val="en-US" w:eastAsia="zh-CN"/>
                    </w:rPr>
                    <w:t>28000</w:t>
                  </w:r>
                </w:p>
              </w:tc>
              <w:tc>
                <w:tcPr>
                  <w:tcW w:w="825" w:type="dxa"/>
                  <w:tcBorders>
                    <w:tl2br w:val="nil"/>
                    <w:tr2bl w:val="nil"/>
                  </w:tcBorders>
                  <w:shd w:val="clear" w:color="auto" w:fill="FFFFFF"/>
                  <w:vAlign w:val="center"/>
                </w:tcPr>
                <w:p>
                  <w:pPr>
                    <w:pStyle w:val="58"/>
                    <w:adjustRightInd/>
                    <w:snapToGrid/>
                    <w:rPr>
                      <w:bCs/>
                      <w:color w:val="0000FF"/>
                      <w:sz w:val="21"/>
                      <w:szCs w:val="21"/>
                      <w:highlight w:val="none"/>
                    </w:rPr>
                  </w:pPr>
                </w:p>
              </w:tc>
              <w:tc>
                <w:tcPr>
                  <w:tcW w:w="2390" w:type="dxa"/>
                  <w:tcBorders>
                    <w:tl2br w:val="nil"/>
                    <w:tr2bl w:val="nil"/>
                  </w:tcBorders>
                  <w:shd w:val="clear" w:color="auto" w:fill="FFFFFF"/>
                  <w:vAlign w:val="center"/>
                </w:tcPr>
                <w:p>
                  <w:pPr>
                    <w:widowControl/>
                    <w:jc w:val="center"/>
                    <w:rPr>
                      <w:bCs/>
                      <w:color w:val="0000FF"/>
                      <w:kern w:val="0"/>
                      <w:sz w:val="21"/>
                      <w:szCs w:val="21"/>
                      <w:highlight w:val="none"/>
                    </w:rPr>
                  </w:pPr>
                  <w:r>
                    <w:rPr>
                      <w:rFonts w:hint="eastAsia"/>
                      <w:bCs/>
                      <w:color w:val="0000FF"/>
                      <w:kern w:val="0"/>
                      <w:sz w:val="21"/>
                      <w:szCs w:val="21"/>
                      <w:highlight w:val="none"/>
                    </w:rPr>
                    <w:t>合计</w:t>
                  </w:r>
                </w:p>
              </w:tc>
              <w:tc>
                <w:tcPr>
                  <w:tcW w:w="1330" w:type="dxa"/>
                  <w:tcBorders>
                    <w:tl2br w:val="nil"/>
                    <w:tr2bl w:val="nil"/>
                  </w:tcBorders>
                  <w:vAlign w:val="center"/>
                </w:tcPr>
                <w:p>
                  <w:pPr>
                    <w:widowControl/>
                    <w:jc w:val="center"/>
                    <w:rPr>
                      <w:bCs/>
                      <w:color w:val="0000FF"/>
                      <w:kern w:val="0"/>
                      <w:sz w:val="21"/>
                      <w:szCs w:val="21"/>
                      <w:highlight w:val="none"/>
                    </w:rPr>
                  </w:pPr>
                  <w:r>
                    <w:rPr>
                      <w:rFonts w:hint="eastAsia"/>
                      <w:bCs/>
                      <w:color w:val="0000FF"/>
                      <w:kern w:val="0"/>
                      <w:sz w:val="21"/>
                      <w:szCs w:val="21"/>
                      <w:highlight w:val="none"/>
                    </w:rPr>
                    <w:t>28000</w:t>
                  </w:r>
                </w:p>
              </w:tc>
            </w:tr>
          </w:tbl>
          <w:p>
            <w:pPr>
              <w:spacing w:line="360" w:lineRule="auto"/>
              <w:ind w:firstLine="481" w:firstLineChars="200"/>
              <w:rPr>
                <w:b/>
                <w:bCs/>
                <w:kern w:val="0"/>
                <w:sz w:val="24"/>
                <w:szCs w:val="20"/>
                <w:highlight w:val="none"/>
              </w:rPr>
            </w:pPr>
            <w:r>
              <w:rPr>
                <w:rFonts w:hint="eastAsia"/>
                <w:b/>
                <w:bCs/>
                <w:kern w:val="0"/>
                <w:sz w:val="24"/>
                <w:szCs w:val="20"/>
                <w:highlight w:val="none"/>
              </w:rPr>
              <w:t>8、总平面布置及其合理性分析</w:t>
            </w:r>
          </w:p>
          <w:p>
            <w:pPr>
              <w:pStyle w:val="96"/>
              <w:ind w:firstLine="480"/>
              <w:rPr>
                <w:highlight w:val="none"/>
              </w:rPr>
            </w:pPr>
            <w:r>
              <w:rPr>
                <w:highlight w:val="none"/>
              </w:rPr>
              <w:t>本项目位于</w:t>
            </w:r>
            <w:r>
              <w:rPr>
                <w:rFonts w:hint="eastAsia"/>
                <w:highlight w:val="none"/>
              </w:rPr>
              <w:t>庐山市华林镇</w:t>
            </w:r>
            <w:r>
              <w:rPr>
                <w:highlight w:val="none"/>
              </w:rPr>
              <w:t>吉山村华林板岩加工园</w:t>
            </w:r>
            <w:r>
              <w:rPr>
                <w:rFonts w:hint="eastAsia"/>
                <w:highlight w:val="none"/>
              </w:rPr>
              <w:t>二期</w:t>
            </w:r>
            <w:r>
              <w:rPr>
                <w:highlight w:val="none"/>
              </w:rPr>
              <w:t>，</w:t>
            </w:r>
            <w:r>
              <w:rPr>
                <w:rFonts w:hint="eastAsia"/>
                <w:highlight w:val="none"/>
              </w:rPr>
              <w:t>生产车间面积约4800</w:t>
            </w:r>
            <w:r>
              <w:rPr>
                <w:highlight w:val="none"/>
              </w:rPr>
              <w:t>m</w:t>
            </w:r>
            <w:r>
              <w:rPr>
                <w:highlight w:val="none"/>
                <w:vertAlign w:val="superscript"/>
              </w:rPr>
              <w:t>2</w:t>
            </w:r>
            <w:r>
              <w:rPr>
                <w:rFonts w:hint="eastAsia"/>
                <w:highlight w:val="none"/>
              </w:rPr>
              <w:t>，</w:t>
            </w:r>
            <w:r>
              <w:rPr>
                <w:highlight w:val="none"/>
              </w:rPr>
              <w:t>主要包括清洗上蛋间、打蛋过滤间、巴氏杀菌间、灌装间、内包间、外包间、CIP间</w:t>
            </w:r>
            <w:r>
              <w:rPr>
                <w:rFonts w:hint="eastAsia"/>
                <w:highlight w:val="none"/>
              </w:rPr>
              <w:t>、</w:t>
            </w:r>
            <w:r>
              <w:rPr>
                <w:highlight w:val="none"/>
              </w:rPr>
              <w:t>办公室、研发室、综合实验室等，根据生产工艺特点、污染治理设施设置，工业企业总平面设计规划的要求，保证物料输送管路短捷，尽量避免管道来往交叉迂回，并将共用的公用装置集中布置，尽量靠近供应来源。</w:t>
            </w:r>
          </w:p>
          <w:p>
            <w:pPr>
              <w:pStyle w:val="96"/>
              <w:ind w:firstLine="480"/>
              <w:rPr>
                <w:highlight w:val="none"/>
              </w:rPr>
            </w:pPr>
            <w:r>
              <w:rPr>
                <w:highlight w:val="none"/>
              </w:rPr>
              <w:t>厂区内各建构筑物之间的间距均满足</w:t>
            </w:r>
            <w:r>
              <w:rPr>
                <w:rFonts w:hint="eastAsia"/>
                <w:color w:val="0000FF"/>
                <w:highlight w:val="none"/>
              </w:rPr>
              <w:t>《建筑防火通用规范</w:t>
            </w:r>
            <w:r>
              <w:rPr>
                <w:rFonts w:hint="eastAsia"/>
                <w:color w:val="0000FF"/>
                <w:highlight w:val="none"/>
                <w:lang w:eastAsia="zh-CN"/>
              </w:rPr>
              <w:t>》</w:t>
            </w:r>
            <w:r>
              <w:rPr>
                <w:rFonts w:hint="eastAsia"/>
                <w:color w:val="0000FF"/>
                <w:highlight w:val="none"/>
              </w:rPr>
              <w:t>（GB55037-2022）</w:t>
            </w:r>
            <w:r>
              <w:rPr>
                <w:highlight w:val="none"/>
              </w:rPr>
              <w:t>及</w:t>
            </w:r>
            <w:r>
              <w:rPr>
                <w:rFonts w:hint="eastAsia"/>
                <w:highlight w:val="none"/>
              </w:rPr>
              <w:t>《工业企业总平面设计规范》（</w:t>
            </w:r>
            <w:r>
              <w:rPr>
                <w:highlight w:val="none"/>
              </w:rPr>
              <w:t>GB50187</w:t>
            </w:r>
            <w:r>
              <w:rPr>
                <w:rFonts w:hint="eastAsia"/>
                <w:highlight w:val="none"/>
              </w:rPr>
              <w:t>-</w:t>
            </w:r>
            <w:r>
              <w:rPr>
                <w:highlight w:val="none"/>
              </w:rPr>
              <w:t>2012</w:t>
            </w:r>
            <w:r>
              <w:rPr>
                <w:rFonts w:hint="eastAsia"/>
                <w:highlight w:val="none"/>
              </w:rPr>
              <w:t>）</w:t>
            </w:r>
            <w:r>
              <w:rPr>
                <w:highlight w:val="none"/>
              </w:rPr>
              <w:t>的相关规定，且建构筑物与厂区围墙及厂外道路的防火间距也能满足规范要求。该布置方案工艺流程合理，功能分区明确，交通顺畅，且有利于厂区内部运输安排和管线敷设，项目总平面布置合理</w:t>
            </w:r>
            <w:r>
              <w:rPr>
                <w:rFonts w:hint="eastAsia"/>
                <w:highlight w:val="none"/>
              </w:rPr>
              <w:t>。车间平面布置详见附图三。</w:t>
            </w:r>
          </w:p>
          <w:p>
            <w:pPr>
              <w:pStyle w:val="92"/>
              <w:rPr>
                <w:bCs/>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dxa"/>
            <w:vAlign w:val="center"/>
          </w:tcPr>
          <w:p>
            <w:pPr>
              <w:pStyle w:val="36"/>
              <w:adjustRightInd w:val="0"/>
              <w:snapToGrid w:val="0"/>
              <w:spacing w:before="0" w:beforeAutospacing="0" w:after="0" w:afterAutospacing="0"/>
              <w:jc w:val="center"/>
              <w:rPr>
                <w:rFonts w:ascii="Times New Roman" w:hAnsi="Times New Roman"/>
                <w:sz w:val="21"/>
                <w:szCs w:val="21"/>
                <w:highlight w:val="none"/>
              </w:rPr>
            </w:pPr>
            <w:r>
              <w:rPr>
                <w:rFonts w:ascii="Times New Roman" w:hAnsi="Times New Roman"/>
                <w:b/>
                <w:bCs/>
                <w:szCs w:val="24"/>
                <w:highlight w:val="none"/>
              </w:rPr>
              <w:t>工艺流程和产排污环节</w:t>
            </w:r>
          </w:p>
        </w:tc>
        <w:tc>
          <w:tcPr>
            <w:tcW w:w="8607" w:type="dxa"/>
          </w:tcPr>
          <w:p>
            <w:pPr>
              <w:spacing w:line="360" w:lineRule="auto"/>
              <w:ind w:firstLine="481" w:firstLineChars="200"/>
              <w:rPr>
                <w:b/>
                <w:bCs/>
                <w:sz w:val="24"/>
                <w:highlight w:val="none"/>
              </w:rPr>
            </w:pPr>
            <w:r>
              <w:rPr>
                <w:rFonts w:hint="eastAsia"/>
                <w:b/>
                <w:bCs/>
                <w:sz w:val="24"/>
                <w:highlight w:val="none"/>
              </w:rPr>
              <w:t>1、施工期</w:t>
            </w:r>
          </w:p>
          <w:p>
            <w:pPr>
              <w:pStyle w:val="108"/>
              <w:ind w:firstLine="480"/>
              <w:rPr>
                <w:rFonts w:hint="eastAsia"/>
                <w:highlight w:val="none"/>
              </w:rPr>
            </w:pPr>
            <w:r>
              <w:rPr>
                <w:rFonts w:hint="eastAsia"/>
                <w:highlight w:val="none"/>
              </w:rPr>
              <w:t>本项目施工期主要包括场地开挖、基础工程、主体工程、设备安装、场地平整与铺砌等过程。本项目施工期主要污染包括：施工扬尘、施工设备噪声、施工人员生活污水及施工废水、施工产生的建筑垃圾、工程弃土和人员生活垃圾。施工期工艺过程及产污节点详见图2-2。</w:t>
            </w:r>
          </w:p>
          <w:p>
            <w:pPr>
              <w:rPr>
                <w:rFonts w:hint="eastAsia" w:eastAsia="宋体"/>
                <w:highlight w:val="none"/>
                <w:lang w:eastAsia="zh-CN"/>
              </w:rPr>
            </w:pPr>
            <w:r>
              <w:rPr>
                <w:rFonts w:hint="eastAsia" w:eastAsia="宋体"/>
                <w:highlight w:val="none"/>
                <w:lang w:eastAsia="zh-CN"/>
              </w:rPr>
              <w:drawing>
                <wp:inline distT="0" distB="0" distL="114300" distR="114300">
                  <wp:extent cx="5323205" cy="1163320"/>
                  <wp:effectExtent l="0" t="0" r="0" b="0"/>
                  <wp:docPr id="16" name="E657119C-6982-421D-8BA7-E74DEB70A7D9-2" descr="C:/Users/Lenovo/AppData/Local/Temp/wps.nbqLm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657119C-6982-421D-8BA7-E74DEB70A7D9-2" descr="C:/Users/Lenovo/AppData/Local/Temp/wps.nbqLmBwps"/>
                          <pic:cNvPicPr>
                            <a:picLocks noChangeAspect="1"/>
                          </pic:cNvPicPr>
                        </pic:nvPicPr>
                        <pic:blipFill>
                          <a:blip r:embed="rId10"/>
                          <a:stretch>
                            <a:fillRect/>
                          </a:stretch>
                        </pic:blipFill>
                        <pic:spPr>
                          <a:xfrm>
                            <a:off x="0" y="0"/>
                            <a:ext cx="5323205" cy="1163320"/>
                          </a:xfrm>
                          <a:prstGeom prst="rect">
                            <a:avLst/>
                          </a:prstGeom>
                        </pic:spPr>
                      </pic:pic>
                    </a:graphicData>
                  </a:graphic>
                </wp:inline>
              </w:drawing>
            </w:r>
          </w:p>
          <w:p>
            <w:pPr>
              <w:pStyle w:val="141"/>
              <w:rPr>
                <w:highlight w:val="none"/>
              </w:rPr>
            </w:pPr>
            <w:r>
              <w:rPr>
                <w:rFonts w:hint="eastAsia"/>
                <w:highlight w:val="none"/>
              </w:rPr>
              <w:t xml:space="preserve">图2-2  </w:t>
            </w:r>
            <w:bookmarkStart w:id="8" w:name="OLE_LINK13"/>
            <w:bookmarkStart w:id="9" w:name="OLE_LINK12"/>
            <w:r>
              <w:rPr>
                <w:rFonts w:hint="eastAsia"/>
                <w:highlight w:val="none"/>
              </w:rPr>
              <w:t>施工期工艺流程及产污环节图</w:t>
            </w:r>
            <w:bookmarkEnd w:id="8"/>
            <w:bookmarkEnd w:id="9"/>
          </w:p>
          <w:p>
            <w:pPr>
              <w:spacing w:line="360" w:lineRule="auto"/>
              <w:ind w:firstLine="481" w:firstLineChars="200"/>
              <w:rPr>
                <w:b/>
                <w:bCs/>
                <w:sz w:val="24"/>
                <w:highlight w:val="none"/>
              </w:rPr>
            </w:pPr>
            <w:r>
              <w:rPr>
                <w:rFonts w:hint="eastAsia"/>
                <w:b/>
                <w:bCs/>
                <w:sz w:val="24"/>
                <w:highlight w:val="none"/>
              </w:rPr>
              <w:t>2、运营期</w:t>
            </w:r>
          </w:p>
          <w:p>
            <w:pPr>
              <w:pStyle w:val="108"/>
              <w:ind w:firstLine="480"/>
              <w:rPr>
                <w:rFonts w:hint="default" w:eastAsia="宋体"/>
                <w:b/>
                <w:bCs/>
                <w:highlight w:val="none"/>
                <w:lang w:val="en-US" w:eastAsia="zh-CN"/>
              </w:rPr>
            </w:pPr>
            <w:r>
              <w:rPr>
                <w:rFonts w:hint="eastAsia"/>
                <w:b/>
                <w:bCs/>
                <w:highlight w:val="none"/>
                <w:lang w:val="en-US" w:eastAsia="zh-CN"/>
              </w:rPr>
              <w:t>（1）蛋液生产工艺流程</w:t>
            </w:r>
          </w:p>
          <w:p>
            <w:pPr>
              <w:pStyle w:val="108"/>
              <w:ind w:firstLine="480"/>
              <w:rPr>
                <w:rFonts w:hAnsi="宋体"/>
                <w:spacing w:val="4"/>
                <w:kern w:val="2"/>
                <w:highlight w:val="none"/>
              </w:rPr>
            </w:pPr>
            <w:r>
              <w:rPr>
                <w:rFonts w:hint="eastAsia"/>
                <w:highlight w:val="none"/>
              </w:rPr>
              <w:t>本项目产品为蛋液制品，具体</w:t>
            </w:r>
            <w:r>
              <w:rPr>
                <w:rFonts w:hint="eastAsia" w:hAnsi="宋体"/>
                <w:spacing w:val="4"/>
                <w:kern w:val="2"/>
                <w:highlight w:val="none"/>
              </w:rPr>
              <w:t>生产工艺流程及产污节点如图2-3所示：</w:t>
            </w:r>
          </w:p>
          <w:p>
            <w:pPr>
              <w:autoSpaceDE w:val="0"/>
              <w:autoSpaceDN w:val="0"/>
              <w:spacing w:line="360" w:lineRule="auto"/>
              <w:jc w:val="center"/>
              <w:rPr>
                <w:rFonts w:hAnsi="宋体"/>
                <w:spacing w:val="4"/>
                <w:sz w:val="24"/>
                <w:highlight w:val="none"/>
              </w:rPr>
            </w:pPr>
            <w:r>
              <w:rPr>
                <w:rFonts w:hint="eastAsia" w:hAnsi="宋体"/>
                <w:spacing w:val="4"/>
                <w:sz w:val="24"/>
                <w:highlight w:val="none"/>
              </w:rPr>
              <w:drawing>
                <wp:inline distT="0" distB="0" distL="114300" distR="114300">
                  <wp:extent cx="3493135" cy="5476240"/>
                  <wp:effectExtent l="0" t="0" r="0" b="0"/>
                  <wp:docPr id="6" name="ECB019B1-382A-4266-B25C-5B523AA43C14-3" descr="C:/Users/Lenovo/AppData/Local/Temp/wps.nhkMIf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Lenovo/AppData/Local/Temp/wps.nhkMIfwps"/>
                          <pic:cNvPicPr>
                            <a:picLocks noChangeAspect="1"/>
                          </pic:cNvPicPr>
                        </pic:nvPicPr>
                        <pic:blipFill>
                          <a:blip r:embed="rId11"/>
                          <a:stretch>
                            <a:fillRect/>
                          </a:stretch>
                        </pic:blipFill>
                        <pic:spPr>
                          <a:xfrm>
                            <a:off x="0" y="0"/>
                            <a:ext cx="3493135" cy="5476240"/>
                          </a:xfrm>
                          <a:prstGeom prst="rect">
                            <a:avLst/>
                          </a:prstGeom>
                        </pic:spPr>
                      </pic:pic>
                    </a:graphicData>
                  </a:graphic>
                </wp:inline>
              </w:drawing>
            </w:r>
          </w:p>
          <w:p>
            <w:pPr>
              <w:jc w:val="center"/>
              <w:rPr>
                <w:b/>
                <w:bCs/>
                <w:highlight w:val="none"/>
              </w:rPr>
            </w:pPr>
            <w:r>
              <w:rPr>
                <w:b/>
                <w:bCs/>
                <w:highlight w:val="none"/>
              </w:rPr>
              <w:t>图</w:t>
            </w:r>
            <w:r>
              <w:rPr>
                <w:rFonts w:hint="eastAsia"/>
                <w:b/>
                <w:bCs/>
                <w:highlight w:val="none"/>
              </w:rPr>
              <w:t>2-3</w:t>
            </w:r>
            <w:r>
              <w:rPr>
                <w:b/>
                <w:bCs/>
                <w:highlight w:val="none"/>
              </w:rPr>
              <w:t xml:space="preserve">  </w:t>
            </w:r>
            <w:r>
              <w:rPr>
                <w:rFonts w:hint="eastAsia"/>
                <w:b/>
                <w:bCs/>
                <w:highlight w:val="none"/>
              </w:rPr>
              <w:t>蛋液</w:t>
            </w:r>
            <w:r>
              <w:rPr>
                <w:b/>
                <w:bCs/>
                <w:highlight w:val="none"/>
              </w:rPr>
              <w:t>生产工艺流程及产污节点图</w:t>
            </w:r>
          </w:p>
          <w:p>
            <w:pPr>
              <w:tabs>
                <w:tab w:val="left" w:pos="328"/>
              </w:tabs>
              <w:autoSpaceDE w:val="0"/>
              <w:autoSpaceDN w:val="0"/>
              <w:adjustRightInd w:val="0"/>
              <w:spacing w:line="360" w:lineRule="auto"/>
              <w:ind w:firstLine="481" w:firstLineChars="200"/>
              <w:jc w:val="left"/>
              <w:rPr>
                <w:b/>
                <w:bCs/>
                <w:sz w:val="24"/>
                <w:highlight w:val="none"/>
              </w:rPr>
            </w:pPr>
            <w:r>
              <w:rPr>
                <w:rFonts w:hint="eastAsia"/>
                <w:b/>
                <w:bCs/>
                <w:sz w:val="24"/>
                <w:highlight w:val="none"/>
              </w:rPr>
              <w:t>生产</w:t>
            </w:r>
            <w:r>
              <w:rPr>
                <w:b/>
                <w:bCs/>
                <w:sz w:val="24"/>
                <w:highlight w:val="none"/>
              </w:rPr>
              <w:t>工艺</w:t>
            </w:r>
            <w:r>
              <w:rPr>
                <w:rFonts w:hint="eastAsia"/>
                <w:b/>
                <w:bCs/>
                <w:sz w:val="24"/>
                <w:highlight w:val="none"/>
              </w:rPr>
              <w:t>及产污环节</w:t>
            </w:r>
            <w:r>
              <w:rPr>
                <w:b/>
                <w:bCs/>
                <w:sz w:val="24"/>
                <w:highlight w:val="none"/>
              </w:rPr>
              <w:t>简述：</w:t>
            </w:r>
          </w:p>
          <w:p>
            <w:pPr>
              <w:pStyle w:val="96"/>
              <w:ind w:firstLine="480"/>
              <w:rPr>
                <w:highlight w:val="none"/>
              </w:rPr>
            </w:pPr>
            <w:r>
              <w:rPr>
                <w:rFonts w:hint="eastAsia"/>
                <w:highlight w:val="none"/>
              </w:rPr>
              <w:t>1）</w:t>
            </w:r>
            <w:r>
              <w:rPr>
                <w:b/>
                <w:bCs/>
                <w:highlight w:val="none"/>
              </w:rPr>
              <w:t>原料分选</w:t>
            </w:r>
            <w:r>
              <w:rPr>
                <w:highlight w:val="none"/>
              </w:rPr>
              <w:t>：本项目生产所用原料均为外购所得。主要原料为</w:t>
            </w:r>
            <w:r>
              <w:rPr>
                <w:rFonts w:hint="eastAsia"/>
                <w:highlight w:val="none"/>
              </w:rPr>
              <w:t>鲜</w:t>
            </w:r>
            <w:r>
              <w:rPr>
                <w:highlight w:val="none"/>
              </w:rPr>
              <w:t>鸡蛋。为保障产品质量，原料蛋投入生产环节前需进行分选，</w:t>
            </w:r>
            <w:r>
              <w:rPr>
                <w:color w:val="0000FF"/>
                <w:highlight w:val="none"/>
              </w:rPr>
              <w:t>剔除</w:t>
            </w:r>
            <w:r>
              <w:rPr>
                <w:rFonts w:hint="eastAsia"/>
                <w:color w:val="0000FF"/>
                <w:highlight w:val="none"/>
                <w:lang w:val="en-US" w:eastAsia="zh-CN"/>
              </w:rPr>
              <w:t>裂纹、散黄、变质等</w:t>
            </w:r>
            <w:r>
              <w:rPr>
                <w:color w:val="0000FF"/>
                <w:highlight w:val="none"/>
              </w:rPr>
              <w:t>不合格</w:t>
            </w:r>
            <w:r>
              <w:rPr>
                <w:rFonts w:hint="eastAsia"/>
                <w:color w:val="0000FF"/>
                <w:highlight w:val="none"/>
                <w:lang w:val="en-US" w:eastAsia="zh-CN"/>
              </w:rPr>
              <w:t>蛋</w:t>
            </w:r>
            <w:r>
              <w:rPr>
                <w:highlight w:val="none"/>
              </w:rPr>
              <w:t>。分选产生不合格蛋。</w:t>
            </w:r>
          </w:p>
          <w:p>
            <w:pPr>
              <w:pStyle w:val="96"/>
              <w:ind w:firstLine="480"/>
              <w:rPr>
                <w:highlight w:val="none"/>
              </w:rPr>
            </w:pPr>
            <w:r>
              <w:rPr>
                <w:rFonts w:hint="eastAsia"/>
                <w:highlight w:val="none"/>
              </w:rPr>
              <w:t>2）</w:t>
            </w:r>
            <w:r>
              <w:rPr>
                <w:rFonts w:hint="eastAsia"/>
                <w:b/>
                <w:bCs/>
                <w:highlight w:val="none"/>
              </w:rPr>
              <w:t>上蛋</w:t>
            </w:r>
            <w:r>
              <w:rPr>
                <w:rFonts w:hint="eastAsia"/>
                <w:highlight w:val="none"/>
              </w:rPr>
              <w:t>：根据建设单位提供的资料，项目利用自动上蛋、洗蛋系统进行上蛋、洗蛋过程，自动上蛋、洗蛋系统包括水箱上蛋、洗蛋等过程。</w:t>
            </w:r>
          </w:p>
          <w:p>
            <w:pPr>
              <w:pStyle w:val="96"/>
              <w:ind w:firstLine="480"/>
              <w:rPr>
                <w:highlight w:val="none"/>
              </w:rPr>
            </w:pPr>
            <w:r>
              <w:rPr>
                <w:rFonts w:hint="eastAsia"/>
                <w:highlight w:val="none"/>
              </w:rPr>
              <w:t>利用水箱上蛋机机械手将外购的整版鸡蛋置于水箱内，水箱底部为传送带，鸡蛋放入水箱后自动落至传送带上，然后利用水的浮力将待加工的鸡蛋均匀地分散在传送带上。利用水箱上蛋机可避免了鸡蛋的堆积和碰撞，同时利用水流循环系统让鸡蛋在水中缓慢移动，方便后续的操作，且还可以起到对鸡蛋的清洗作用。</w:t>
            </w:r>
          </w:p>
          <w:p>
            <w:pPr>
              <w:pStyle w:val="96"/>
              <w:ind w:firstLine="480"/>
              <w:rPr>
                <w:highlight w:val="none"/>
              </w:rPr>
            </w:pPr>
            <w:r>
              <w:rPr>
                <w:rFonts w:hint="eastAsia"/>
                <w:highlight w:val="none"/>
              </w:rPr>
              <w:t>根据设计，项目水箱上蛋机水箱有效容积为800L，室温操作，用水为自来水，水箱内水循环使用，定期补充损耗，每2小时更换一次，该部分水统称鸡蛋清洗废水，经集中收集后经管道排至厂内自建污水处理站进行处理。</w:t>
            </w:r>
          </w:p>
          <w:p>
            <w:pPr>
              <w:pStyle w:val="96"/>
              <w:ind w:firstLine="480"/>
              <w:rPr>
                <w:highlight w:val="none"/>
              </w:rPr>
            </w:pPr>
            <w:r>
              <w:rPr>
                <w:rFonts w:hint="eastAsia"/>
                <w:highlight w:val="none"/>
              </w:rPr>
              <w:t>3）</w:t>
            </w:r>
            <w:r>
              <w:rPr>
                <w:rFonts w:hint="eastAsia"/>
                <w:b/>
                <w:bCs/>
                <w:highlight w:val="none"/>
              </w:rPr>
              <w:t>清洗</w:t>
            </w:r>
            <w:r>
              <w:rPr>
                <w:rFonts w:hint="eastAsia"/>
                <w:highlight w:val="none"/>
              </w:rPr>
              <w:t>：水箱上蛋简单清洗后的鸡蛋经输送带进入洗蛋机内部进行喷淋清洗，机器顶部设置水喷淋头对鸡蛋进行清洗，目的是确保鸡蛋表面不含任何杂质与污垢。洗蛋机用水为自来水，室温工作，清洗流量约为0.8t/h。该工序产生鸡蛋清洗废水。水洗后的鸡蛋输送至</w:t>
            </w:r>
            <w:r>
              <w:rPr>
                <w:rFonts w:hint="eastAsia"/>
                <w:color w:val="0000FF"/>
                <w:highlight w:val="none"/>
              </w:rPr>
              <w:t>吹干系统</w:t>
            </w:r>
            <w:r>
              <w:rPr>
                <w:rFonts w:hint="eastAsia"/>
                <w:color w:val="0000FF"/>
                <w:highlight w:val="none"/>
                <w:lang w:eastAsia="zh-CN"/>
              </w:rPr>
              <w:t>，</w:t>
            </w:r>
            <w:r>
              <w:rPr>
                <w:rFonts w:hint="eastAsia"/>
                <w:color w:val="0000FF"/>
                <w:highlight w:val="none"/>
                <w:lang w:val="en-US" w:eastAsia="zh-CN"/>
              </w:rPr>
              <w:t>采用风机</w:t>
            </w:r>
            <w:r>
              <w:rPr>
                <w:rFonts w:hint="eastAsia"/>
                <w:color w:val="0000FF"/>
                <w:highlight w:val="none"/>
              </w:rPr>
              <w:t>吹干</w:t>
            </w:r>
            <w:r>
              <w:rPr>
                <w:rFonts w:hint="eastAsia"/>
                <w:highlight w:val="none"/>
              </w:rPr>
              <w:t>，以防止后续打蛋过程污染蛋液从而导致微生物滋生。</w:t>
            </w:r>
          </w:p>
          <w:p>
            <w:pPr>
              <w:pStyle w:val="96"/>
              <w:ind w:firstLine="480"/>
              <w:rPr>
                <w:highlight w:val="none"/>
              </w:rPr>
            </w:pPr>
            <w:r>
              <w:rPr>
                <w:rFonts w:hint="eastAsia"/>
                <w:highlight w:val="none"/>
              </w:rPr>
              <w:t>4）</w:t>
            </w:r>
            <w:r>
              <w:rPr>
                <w:rFonts w:hint="eastAsia"/>
                <w:b/>
                <w:bCs/>
                <w:highlight w:val="none"/>
              </w:rPr>
              <w:t>打蛋</w:t>
            </w:r>
            <w:r>
              <w:rPr>
                <w:rFonts w:hint="eastAsia"/>
                <w:highlight w:val="none"/>
              </w:rPr>
              <w:t xml:space="preserve">：鸡蛋经生产线进入打蛋机进行打蛋，打蛋、掰壳、分离、抛壳自动连续进行。根据产品需要可设置程序，可自动分离蛋黄和蛋白，也可不分离为全蛋，蛋液经设备分离系统可分为全蛋液、蛋黄液和蛋白液。该过程会产生蛋壳，破壳后的蛋壳通过绞龙送入蛋壳离心机，废蛋液集中收集后外售综合利用。 </w:t>
            </w:r>
          </w:p>
          <w:p>
            <w:pPr>
              <w:pStyle w:val="96"/>
              <w:ind w:firstLine="480"/>
              <w:rPr>
                <w:highlight w:val="none"/>
              </w:rPr>
            </w:pPr>
            <w:r>
              <w:rPr>
                <w:rFonts w:hint="eastAsia"/>
                <w:highlight w:val="none"/>
              </w:rPr>
              <w:t>5）</w:t>
            </w:r>
            <w:r>
              <w:rPr>
                <w:rFonts w:hint="eastAsia"/>
                <w:b/>
                <w:bCs/>
                <w:highlight w:val="none"/>
              </w:rPr>
              <w:t>蛋壳离心</w:t>
            </w:r>
            <w:r>
              <w:rPr>
                <w:rFonts w:hint="eastAsia"/>
                <w:highlight w:val="none"/>
              </w:rPr>
              <w:t>：破壳后的鸡蛋通过蛋壳离心机进一步分离蛋液，</w:t>
            </w:r>
            <w:r>
              <w:rPr>
                <w:rFonts w:hint="eastAsia"/>
                <w:color w:val="0000FF"/>
                <w:highlight w:val="none"/>
              </w:rPr>
              <w:t>分离出的蛋液</w:t>
            </w:r>
            <w:r>
              <w:rPr>
                <w:rFonts w:hint="eastAsia"/>
                <w:color w:val="0000FF"/>
                <w:highlight w:val="none"/>
                <w:lang w:val="en-US" w:eastAsia="zh-CN"/>
              </w:rPr>
              <w:t>为废蛋液，</w:t>
            </w:r>
            <w:r>
              <w:rPr>
                <w:rFonts w:hint="eastAsia"/>
                <w:color w:val="0000FF"/>
                <w:highlight w:val="none"/>
              </w:rPr>
              <w:t>集中收集后外售综合利用</w:t>
            </w:r>
            <w:r>
              <w:rPr>
                <w:rFonts w:hint="eastAsia"/>
                <w:highlight w:val="none"/>
              </w:rPr>
              <w:t>。离心后的蛋壳基本无蛋液留存，无异味，蛋壳暂存于蛋壳暂存间，日产日清。</w:t>
            </w:r>
          </w:p>
          <w:p>
            <w:pPr>
              <w:pStyle w:val="96"/>
              <w:ind w:firstLine="480"/>
              <w:rPr>
                <w:color w:val="0000FF"/>
                <w:highlight w:val="none"/>
              </w:rPr>
            </w:pPr>
            <w:r>
              <w:rPr>
                <w:rFonts w:hint="eastAsia"/>
                <w:highlight w:val="none"/>
              </w:rPr>
              <w:t>6）</w:t>
            </w:r>
            <w:r>
              <w:rPr>
                <w:rFonts w:hint="eastAsia"/>
                <w:b/>
                <w:bCs/>
                <w:highlight w:val="none"/>
              </w:rPr>
              <w:t>过滤</w:t>
            </w:r>
            <w:r>
              <w:rPr>
                <w:rFonts w:hint="eastAsia"/>
                <w:highlight w:val="none"/>
              </w:rPr>
              <w:t>：</w:t>
            </w:r>
            <w:r>
              <w:rPr>
                <w:rFonts w:hint="eastAsia"/>
                <w:color w:val="0000FF"/>
                <w:highlight w:val="none"/>
              </w:rPr>
              <w:t>上述分离的全蛋液、蛋黄液和蛋白液输送至管道式</w:t>
            </w:r>
            <w:r>
              <w:rPr>
                <w:rFonts w:hint="eastAsia"/>
                <w:color w:val="0000FF"/>
                <w:highlight w:val="none"/>
                <w:lang w:val="en-US" w:eastAsia="zh-CN"/>
              </w:rPr>
              <w:t>自动</w:t>
            </w:r>
            <w:r>
              <w:rPr>
                <w:rFonts w:hint="eastAsia"/>
                <w:color w:val="0000FF"/>
                <w:highlight w:val="none"/>
              </w:rPr>
              <w:t>过滤器，进行过滤，除去碎蛋壳、膜组织以及一些大的凝固颗粒等杂质</w:t>
            </w:r>
            <w:r>
              <w:rPr>
                <w:rFonts w:hint="eastAsia"/>
                <w:color w:val="0000FF"/>
                <w:highlight w:val="none"/>
                <w:lang w:eastAsia="zh-CN"/>
              </w:rPr>
              <w:t>，</w:t>
            </w:r>
            <w:r>
              <w:rPr>
                <w:rFonts w:hint="eastAsia"/>
                <w:color w:val="0000FF"/>
                <w:highlight w:val="none"/>
                <w:lang w:val="en-US" w:eastAsia="zh-CN"/>
              </w:rPr>
              <w:t>拦截的物质形成过滤废弃物，</w:t>
            </w:r>
            <w:r>
              <w:rPr>
                <w:rFonts w:hint="eastAsia"/>
                <w:color w:val="0000FF"/>
                <w:highlight w:val="none"/>
              </w:rPr>
              <w:t>过滤后的蛋液输送至物料冷却系统进行冷却。滤网生产结束后</w:t>
            </w:r>
            <w:r>
              <w:rPr>
                <w:rFonts w:hint="eastAsia"/>
                <w:color w:val="0000FF"/>
                <w:highlight w:val="none"/>
                <w:lang w:val="en-US" w:eastAsia="zh-CN"/>
              </w:rPr>
              <w:t>进行清洗即可，无需更换</w:t>
            </w:r>
            <w:r>
              <w:rPr>
                <w:rFonts w:hint="eastAsia"/>
                <w:color w:val="0000FF"/>
                <w:highlight w:val="none"/>
              </w:rPr>
              <w:t>。该过程产生</w:t>
            </w:r>
            <w:r>
              <w:rPr>
                <w:rFonts w:hint="eastAsia"/>
                <w:color w:val="0000FF"/>
                <w:highlight w:val="none"/>
                <w:lang w:eastAsia="zh-CN"/>
              </w:rPr>
              <w:t>的</w:t>
            </w:r>
            <w:r>
              <w:rPr>
                <w:rFonts w:hint="eastAsia"/>
                <w:color w:val="0000FF"/>
                <w:highlight w:val="none"/>
              </w:rPr>
              <w:t>过滤废弃物，经集中收集后外售综合利用处理。</w:t>
            </w:r>
          </w:p>
          <w:p>
            <w:pPr>
              <w:pStyle w:val="96"/>
              <w:ind w:firstLine="480"/>
              <w:rPr>
                <w:highlight w:val="none"/>
              </w:rPr>
            </w:pPr>
            <w:r>
              <w:rPr>
                <w:rFonts w:hint="eastAsia"/>
                <w:highlight w:val="none"/>
              </w:rPr>
              <w:t>7）</w:t>
            </w:r>
            <w:r>
              <w:rPr>
                <w:rFonts w:hint="eastAsia"/>
                <w:b/>
                <w:bCs/>
                <w:highlight w:val="none"/>
              </w:rPr>
              <w:t>预冷</w:t>
            </w:r>
            <w:r>
              <w:rPr>
                <w:rFonts w:hint="eastAsia"/>
                <w:highlight w:val="none"/>
              </w:rPr>
              <w:t>：</w:t>
            </w:r>
            <w:r>
              <w:rPr>
                <w:rFonts w:hint="eastAsia"/>
                <w:color w:val="0000FF"/>
                <w:highlight w:val="none"/>
              </w:rPr>
              <w:t>蛋液经过滤后</w:t>
            </w:r>
            <w:r>
              <w:rPr>
                <w:rFonts w:hint="eastAsia"/>
                <w:color w:val="0000FF"/>
                <w:highlight w:val="none"/>
                <w:lang w:val="en-US" w:eastAsia="zh-CN"/>
              </w:rPr>
              <w:t>进入冷却系统</w:t>
            </w:r>
            <w:r>
              <w:rPr>
                <w:rFonts w:hint="eastAsia"/>
                <w:color w:val="0000FF"/>
                <w:highlight w:val="none"/>
              </w:rPr>
              <w:t>预冷至 4℃</w:t>
            </w:r>
            <w:r>
              <w:rPr>
                <w:rFonts w:hint="eastAsia"/>
                <w:color w:val="0000FF"/>
                <w:highlight w:val="none"/>
                <w:lang w:eastAsia="zh-CN"/>
              </w:rPr>
              <w:t>，</w:t>
            </w:r>
            <w:r>
              <w:rPr>
                <w:rFonts w:hint="eastAsia"/>
                <w:color w:val="0000FF"/>
                <w:highlight w:val="none"/>
              </w:rPr>
              <w:t>防止细菌生长。根据设计</w:t>
            </w:r>
            <w:r>
              <w:rPr>
                <w:rFonts w:hint="eastAsia"/>
                <w:color w:val="0000FF"/>
                <w:highlight w:val="none"/>
                <w:lang w:val="en-US" w:eastAsia="zh-CN"/>
              </w:rPr>
              <w:t>资料</w:t>
            </w:r>
            <w:r>
              <w:rPr>
                <w:rFonts w:hint="eastAsia"/>
                <w:color w:val="0000FF"/>
                <w:highlight w:val="none"/>
              </w:rPr>
              <w:t>，项目冷却系统由3段式不锈钢冷却板片（进口段、中间换热段和出口段）组成，</w:t>
            </w:r>
            <w:r>
              <w:rPr>
                <w:rFonts w:hint="eastAsia"/>
                <w:color w:val="0000FF"/>
                <w:highlight w:val="none"/>
                <w:lang w:val="en-US" w:eastAsia="zh-CN"/>
              </w:rPr>
              <w:t>采用1℃冰水作为预冷介质，</w:t>
            </w:r>
            <w:r>
              <w:rPr>
                <w:rFonts w:hint="eastAsia"/>
                <w:color w:val="0000FF"/>
                <w:highlight w:val="none"/>
              </w:rPr>
              <w:t>经进口段将蛋液分配至各自流道内后经中间换热段不锈钢板片的导热作用，实现冷却蛋液的目的，蛋液冷却后经出口段引出并收集至各自的原料罐内。</w:t>
            </w:r>
          </w:p>
          <w:p>
            <w:pPr>
              <w:pStyle w:val="96"/>
              <w:ind w:firstLine="480"/>
              <w:rPr>
                <w:highlight w:val="none"/>
              </w:rPr>
            </w:pPr>
            <w:r>
              <w:rPr>
                <w:rFonts w:hint="eastAsia"/>
                <w:highlight w:val="none"/>
                <w:lang w:val="en-US" w:eastAsia="zh-CN"/>
              </w:rPr>
              <w:t>8</w:t>
            </w:r>
            <w:r>
              <w:rPr>
                <w:rFonts w:hint="eastAsia"/>
                <w:highlight w:val="none"/>
              </w:rPr>
              <w:t>）</w:t>
            </w:r>
            <w:r>
              <w:rPr>
                <w:rFonts w:hint="eastAsia"/>
                <w:b/>
                <w:bCs/>
                <w:highlight w:val="none"/>
              </w:rPr>
              <w:t>均质、巴氏杀菌、冷却</w:t>
            </w:r>
            <w:r>
              <w:rPr>
                <w:rFonts w:hint="eastAsia"/>
                <w:highlight w:val="none"/>
              </w:rPr>
              <w:t xml:space="preserve">：经上述收集后的蛋液需经均质、巴氏杀菌过程，目的是杀灭蛋液中的微生物并保证蛋液的品质和稳定性。 </w:t>
            </w:r>
          </w:p>
          <w:p>
            <w:pPr>
              <w:pStyle w:val="96"/>
              <w:ind w:firstLine="480"/>
              <w:rPr>
                <w:highlight w:val="none"/>
              </w:rPr>
            </w:pPr>
            <w:r>
              <w:rPr>
                <w:rFonts w:hint="eastAsia"/>
                <w:highlight w:val="none"/>
              </w:rPr>
              <w:t>根据产品特性及设计方案，项目产品中蛋白液不需进行均质，经预冷后直接进入杀菌机进行杀菌。将</w:t>
            </w:r>
            <w:r>
              <w:rPr>
                <w:rFonts w:hint="eastAsia"/>
                <w:color w:val="0000FF"/>
                <w:highlight w:val="none"/>
                <w:lang w:val="en-US" w:eastAsia="zh-CN"/>
              </w:rPr>
              <w:t>全蛋液、蛋黄液</w:t>
            </w:r>
            <w:r>
              <w:rPr>
                <w:rFonts w:hint="eastAsia"/>
                <w:highlight w:val="none"/>
              </w:rPr>
              <w:t>输送至均质机对蛋液进行均质化处理，通过高压和剪切力将蛋液中的颗粒破碎细化，使其达到纳米级微粒的细腻程度。均质后经管道直接输送至杀菌机中杀菌，巴氏杀菌亦称低温消毒法，采用较低温度</w:t>
            </w:r>
            <w:r>
              <w:rPr>
                <w:rFonts w:hint="eastAsia"/>
                <w:highlight w:val="none"/>
                <w:lang w:eastAsia="zh-CN"/>
              </w:rPr>
              <w:t>（</w:t>
            </w:r>
            <w:r>
              <w:rPr>
                <w:rFonts w:hint="eastAsia"/>
                <w:highlight w:val="none"/>
              </w:rPr>
              <w:t>一般在</w:t>
            </w:r>
            <w:r>
              <w:rPr>
                <w:highlight w:val="none"/>
              </w:rPr>
              <w:t>60~82℃</w:t>
            </w:r>
            <w:r>
              <w:rPr>
                <w:rFonts w:hint="eastAsia"/>
                <w:highlight w:val="none"/>
                <w:lang w:eastAsia="zh-CN"/>
              </w:rPr>
              <w:t>）</w:t>
            </w:r>
            <w:r>
              <w:rPr>
                <w:rFonts w:hint="eastAsia"/>
                <w:highlight w:val="none"/>
              </w:rPr>
              <w:t>，在</w:t>
            </w:r>
            <w:r>
              <w:rPr>
                <w:highlight w:val="none"/>
              </w:rPr>
              <w:t>30min</w:t>
            </w:r>
            <w:r>
              <w:rPr>
                <w:rFonts w:hint="eastAsia"/>
                <w:highlight w:val="none"/>
              </w:rPr>
              <w:t>内，对蛋液进行加热处理，达到杀死微生物营养体的目的，然后利用杀菌机自带冷却系统急速冷却到</w:t>
            </w:r>
            <w:r>
              <w:rPr>
                <w:highlight w:val="none"/>
              </w:rPr>
              <w:t>4-5℃</w:t>
            </w:r>
            <w:r>
              <w:rPr>
                <w:rFonts w:hint="eastAsia"/>
                <w:highlight w:val="none"/>
              </w:rPr>
              <w:t>，通过巴氏杀菌，既能达到消毒目的又不损害食品品质。该过程热源由生物质蒸汽锅炉提供。</w:t>
            </w:r>
          </w:p>
          <w:p>
            <w:pPr>
              <w:pStyle w:val="96"/>
              <w:ind w:firstLine="480"/>
              <w:rPr>
                <w:highlight w:val="none"/>
              </w:rPr>
            </w:pPr>
            <w:r>
              <w:rPr>
                <w:rFonts w:hint="eastAsia"/>
                <w:highlight w:val="none"/>
                <w:lang w:val="en-US" w:eastAsia="zh-CN"/>
              </w:rPr>
              <w:t>9</w:t>
            </w:r>
            <w:r>
              <w:rPr>
                <w:rFonts w:hint="eastAsia"/>
                <w:highlight w:val="none"/>
              </w:rPr>
              <w:t>）</w:t>
            </w:r>
            <w:r>
              <w:rPr>
                <w:rFonts w:hint="eastAsia"/>
                <w:b/>
                <w:bCs/>
                <w:highlight w:val="none"/>
              </w:rPr>
              <w:t>灌装</w:t>
            </w:r>
            <w:r>
              <w:rPr>
                <w:rFonts w:hint="eastAsia"/>
                <w:highlight w:val="none"/>
              </w:rPr>
              <w:t>：将上述工序处理后的半成品蛋液输送至灌装机内进行灌装，灌装规格为10 kg/袋。灌装机取袋装置从袋库中机械抓取包装袋送至旋转式包装工位上后，由开袋装置将包装袋撑开，经上述工序加工后的蛋液经输送装置输送至包装袋中后，将包装袋旋转至封口工位前，封口设备对包装袋利用适当压力、温度使袋口黏合在一起，完成封口。</w:t>
            </w:r>
          </w:p>
          <w:p>
            <w:pPr>
              <w:pStyle w:val="96"/>
              <w:ind w:firstLine="480"/>
              <w:rPr>
                <w:highlight w:val="none"/>
              </w:rPr>
            </w:pPr>
            <w:r>
              <w:rPr>
                <w:rFonts w:hint="eastAsia"/>
                <w:highlight w:val="none"/>
              </w:rPr>
              <w:t>包装袋经封口后经输送带输送至激光自动打码机前，激光自动打码机在包装袋上激光打印上生产日期、保质期、批次号等信息。完成打码后的包装袋通过输送带输送出灌装机。</w:t>
            </w:r>
          </w:p>
          <w:p>
            <w:pPr>
              <w:pStyle w:val="96"/>
              <w:ind w:firstLine="480"/>
              <w:rPr>
                <w:highlight w:val="none"/>
              </w:rPr>
            </w:pPr>
            <w:r>
              <w:rPr>
                <w:rFonts w:hint="eastAsia"/>
                <w:highlight w:val="none"/>
              </w:rPr>
              <w:t>本项目使用的包装袋主要成分为聚乙烯（熔点 85-136℃，沸点 270℃），包装封口温度为 60℃左右，在此温度下包装袋封口膜受热变软，在压力作用下黏合在一起，不使用</w:t>
            </w:r>
            <w:r>
              <w:rPr>
                <w:rFonts w:hint="eastAsia"/>
                <w:highlight w:val="none"/>
                <w:lang w:eastAsia="zh-CN"/>
              </w:rPr>
              <w:t>胶黏</w:t>
            </w:r>
            <w:r>
              <w:rPr>
                <w:rFonts w:hint="eastAsia"/>
                <w:highlight w:val="none"/>
              </w:rPr>
              <w:t>。封口完成后的产品使用激光自动打码机打印生产日期等，打印方式为激光打码，不使用油墨，不会产生有机废气。</w:t>
            </w:r>
          </w:p>
          <w:p>
            <w:pPr>
              <w:pStyle w:val="96"/>
              <w:ind w:firstLine="480"/>
              <w:rPr>
                <w:highlight w:val="none"/>
              </w:rPr>
            </w:pPr>
            <w:r>
              <w:rPr>
                <w:rFonts w:hint="eastAsia"/>
                <w:highlight w:val="none"/>
                <w:lang w:val="en-US" w:eastAsia="zh-CN"/>
              </w:rPr>
              <w:t>10</w:t>
            </w:r>
            <w:r>
              <w:rPr>
                <w:rFonts w:hint="eastAsia"/>
                <w:highlight w:val="none"/>
              </w:rPr>
              <w:t>）</w:t>
            </w:r>
            <w:r>
              <w:rPr>
                <w:rFonts w:hint="eastAsia"/>
                <w:b/>
                <w:bCs/>
                <w:highlight w:val="none"/>
              </w:rPr>
              <w:t>装箱、打码</w:t>
            </w:r>
            <w:r>
              <w:rPr>
                <w:rFonts w:hint="eastAsia"/>
                <w:highlight w:val="none"/>
              </w:rPr>
              <w:t>：包装好后的半成品蛋液由自动码垛机装箱打包，再经激光自动打码机打印上生产日期、保质期、批次号等信息。然后由人工利用叉车将成品蛋液输送至冷库中存放。该过程产生废包装材料，经集中收集后交由物资回收部门回收利用。</w:t>
            </w:r>
          </w:p>
          <w:p>
            <w:pPr>
              <w:pStyle w:val="96"/>
              <w:ind w:firstLine="480"/>
              <w:rPr>
                <w:color w:val="0000FF"/>
                <w:highlight w:val="none"/>
              </w:rPr>
            </w:pPr>
            <w:r>
              <w:rPr>
                <w:rFonts w:hint="eastAsia"/>
                <w:color w:val="0000FF"/>
                <w:highlight w:val="none"/>
                <w:lang w:val="en-US" w:eastAsia="zh-CN"/>
              </w:rPr>
              <w:t>11</w:t>
            </w:r>
            <w:r>
              <w:rPr>
                <w:rFonts w:hint="eastAsia"/>
                <w:color w:val="0000FF"/>
                <w:highlight w:val="none"/>
              </w:rPr>
              <w:t>）</w:t>
            </w:r>
            <w:r>
              <w:rPr>
                <w:rFonts w:hint="eastAsia"/>
                <w:b/>
                <w:bCs/>
                <w:color w:val="0000FF"/>
                <w:highlight w:val="none"/>
              </w:rPr>
              <w:t>检验</w:t>
            </w:r>
            <w:r>
              <w:rPr>
                <w:rFonts w:hint="eastAsia"/>
                <w:color w:val="0000FF"/>
                <w:highlight w:val="none"/>
              </w:rPr>
              <w:t>：产品日常需进行例行检测，</w:t>
            </w:r>
            <w:r>
              <w:rPr>
                <w:rFonts w:hint="eastAsia"/>
                <w:color w:val="0000FF"/>
                <w:highlight w:val="none"/>
                <w:lang w:val="en-US" w:eastAsia="zh-CN"/>
              </w:rPr>
              <w:t>需对</w:t>
            </w:r>
            <w:r>
              <w:rPr>
                <w:rFonts w:hint="eastAsia"/>
                <w:color w:val="0000FF"/>
                <w:highlight w:val="none"/>
              </w:rPr>
              <w:t>产品 pH 值、水分、微生物等</w:t>
            </w:r>
            <w:r>
              <w:rPr>
                <w:rFonts w:hint="eastAsia"/>
                <w:color w:val="0000FF"/>
                <w:highlight w:val="none"/>
                <w:lang w:eastAsia="zh-CN"/>
              </w:rPr>
              <w:t>指标</w:t>
            </w:r>
            <w:r>
              <w:rPr>
                <w:rFonts w:hint="eastAsia"/>
                <w:color w:val="0000FF"/>
                <w:highlight w:val="none"/>
              </w:rPr>
              <w:t>进行检测</w:t>
            </w:r>
            <w:r>
              <w:rPr>
                <w:rFonts w:hint="eastAsia"/>
                <w:color w:val="0000FF"/>
                <w:highlight w:val="none"/>
                <w:lang w:eastAsia="zh-CN"/>
              </w:rPr>
              <w:t>，</w:t>
            </w:r>
            <w:r>
              <w:rPr>
                <w:rFonts w:hint="eastAsia" w:ascii="宋体" w:hAnsi="宋体" w:eastAsia="宋体" w:cs="宋体"/>
                <w:color w:val="0000FF"/>
                <w:kern w:val="0"/>
                <w:sz w:val="24"/>
                <w:szCs w:val="24"/>
                <w:highlight w:val="none"/>
                <w:lang w:val="en-US" w:eastAsia="zh-CN" w:bidi="ar"/>
              </w:rPr>
              <w:t>均在生产车间二层检验室内进行。具体如下：</w:t>
            </w:r>
          </w:p>
          <w:p>
            <w:pPr>
              <w:pStyle w:val="96"/>
              <w:ind w:firstLine="480"/>
              <w:rPr>
                <w:rFonts w:hint="eastAsia"/>
                <w:color w:val="0000FF"/>
                <w:highlight w:val="none"/>
              </w:rPr>
            </w:pPr>
            <w:r>
              <w:rPr>
                <w:rFonts w:hint="eastAsia"/>
                <w:color w:val="0000FF"/>
                <w:highlight w:val="none"/>
              </w:rPr>
              <w:t>pH值：取适量试样置于烧杯内，使用pH计测其pH值，读取pH计显示的测定值。</w:t>
            </w:r>
          </w:p>
          <w:p>
            <w:pPr>
              <w:pStyle w:val="96"/>
              <w:ind w:firstLine="480"/>
              <w:rPr>
                <w:rFonts w:hint="eastAsia"/>
                <w:color w:val="0000FF"/>
                <w:highlight w:val="none"/>
              </w:rPr>
            </w:pPr>
            <w:r>
              <w:rPr>
                <w:rFonts w:hint="eastAsia"/>
                <w:color w:val="0000FF"/>
                <w:highlight w:val="none"/>
              </w:rPr>
              <w:t>水分及固形物：取已恒重的称量瓶称取2g</w:t>
            </w:r>
            <w:r>
              <w:rPr>
                <w:rFonts w:hint="eastAsia"/>
                <w:color w:val="0000FF"/>
                <w:highlight w:val="none"/>
                <w:lang w:eastAsia="zh-CN"/>
              </w:rPr>
              <w:t>～</w:t>
            </w:r>
            <w:r>
              <w:rPr>
                <w:rFonts w:hint="eastAsia"/>
                <w:color w:val="0000FF"/>
                <w:highlight w:val="none"/>
              </w:rPr>
              <w:t>10g试样，放入干燥箱内</w:t>
            </w:r>
            <w:r>
              <w:rPr>
                <w:rFonts w:hint="eastAsia"/>
                <w:color w:val="0000FF"/>
                <w:highlight w:val="none"/>
                <w:lang w:eastAsia="zh-CN"/>
              </w:rPr>
              <w:t>，</w:t>
            </w:r>
            <w:r>
              <w:rPr>
                <w:rFonts w:hint="eastAsia"/>
                <w:color w:val="0000FF"/>
                <w:highlight w:val="none"/>
              </w:rPr>
              <w:t>采用电加热进行干燥，干燥温度101℃-105℃，时间4h，干燥30分钟后重复上通过烘干前后产品的重量，推算产品含水率及固形物含量。一个操作，烘干一小时，干燥至最后两次恒重的百分数偏差在10%以内为止，</w:t>
            </w:r>
            <w:r>
              <w:rPr>
                <w:rFonts w:hint="eastAsia"/>
                <w:color w:val="0000FF"/>
                <w:highlight w:val="none"/>
                <w:lang w:val="en-US" w:eastAsia="zh-CN"/>
              </w:rPr>
              <w:t>通过烘干前后产品的重量，推算产品含水率及固形物含量。</w:t>
            </w:r>
          </w:p>
          <w:p>
            <w:pPr>
              <w:pStyle w:val="96"/>
              <w:ind w:firstLine="480"/>
              <w:rPr>
                <w:rFonts w:hint="eastAsia"/>
                <w:color w:val="0000FF"/>
                <w:highlight w:val="none"/>
                <w:lang w:val="en-US" w:eastAsia="zh-CN"/>
              </w:rPr>
            </w:pPr>
            <w:r>
              <w:rPr>
                <w:rFonts w:hint="eastAsia"/>
                <w:color w:val="0000FF"/>
                <w:highlight w:val="none"/>
                <w:lang w:val="en-US" w:eastAsia="zh-CN"/>
              </w:rPr>
              <w:t>微生物指标：①样品稀释：称取</w:t>
            </w:r>
            <w:r>
              <w:rPr>
                <w:rFonts w:hint="default"/>
                <w:color w:val="0000FF"/>
                <w:highlight w:val="none"/>
                <w:lang w:val="en-US" w:eastAsia="zh-CN"/>
              </w:rPr>
              <w:t>25g</w:t>
            </w:r>
            <w:r>
              <w:rPr>
                <w:rFonts w:hint="eastAsia"/>
                <w:color w:val="0000FF"/>
                <w:highlight w:val="none"/>
                <w:lang w:val="en-US" w:eastAsia="zh-CN"/>
              </w:rPr>
              <w:t>样品置盛有</w:t>
            </w:r>
            <w:r>
              <w:rPr>
                <w:rFonts w:hint="default"/>
                <w:color w:val="0000FF"/>
                <w:highlight w:val="none"/>
                <w:lang w:val="en-US" w:eastAsia="zh-CN"/>
              </w:rPr>
              <w:t>225mL</w:t>
            </w:r>
            <w:r>
              <w:rPr>
                <w:rFonts w:hint="eastAsia"/>
                <w:color w:val="0000FF"/>
                <w:highlight w:val="none"/>
                <w:lang w:val="en-US" w:eastAsia="zh-CN"/>
              </w:rPr>
              <w:t>生理盐水的无菌均质杯内，</w:t>
            </w:r>
            <w:r>
              <w:rPr>
                <w:rFonts w:hint="default"/>
                <w:color w:val="0000FF"/>
                <w:highlight w:val="none"/>
                <w:lang w:val="en-US" w:eastAsia="zh-CN"/>
              </w:rPr>
              <w:t>8000r/min~10000r/min</w:t>
            </w:r>
            <w:r>
              <w:rPr>
                <w:rFonts w:hint="eastAsia"/>
                <w:color w:val="0000FF"/>
                <w:highlight w:val="none"/>
                <w:lang w:val="en-US" w:eastAsia="zh-CN"/>
              </w:rPr>
              <w:t>均质</w:t>
            </w:r>
            <w:r>
              <w:rPr>
                <w:rFonts w:hint="default"/>
                <w:color w:val="0000FF"/>
                <w:highlight w:val="none"/>
                <w:lang w:val="en-US" w:eastAsia="zh-CN"/>
              </w:rPr>
              <w:t>1min</w:t>
            </w:r>
            <w:r>
              <w:rPr>
                <w:rFonts w:hint="eastAsia"/>
                <w:color w:val="0000FF"/>
                <w:highlight w:val="none"/>
                <w:lang w:val="en-US" w:eastAsia="zh-CN"/>
              </w:rPr>
              <w:t>～</w:t>
            </w:r>
            <w:r>
              <w:rPr>
                <w:rFonts w:hint="default"/>
                <w:color w:val="0000FF"/>
                <w:highlight w:val="none"/>
                <w:lang w:val="en-US" w:eastAsia="zh-CN"/>
              </w:rPr>
              <w:t>2min</w:t>
            </w:r>
            <w:r>
              <w:rPr>
                <w:rFonts w:hint="eastAsia"/>
                <w:color w:val="0000FF"/>
                <w:highlight w:val="none"/>
                <w:lang w:val="en-US" w:eastAsia="zh-CN"/>
              </w:rPr>
              <w:t>，或放入盛有</w:t>
            </w:r>
            <w:r>
              <w:rPr>
                <w:rFonts w:hint="default"/>
                <w:color w:val="0000FF"/>
                <w:highlight w:val="none"/>
                <w:lang w:val="en-US" w:eastAsia="zh-CN"/>
              </w:rPr>
              <w:t>225mL</w:t>
            </w:r>
            <w:r>
              <w:rPr>
                <w:rFonts w:hint="eastAsia"/>
                <w:color w:val="0000FF"/>
                <w:highlight w:val="none"/>
                <w:lang w:val="en-US" w:eastAsia="zh-CN"/>
              </w:rPr>
              <w:t>稀释液的无菌均质袋中，用拍击式均质器拍打</w:t>
            </w:r>
            <w:r>
              <w:rPr>
                <w:rFonts w:hint="default"/>
                <w:color w:val="0000FF"/>
                <w:highlight w:val="none"/>
                <w:lang w:val="en-US" w:eastAsia="zh-CN"/>
              </w:rPr>
              <w:t>1min</w:t>
            </w:r>
            <w:r>
              <w:rPr>
                <w:rFonts w:hint="eastAsia"/>
                <w:color w:val="0000FF"/>
                <w:highlight w:val="none"/>
                <w:lang w:val="en-US" w:eastAsia="zh-CN"/>
              </w:rPr>
              <w:t>～</w:t>
            </w:r>
            <w:r>
              <w:rPr>
                <w:rFonts w:hint="default"/>
                <w:color w:val="0000FF"/>
                <w:highlight w:val="none"/>
                <w:lang w:val="en-US" w:eastAsia="zh-CN"/>
              </w:rPr>
              <w:t>2min</w:t>
            </w:r>
            <w:r>
              <w:rPr>
                <w:rFonts w:hint="eastAsia"/>
                <w:color w:val="0000FF"/>
                <w:highlight w:val="none"/>
                <w:lang w:val="en-US" w:eastAsia="zh-CN"/>
              </w:rPr>
              <w:t>，制成</w:t>
            </w:r>
            <w:r>
              <w:rPr>
                <w:rFonts w:hint="default"/>
                <w:color w:val="0000FF"/>
                <w:highlight w:val="none"/>
                <w:lang w:val="en-US" w:eastAsia="zh-CN"/>
              </w:rPr>
              <w:t>1:10</w:t>
            </w:r>
            <w:r>
              <w:rPr>
                <w:rFonts w:hint="eastAsia"/>
                <w:color w:val="0000FF"/>
                <w:highlight w:val="none"/>
                <w:lang w:val="en-US" w:eastAsia="zh-CN"/>
              </w:rPr>
              <w:t>的样品匀液。用</w:t>
            </w:r>
            <w:r>
              <w:rPr>
                <w:rFonts w:hint="default"/>
                <w:color w:val="0000FF"/>
                <w:highlight w:val="none"/>
                <w:lang w:val="en-US" w:eastAsia="zh-CN"/>
              </w:rPr>
              <w:t>1mL</w:t>
            </w:r>
            <w:r>
              <w:rPr>
                <w:rFonts w:hint="eastAsia"/>
                <w:color w:val="0000FF"/>
                <w:highlight w:val="none"/>
                <w:lang w:val="en-US" w:eastAsia="zh-CN"/>
              </w:rPr>
              <w:t>无菌吸管或微量移液器吸取</w:t>
            </w:r>
            <w:r>
              <w:rPr>
                <w:rFonts w:hint="default"/>
                <w:color w:val="0000FF"/>
                <w:highlight w:val="none"/>
                <w:lang w:val="en-US" w:eastAsia="zh-CN"/>
              </w:rPr>
              <w:t>1:10</w:t>
            </w:r>
            <w:r>
              <w:rPr>
                <w:rFonts w:hint="eastAsia"/>
                <w:color w:val="0000FF"/>
                <w:highlight w:val="none"/>
                <w:lang w:val="en-US" w:eastAsia="zh-CN"/>
              </w:rPr>
              <w:t>样品匀液</w:t>
            </w:r>
            <w:r>
              <w:rPr>
                <w:rFonts w:hint="default"/>
                <w:color w:val="0000FF"/>
                <w:highlight w:val="none"/>
                <w:lang w:val="en-US" w:eastAsia="zh-CN"/>
              </w:rPr>
              <w:t>1mL</w:t>
            </w:r>
            <w:r>
              <w:rPr>
                <w:rFonts w:hint="eastAsia"/>
                <w:color w:val="0000FF"/>
                <w:highlight w:val="none"/>
                <w:lang w:val="en-US" w:eastAsia="zh-CN"/>
              </w:rPr>
              <w:t>，沿管壁缓慢注于盛有</w:t>
            </w:r>
            <w:r>
              <w:rPr>
                <w:rFonts w:hint="default"/>
                <w:color w:val="0000FF"/>
                <w:highlight w:val="none"/>
                <w:lang w:val="en-US" w:eastAsia="zh-CN"/>
              </w:rPr>
              <w:t>9mL</w:t>
            </w:r>
            <w:r>
              <w:rPr>
                <w:rFonts w:hint="eastAsia"/>
                <w:color w:val="0000FF"/>
                <w:highlight w:val="none"/>
                <w:lang w:val="en-US" w:eastAsia="zh-CN"/>
              </w:rPr>
              <w:t>稀释液的无菌试管中（注意吸管或吸头尖端不要触及稀释液面），振摇试管或换用</w:t>
            </w:r>
            <w:r>
              <w:rPr>
                <w:rFonts w:hint="default"/>
                <w:color w:val="0000FF"/>
                <w:highlight w:val="none"/>
                <w:lang w:val="en-US" w:eastAsia="zh-CN"/>
              </w:rPr>
              <w:t>1</w:t>
            </w:r>
            <w:r>
              <w:rPr>
                <w:rFonts w:hint="eastAsia"/>
                <w:color w:val="0000FF"/>
                <w:highlight w:val="none"/>
                <w:lang w:val="en-US" w:eastAsia="zh-CN"/>
              </w:rPr>
              <w:t>支无菌吸管反复吹打使其混合均匀，制成</w:t>
            </w:r>
            <w:r>
              <w:rPr>
                <w:rFonts w:hint="default"/>
                <w:color w:val="0000FF"/>
                <w:highlight w:val="none"/>
                <w:lang w:val="en-US" w:eastAsia="zh-CN"/>
              </w:rPr>
              <w:t>1:100</w:t>
            </w:r>
            <w:r>
              <w:rPr>
                <w:rFonts w:hint="eastAsia"/>
                <w:color w:val="0000FF"/>
                <w:highlight w:val="none"/>
                <w:lang w:val="en-US" w:eastAsia="zh-CN"/>
              </w:rPr>
              <w:t>的样品匀液。制备</w:t>
            </w:r>
            <w:r>
              <w:rPr>
                <w:rFonts w:hint="default"/>
                <w:color w:val="0000FF"/>
                <w:highlight w:val="none"/>
                <w:lang w:val="en-US" w:eastAsia="zh-CN"/>
              </w:rPr>
              <w:t xml:space="preserve">10 </w:t>
            </w:r>
            <w:r>
              <w:rPr>
                <w:rFonts w:hint="eastAsia"/>
                <w:color w:val="0000FF"/>
                <w:highlight w:val="none"/>
                <w:lang w:val="en-US" w:eastAsia="zh-CN"/>
              </w:rPr>
              <w:t>倍系列稀释样品匀液。每递增稀释一次，换用</w:t>
            </w:r>
            <w:r>
              <w:rPr>
                <w:rFonts w:hint="default"/>
                <w:color w:val="0000FF"/>
                <w:highlight w:val="none"/>
                <w:lang w:val="en-US" w:eastAsia="zh-CN"/>
              </w:rPr>
              <w:t>1</w:t>
            </w:r>
            <w:r>
              <w:rPr>
                <w:rFonts w:hint="eastAsia"/>
                <w:color w:val="0000FF"/>
                <w:highlight w:val="none"/>
                <w:lang w:val="en-US" w:eastAsia="zh-CN"/>
              </w:rPr>
              <w:t>次</w:t>
            </w:r>
            <w:r>
              <w:rPr>
                <w:rFonts w:hint="default"/>
                <w:color w:val="0000FF"/>
                <w:highlight w:val="none"/>
                <w:lang w:val="en-US" w:eastAsia="zh-CN"/>
              </w:rPr>
              <w:t>1mL</w:t>
            </w:r>
            <w:r>
              <w:rPr>
                <w:rFonts w:hint="eastAsia"/>
                <w:color w:val="0000FF"/>
                <w:highlight w:val="none"/>
                <w:lang w:val="en-US" w:eastAsia="zh-CN"/>
              </w:rPr>
              <w:t>无菌吸管或吸头。据对样品污染状况的估计，选择</w:t>
            </w:r>
            <w:r>
              <w:rPr>
                <w:rFonts w:hint="default"/>
                <w:color w:val="0000FF"/>
                <w:highlight w:val="none"/>
                <w:lang w:val="en-US" w:eastAsia="zh-CN"/>
              </w:rPr>
              <w:t>2</w:t>
            </w:r>
            <w:r>
              <w:rPr>
                <w:rFonts w:hint="eastAsia"/>
                <w:color w:val="0000FF"/>
                <w:highlight w:val="none"/>
                <w:lang w:val="en-US" w:eastAsia="zh-CN"/>
              </w:rPr>
              <w:t>个～</w:t>
            </w:r>
            <w:r>
              <w:rPr>
                <w:rFonts w:hint="default"/>
                <w:color w:val="0000FF"/>
                <w:highlight w:val="none"/>
                <w:lang w:val="en-US" w:eastAsia="zh-CN"/>
              </w:rPr>
              <w:t>3</w:t>
            </w:r>
            <w:r>
              <w:rPr>
                <w:rFonts w:hint="eastAsia"/>
                <w:color w:val="0000FF"/>
                <w:highlight w:val="none"/>
                <w:lang w:val="en-US" w:eastAsia="zh-CN"/>
              </w:rPr>
              <w:t>个适宜稀释度的样品匀液（液体样品可包括原液），在进行</w:t>
            </w:r>
            <w:r>
              <w:rPr>
                <w:rFonts w:hint="default"/>
                <w:color w:val="0000FF"/>
                <w:highlight w:val="none"/>
                <w:lang w:val="en-US" w:eastAsia="zh-CN"/>
              </w:rPr>
              <w:t>10</w:t>
            </w:r>
            <w:r>
              <w:rPr>
                <w:rFonts w:hint="eastAsia"/>
                <w:color w:val="0000FF"/>
                <w:highlight w:val="none"/>
                <w:lang w:val="en-US" w:eastAsia="zh-CN"/>
              </w:rPr>
              <w:t>倍递增稀释时，吸取</w:t>
            </w:r>
            <w:r>
              <w:rPr>
                <w:rFonts w:hint="default"/>
                <w:color w:val="0000FF"/>
                <w:highlight w:val="none"/>
                <w:lang w:val="en-US" w:eastAsia="zh-CN"/>
              </w:rPr>
              <w:t>1mL</w:t>
            </w:r>
            <w:r>
              <w:rPr>
                <w:rFonts w:hint="eastAsia"/>
                <w:color w:val="0000FF"/>
                <w:highlight w:val="none"/>
                <w:lang w:val="en-US" w:eastAsia="zh-CN"/>
              </w:rPr>
              <w:t>样品匀液于无菌平皿内，每个稀释度做两个平皿。同时，分别吸取</w:t>
            </w:r>
            <w:r>
              <w:rPr>
                <w:rFonts w:hint="default"/>
                <w:color w:val="0000FF"/>
                <w:highlight w:val="none"/>
                <w:lang w:val="en-US" w:eastAsia="zh-CN"/>
              </w:rPr>
              <w:t>1mL</w:t>
            </w:r>
            <w:r>
              <w:rPr>
                <w:rFonts w:hint="eastAsia"/>
                <w:color w:val="0000FF"/>
                <w:highlight w:val="none"/>
                <w:lang w:val="en-US" w:eastAsia="zh-CN"/>
              </w:rPr>
              <w:t>空白稀释液加入两个无菌平皿内作空白对照。及时将</w:t>
            </w:r>
            <w:r>
              <w:rPr>
                <w:rFonts w:hint="default"/>
                <w:color w:val="0000FF"/>
                <w:highlight w:val="none"/>
                <w:lang w:val="en-US" w:eastAsia="zh-CN"/>
              </w:rPr>
              <w:t>15mL</w:t>
            </w:r>
            <w:r>
              <w:rPr>
                <w:rFonts w:hint="eastAsia"/>
                <w:color w:val="0000FF"/>
                <w:highlight w:val="none"/>
                <w:lang w:val="en-US" w:eastAsia="zh-CN"/>
              </w:rPr>
              <w:t>～</w:t>
            </w:r>
            <w:r>
              <w:rPr>
                <w:rFonts w:hint="default"/>
                <w:color w:val="0000FF"/>
                <w:highlight w:val="none"/>
                <w:lang w:val="en-US" w:eastAsia="zh-CN"/>
              </w:rPr>
              <w:t>20mL</w:t>
            </w:r>
            <w:r>
              <w:rPr>
                <w:rFonts w:hint="eastAsia"/>
                <w:color w:val="0000FF"/>
                <w:highlight w:val="none"/>
                <w:lang w:val="en-US" w:eastAsia="zh-CN"/>
              </w:rPr>
              <w:t>冷却至</w:t>
            </w:r>
            <w:r>
              <w:rPr>
                <w:rFonts w:hint="default"/>
                <w:color w:val="0000FF"/>
                <w:highlight w:val="none"/>
                <w:lang w:val="en-US" w:eastAsia="zh-CN"/>
              </w:rPr>
              <w:t>46℃</w:t>
            </w:r>
            <w:r>
              <w:rPr>
                <w:rFonts w:hint="eastAsia"/>
                <w:color w:val="0000FF"/>
                <w:highlight w:val="none"/>
                <w:lang w:val="en-US" w:eastAsia="zh-CN"/>
              </w:rPr>
              <w:t>的平板计数琼脂培养基倾注平皿，并转动平皿使其混合均匀。②培养：待琼脂凝固后，将平板翻转，</w:t>
            </w:r>
            <w:r>
              <w:rPr>
                <w:rFonts w:hint="default"/>
                <w:color w:val="0000FF"/>
                <w:highlight w:val="none"/>
                <w:lang w:val="en-US" w:eastAsia="zh-CN"/>
              </w:rPr>
              <w:t>36℃±1</w:t>
            </w:r>
            <w:r>
              <w:rPr>
                <w:rFonts w:hint="eastAsia"/>
                <w:color w:val="0000FF"/>
                <w:highlight w:val="none"/>
                <w:lang w:val="en-US" w:eastAsia="zh-CN"/>
              </w:rPr>
              <w:t>培养</w:t>
            </w:r>
            <w:r>
              <w:rPr>
                <w:rFonts w:hint="default"/>
                <w:color w:val="0000FF"/>
                <w:highlight w:val="none"/>
                <w:lang w:val="en-US" w:eastAsia="zh-CN"/>
              </w:rPr>
              <w:t>48h±2h</w:t>
            </w:r>
            <w:r>
              <w:rPr>
                <w:rFonts w:hint="eastAsia"/>
                <w:color w:val="0000FF"/>
                <w:highlight w:val="none"/>
                <w:lang w:val="en-US" w:eastAsia="zh-CN"/>
              </w:rPr>
              <w:t xml:space="preserve">。③计数：可用肉眼观察，必要时用放大镜或菌落计数器，记录稀释倍数和相应的菌落数量。该过程主要使用营养琼脂、生理盐水等，不涉及化学试剂的使用。该过程会产生废培养基。 </w:t>
            </w:r>
          </w:p>
          <w:p>
            <w:pPr>
              <w:pStyle w:val="96"/>
              <w:ind w:firstLine="480"/>
              <w:rPr>
                <w:rFonts w:hint="eastAsia"/>
                <w:color w:val="0000FF"/>
                <w:highlight w:val="none"/>
              </w:rPr>
            </w:pPr>
            <w:r>
              <w:rPr>
                <w:rFonts w:hint="eastAsia"/>
                <w:color w:val="0000FF"/>
                <w:highlight w:val="none"/>
                <w:lang w:val="en-US" w:eastAsia="zh-CN"/>
              </w:rPr>
              <w:t>检验过程主要使用培养基、生理盐水及化学试剂等，检验频次为批检。根据建设单位提供的资料，本项目涉及的产品检测项目有</w:t>
            </w:r>
            <w:r>
              <w:rPr>
                <w:rFonts w:hint="default"/>
                <w:color w:val="0000FF"/>
                <w:highlight w:val="none"/>
                <w:lang w:val="en-US" w:eastAsia="zh-CN"/>
              </w:rPr>
              <w:t>pH</w:t>
            </w:r>
            <w:r>
              <w:rPr>
                <w:rFonts w:hint="eastAsia"/>
                <w:color w:val="0000FF"/>
                <w:highlight w:val="none"/>
                <w:lang w:val="en-US" w:eastAsia="zh-CN"/>
              </w:rPr>
              <w:t>值、水分、固形物和微生物指标，其余指标委外，检测过程会产生质检室废液、废试剂瓶、废培养基。为防止废培养基对外环境的污染，本项目采用电灭菌锅对废培养基进行高温灭菌消毒。</w:t>
            </w:r>
          </w:p>
          <w:p>
            <w:pPr>
              <w:pStyle w:val="96"/>
              <w:numPr>
                <w:ilvl w:val="0"/>
                <w:numId w:val="5"/>
              </w:numPr>
              <w:ind w:firstLine="481" w:firstLineChars="200"/>
              <w:rPr>
                <w:rFonts w:hint="eastAsia"/>
                <w:highlight w:val="none"/>
              </w:rPr>
            </w:pPr>
            <w:r>
              <w:rPr>
                <w:rFonts w:hint="eastAsia"/>
                <w:b/>
                <w:bCs/>
                <w:highlight w:val="none"/>
              </w:rPr>
              <w:t>CIP 清洗</w:t>
            </w:r>
            <w:r>
              <w:rPr>
                <w:rFonts w:hint="eastAsia"/>
                <w:highlight w:val="none"/>
              </w:rPr>
              <w:t>：蛋液产品所用设备及管道采用 CIP清洗，清洗程序为自来水冲洗→碱液冲洗→自来水冲洗→酸液冲洗→自来水冲洗，其中外购CIP清洗用酸液为浓度1%的硝酸，清洗用碱液为浓度2%的氢氧化钠，清洗用酸碱液分别采用45%硝酸水溶液、45%氢氧化钠水溶液调配，酸碱液配置过程均为在线调配，在线调配泵为管道连接，密闭混合，因此，酸碱液配置过程不会产生废气。</w:t>
            </w:r>
          </w:p>
          <w:p>
            <w:pPr>
              <w:pStyle w:val="108"/>
              <w:ind w:firstLine="480"/>
              <w:rPr>
                <w:rFonts w:hint="default" w:eastAsia="宋体"/>
                <w:b/>
                <w:bCs/>
                <w:color w:val="0000FF"/>
                <w:highlight w:val="none"/>
                <w:lang w:val="en-US" w:eastAsia="zh-CN"/>
              </w:rPr>
            </w:pPr>
            <w:r>
              <w:rPr>
                <w:rFonts w:hint="eastAsia" w:eastAsia="宋体"/>
                <w:b/>
                <w:bCs/>
                <w:color w:val="0000FF"/>
                <w:highlight w:val="none"/>
                <w:lang w:val="en-US" w:eastAsia="zh-CN"/>
              </w:rPr>
              <w:t>（2）锅炉运行工艺流程（生产操作方式）</w:t>
            </w:r>
          </w:p>
          <w:p>
            <w:pPr>
              <w:pStyle w:val="96"/>
              <w:numPr>
                <w:ilvl w:val="0"/>
                <w:numId w:val="0"/>
              </w:numPr>
              <w:jc w:val="center"/>
              <w:rPr>
                <w:rFonts w:hint="eastAsia"/>
                <w:highlight w:val="none"/>
                <w:lang w:val="en-US" w:eastAsia="zh-CN"/>
              </w:rPr>
            </w:pPr>
            <w:r>
              <w:rPr>
                <w:rFonts w:hint="eastAsia"/>
                <w:highlight w:val="none"/>
                <w:lang w:val="en-US" w:eastAsia="zh-CN"/>
              </w:rPr>
              <w:drawing>
                <wp:inline distT="0" distB="0" distL="114300" distR="114300">
                  <wp:extent cx="3505835" cy="1880870"/>
                  <wp:effectExtent l="0" t="0" r="0" b="0"/>
                  <wp:docPr id="17" name="E657119C-6982-421D-8BA7-E74DEB70A7D9-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657119C-6982-421D-8BA7-E74DEB70A7D9-4" descr="wps"/>
                          <pic:cNvPicPr>
                            <a:picLocks noChangeAspect="1"/>
                          </pic:cNvPicPr>
                        </pic:nvPicPr>
                        <pic:blipFill>
                          <a:blip r:embed="rId12"/>
                          <a:stretch>
                            <a:fillRect/>
                          </a:stretch>
                        </pic:blipFill>
                        <pic:spPr>
                          <a:xfrm>
                            <a:off x="0" y="0"/>
                            <a:ext cx="3505835" cy="1880870"/>
                          </a:xfrm>
                          <a:prstGeom prst="rect">
                            <a:avLst/>
                          </a:prstGeom>
                        </pic:spPr>
                      </pic:pic>
                    </a:graphicData>
                  </a:graphic>
                </wp:inline>
              </w:drawing>
            </w:r>
          </w:p>
          <w:p>
            <w:pPr>
              <w:jc w:val="center"/>
              <w:rPr>
                <w:rFonts w:hint="default" w:eastAsia="宋体"/>
                <w:b/>
                <w:bCs/>
                <w:color w:val="0000FF"/>
                <w:highlight w:val="none"/>
                <w:lang w:val="en-US" w:eastAsia="zh-CN"/>
              </w:rPr>
            </w:pPr>
            <w:r>
              <w:rPr>
                <w:rFonts w:hint="eastAsia" w:eastAsia="宋体"/>
                <w:b/>
                <w:bCs/>
                <w:color w:val="0000FF"/>
                <w:highlight w:val="none"/>
                <w:lang w:val="en-US" w:eastAsia="zh-CN"/>
              </w:rPr>
              <w:t>图2-4 锅炉运行工艺流程图</w:t>
            </w:r>
          </w:p>
          <w:p>
            <w:pPr>
              <w:spacing w:line="360" w:lineRule="auto"/>
              <w:ind w:firstLine="480" w:firstLineChars="200"/>
              <w:rPr>
                <w:rFonts w:hint="eastAsia"/>
                <w:bCs/>
                <w:color w:val="0000FF"/>
                <w:sz w:val="24"/>
                <w:szCs w:val="32"/>
                <w:highlight w:val="none"/>
                <w:lang w:val="en-US" w:eastAsia="zh-CN"/>
              </w:rPr>
            </w:pPr>
            <w:r>
              <w:rPr>
                <w:rFonts w:hint="eastAsia"/>
                <w:bCs/>
                <w:color w:val="0000FF"/>
                <w:sz w:val="24"/>
                <w:szCs w:val="32"/>
                <w:highlight w:val="none"/>
                <w:lang w:val="en-US" w:eastAsia="zh-CN"/>
              </w:rPr>
              <w:t>锅炉运行工艺流程简述：</w:t>
            </w:r>
          </w:p>
          <w:p>
            <w:pPr>
              <w:numPr>
                <w:ilvl w:val="0"/>
                <w:numId w:val="6"/>
              </w:numPr>
              <w:spacing w:line="360" w:lineRule="auto"/>
              <w:ind w:firstLine="480" w:firstLineChars="200"/>
              <w:rPr>
                <w:rFonts w:hint="default" w:eastAsia="宋体"/>
                <w:bCs/>
                <w:color w:val="0000FF"/>
                <w:sz w:val="24"/>
                <w:szCs w:val="32"/>
                <w:highlight w:val="none"/>
                <w:lang w:val="en-US" w:eastAsia="zh-CN"/>
              </w:rPr>
            </w:pPr>
            <w:r>
              <w:rPr>
                <w:rFonts w:hint="eastAsia" w:eastAsia="宋体"/>
                <w:bCs/>
                <w:color w:val="0000FF"/>
                <w:sz w:val="24"/>
                <w:szCs w:val="32"/>
                <w:highlight w:val="none"/>
                <w:lang w:val="en-US" w:eastAsia="zh-CN"/>
              </w:rPr>
              <w:t>软</w:t>
            </w:r>
            <w:r>
              <w:rPr>
                <w:rFonts w:hint="default" w:eastAsia="宋体"/>
                <w:bCs/>
                <w:color w:val="0000FF"/>
                <w:sz w:val="24"/>
                <w:szCs w:val="32"/>
                <w:highlight w:val="none"/>
                <w:lang w:val="en-US" w:eastAsia="zh-CN"/>
              </w:rPr>
              <w:t>水制备：锅炉需使用</w:t>
            </w:r>
            <w:r>
              <w:rPr>
                <w:rFonts w:hint="eastAsia" w:eastAsia="宋体"/>
                <w:bCs/>
                <w:color w:val="0000FF"/>
                <w:sz w:val="24"/>
                <w:szCs w:val="32"/>
                <w:highlight w:val="none"/>
                <w:lang w:val="en-US" w:eastAsia="zh-CN"/>
              </w:rPr>
              <w:t>软</w:t>
            </w:r>
            <w:r>
              <w:rPr>
                <w:rFonts w:hint="default" w:eastAsia="宋体"/>
                <w:bCs/>
                <w:color w:val="0000FF"/>
                <w:sz w:val="24"/>
                <w:szCs w:val="32"/>
                <w:highlight w:val="none"/>
                <w:lang w:val="en-US" w:eastAsia="zh-CN"/>
              </w:rPr>
              <w:t>水，通过</w:t>
            </w:r>
            <w:r>
              <w:rPr>
                <w:rFonts w:hint="eastAsia" w:eastAsia="宋体"/>
                <w:bCs/>
                <w:color w:val="0000FF"/>
                <w:sz w:val="24"/>
                <w:szCs w:val="32"/>
                <w:highlight w:val="none"/>
                <w:lang w:val="en-US" w:eastAsia="zh-CN"/>
              </w:rPr>
              <w:t>软</w:t>
            </w:r>
            <w:r>
              <w:rPr>
                <w:rFonts w:hint="default" w:eastAsia="宋体"/>
                <w:bCs/>
                <w:color w:val="0000FF"/>
                <w:sz w:val="24"/>
                <w:szCs w:val="32"/>
                <w:highlight w:val="none"/>
                <w:lang w:val="en-US" w:eastAsia="zh-CN"/>
              </w:rPr>
              <w:t>水制备系统离子交换树脂提纯后</w:t>
            </w:r>
            <w:r>
              <w:rPr>
                <w:rFonts w:hint="eastAsia" w:eastAsia="宋体"/>
                <w:bCs/>
                <w:color w:val="0000FF"/>
                <w:sz w:val="24"/>
                <w:szCs w:val="32"/>
                <w:highlight w:val="none"/>
                <w:lang w:val="en-US" w:eastAsia="zh-CN"/>
              </w:rPr>
              <w:t>，</w:t>
            </w:r>
            <w:r>
              <w:rPr>
                <w:rFonts w:hint="default" w:eastAsia="宋体"/>
                <w:bCs/>
                <w:color w:val="0000FF"/>
                <w:sz w:val="24"/>
                <w:szCs w:val="32"/>
                <w:highlight w:val="none"/>
                <w:lang w:val="en-US" w:eastAsia="zh-CN"/>
              </w:rPr>
              <w:t>为锅炉供水。软水制备工艺采用钠离子交换方式，其主要流程如下：水→原水加压泵→多介质过滤器→树脂过滤→用水点。本项目软水制备率为90%</w:t>
            </w:r>
            <w:r>
              <w:rPr>
                <w:rFonts w:hint="eastAsia" w:eastAsia="宋体"/>
                <w:bCs/>
                <w:color w:val="0000FF"/>
                <w:sz w:val="24"/>
                <w:szCs w:val="32"/>
                <w:highlight w:val="none"/>
                <w:lang w:val="en-US" w:eastAsia="zh-CN"/>
              </w:rPr>
              <w:t>。</w:t>
            </w:r>
            <w:r>
              <w:rPr>
                <w:rFonts w:hint="default" w:eastAsia="宋体"/>
                <w:bCs/>
                <w:color w:val="0000FF"/>
                <w:sz w:val="24"/>
                <w:szCs w:val="32"/>
                <w:highlight w:val="none"/>
                <w:lang w:val="en-US" w:eastAsia="zh-CN"/>
              </w:rPr>
              <w:t>当树脂吸附饱和后，</w:t>
            </w:r>
            <w:r>
              <w:rPr>
                <w:rFonts w:hint="eastAsia"/>
                <w:bCs/>
                <w:color w:val="0000FF"/>
                <w:sz w:val="24"/>
                <w:szCs w:val="32"/>
                <w:highlight w:val="none"/>
                <w:lang w:val="en-US" w:eastAsia="zh-CN"/>
              </w:rPr>
              <w:t>由厂家更换</w:t>
            </w:r>
            <w:r>
              <w:rPr>
                <w:rFonts w:hint="default" w:eastAsia="宋体"/>
                <w:bCs/>
                <w:color w:val="0000FF"/>
                <w:sz w:val="24"/>
                <w:szCs w:val="32"/>
                <w:highlight w:val="none"/>
                <w:lang w:val="en-US" w:eastAsia="zh-CN"/>
              </w:rPr>
              <w:t>，恢复交换能力。此过程会产生废离子交换树脂、软水</w:t>
            </w:r>
            <w:r>
              <w:rPr>
                <w:rFonts w:hint="eastAsia"/>
                <w:bCs/>
                <w:color w:val="0000FF"/>
                <w:sz w:val="24"/>
                <w:szCs w:val="32"/>
                <w:highlight w:val="none"/>
                <w:lang w:val="en-US" w:eastAsia="zh-CN"/>
              </w:rPr>
              <w:t>制备</w:t>
            </w:r>
            <w:r>
              <w:rPr>
                <w:rFonts w:hint="default" w:eastAsia="宋体"/>
                <w:bCs/>
                <w:color w:val="0000FF"/>
                <w:sz w:val="24"/>
                <w:szCs w:val="32"/>
                <w:highlight w:val="none"/>
                <w:lang w:val="en-US" w:eastAsia="zh-CN"/>
              </w:rPr>
              <w:t>废水。</w:t>
            </w:r>
          </w:p>
          <w:p>
            <w:pPr>
              <w:spacing w:line="360" w:lineRule="auto"/>
              <w:ind w:firstLine="480" w:firstLineChars="200"/>
              <w:rPr>
                <w:rFonts w:hint="default" w:eastAsia="宋体"/>
                <w:bCs/>
                <w:color w:val="0000FF"/>
                <w:sz w:val="24"/>
                <w:szCs w:val="32"/>
                <w:highlight w:val="none"/>
                <w:lang w:val="en-US" w:eastAsia="zh-CN"/>
              </w:rPr>
            </w:pPr>
            <w:r>
              <w:rPr>
                <w:rFonts w:hint="eastAsia" w:eastAsia="宋体"/>
                <w:bCs/>
                <w:color w:val="0000FF"/>
                <w:sz w:val="24"/>
                <w:szCs w:val="32"/>
                <w:highlight w:val="none"/>
                <w:lang w:val="en-US" w:eastAsia="zh-CN"/>
              </w:rPr>
              <w:t>2）</w:t>
            </w:r>
            <w:r>
              <w:rPr>
                <w:rFonts w:hint="default" w:eastAsia="宋体"/>
                <w:bCs/>
                <w:color w:val="0000FF"/>
                <w:sz w:val="24"/>
                <w:szCs w:val="32"/>
                <w:highlight w:val="none"/>
                <w:lang w:val="en-US" w:eastAsia="zh-CN"/>
              </w:rPr>
              <w:t>进料：生物质颗粒从料仓经螺旋送料机送入炉膛，均匀铺在炉排上。</w:t>
            </w:r>
          </w:p>
          <w:p>
            <w:pPr>
              <w:spacing w:line="360" w:lineRule="auto"/>
              <w:ind w:firstLine="480" w:firstLineChars="200"/>
              <w:rPr>
                <w:rFonts w:hint="default" w:eastAsia="宋体"/>
                <w:bCs/>
                <w:color w:val="0000FF"/>
                <w:sz w:val="24"/>
                <w:szCs w:val="32"/>
                <w:highlight w:val="none"/>
                <w:lang w:val="en-US" w:eastAsia="zh-CN"/>
              </w:rPr>
            </w:pPr>
            <w:r>
              <w:rPr>
                <w:rFonts w:hint="eastAsia" w:eastAsia="宋体"/>
                <w:bCs/>
                <w:color w:val="0000FF"/>
                <w:sz w:val="24"/>
                <w:szCs w:val="32"/>
                <w:highlight w:val="none"/>
                <w:lang w:val="en-US" w:eastAsia="zh-CN"/>
              </w:rPr>
              <w:t>3）</w:t>
            </w:r>
            <w:r>
              <w:rPr>
                <w:rFonts w:hint="default" w:eastAsia="宋体"/>
                <w:bCs/>
                <w:color w:val="0000FF"/>
                <w:sz w:val="24"/>
                <w:szCs w:val="32"/>
                <w:highlight w:val="none"/>
                <w:lang w:val="en-US" w:eastAsia="zh-CN"/>
              </w:rPr>
              <w:t>锅炉</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启炉、清渣、燃烧</w:t>
            </w:r>
            <w:r>
              <w:rPr>
                <w:rFonts w:hint="eastAsia"/>
                <w:bCs/>
                <w:color w:val="0000FF"/>
                <w:sz w:val="24"/>
                <w:szCs w:val="32"/>
                <w:highlight w:val="none"/>
                <w:lang w:val="en-US" w:eastAsia="zh-CN"/>
              </w:rPr>
              <w:t>）</w:t>
            </w:r>
          </w:p>
          <w:p>
            <w:pPr>
              <w:spacing w:line="360" w:lineRule="auto"/>
              <w:ind w:firstLine="480" w:firstLineChars="200"/>
              <w:rPr>
                <w:rFonts w:hint="default" w:eastAsia="宋体"/>
                <w:bCs/>
                <w:color w:val="0000FF"/>
                <w:sz w:val="24"/>
                <w:szCs w:val="32"/>
                <w:highlight w:val="none"/>
                <w:lang w:val="en-US" w:eastAsia="zh-CN"/>
              </w:rPr>
            </w:pPr>
            <w:r>
              <w:rPr>
                <w:rFonts w:hint="default" w:eastAsia="宋体"/>
                <w:bCs/>
                <w:color w:val="0000FF"/>
                <w:sz w:val="24"/>
                <w:szCs w:val="32"/>
                <w:highlight w:val="none"/>
                <w:lang w:val="en-US" w:eastAsia="zh-CN"/>
              </w:rPr>
              <w:t>①启炉：点火之前先清理炉桥或炉底积炭，检查电路、水管，打开冷却水阀。人工在炉排铺引火物，点燃后开启鼓风机，待火势稳定后启动给料机。</w:t>
            </w:r>
          </w:p>
          <w:p>
            <w:pPr>
              <w:spacing w:line="360" w:lineRule="auto"/>
              <w:ind w:firstLine="480" w:firstLineChars="200"/>
              <w:rPr>
                <w:rFonts w:hint="default" w:eastAsia="宋体"/>
                <w:bCs/>
                <w:color w:val="0000FF"/>
                <w:sz w:val="24"/>
                <w:szCs w:val="32"/>
                <w:highlight w:val="none"/>
                <w:lang w:val="en-US" w:eastAsia="zh-CN"/>
              </w:rPr>
            </w:pPr>
            <w:r>
              <w:rPr>
                <w:rFonts w:hint="default" w:eastAsia="宋体"/>
                <w:bCs/>
                <w:color w:val="0000FF"/>
                <w:sz w:val="24"/>
                <w:szCs w:val="32"/>
                <w:highlight w:val="none"/>
                <w:lang w:val="en-US" w:eastAsia="zh-CN"/>
              </w:rPr>
              <w:t>②清渣：炉排末端的灰渣通过出渣机自动排出，运行中定期</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4</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8小时)排出炉渣</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干式)</w:t>
            </w:r>
            <w:r>
              <w:rPr>
                <w:rFonts w:hint="eastAsia" w:eastAsia="宋体"/>
                <w:bCs/>
                <w:color w:val="0000FF"/>
                <w:sz w:val="24"/>
                <w:szCs w:val="32"/>
                <w:highlight w:val="none"/>
                <w:lang w:val="en-US" w:eastAsia="zh-CN"/>
              </w:rPr>
              <w:t>；</w:t>
            </w:r>
            <w:r>
              <w:rPr>
                <w:rFonts w:hint="default" w:eastAsia="宋体"/>
                <w:bCs/>
                <w:color w:val="0000FF"/>
                <w:sz w:val="24"/>
                <w:szCs w:val="32"/>
                <w:highlight w:val="none"/>
                <w:lang w:val="en-US" w:eastAsia="zh-CN"/>
              </w:rPr>
              <w:t>停炉后需彻底清理炉桥、烟道积灰。</w:t>
            </w:r>
          </w:p>
          <w:p>
            <w:pPr>
              <w:spacing w:line="360" w:lineRule="auto"/>
              <w:ind w:firstLine="480" w:firstLineChars="200"/>
              <w:rPr>
                <w:rFonts w:hint="default" w:eastAsia="宋体"/>
                <w:bCs/>
                <w:color w:val="0000FF"/>
                <w:sz w:val="24"/>
                <w:szCs w:val="32"/>
                <w:highlight w:val="none"/>
                <w:lang w:val="en-US" w:eastAsia="zh-CN"/>
              </w:rPr>
            </w:pPr>
            <w:r>
              <w:rPr>
                <w:rFonts w:hint="default" w:eastAsia="宋体"/>
                <w:bCs/>
                <w:color w:val="0000FF"/>
                <w:sz w:val="24"/>
                <w:szCs w:val="32"/>
                <w:highlight w:val="none"/>
                <w:lang w:val="en-US" w:eastAsia="zh-CN"/>
              </w:rPr>
              <w:t>③燃烧：在炉排分为预热区、燃烧区、燃尽区，通过一/二次风分级供风</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一次风从炉排底部进，二次风从炉膛中部喷入</w:t>
            </w:r>
            <w:r>
              <w:rPr>
                <w:rFonts w:hint="eastAsia"/>
                <w:bCs/>
                <w:color w:val="0000FF"/>
                <w:sz w:val="24"/>
                <w:szCs w:val="32"/>
                <w:highlight w:val="none"/>
                <w:lang w:val="en-US" w:eastAsia="zh-CN"/>
              </w:rPr>
              <w:t>）</w:t>
            </w:r>
            <w:r>
              <w:rPr>
                <w:rFonts w:hint="eastAsia" w:eastAsia="宋体"/>
                <w:bCs/>
                <w:color w:val="0000FF"/>
                <w:sz w:val="24"/>
                <w:szCs w:val="32"/>
                <w:highlight w:val="none"/>
                <w:lang w:val="en-US" w:eastAsia="zh-CN"/>
              </w:rPr>
              <w:t>，</w:t>
            </w:r>
            <w:r>
              <w:rPr>
                <w:rFonts w:hint="default" w:eastAsia="宋体"/>
                <w:bCs/>
                <w:color w:val="0000FF"/>
                <w:sz w:val="24"/>
                <w:szCs w:val="32"/>
                <w:highlight w:val="none"/>
                <w:lang w:val="en-US" w:eastAsia="zh-CN"/>
              </w:rPr>
              <w:t>实现充分燃烧。</w:t>
            </w:r>
          </w:p>
          <w:p>
            <w:pPr>
              <w:spacing w:line="360" w:lineRule="auto"/>
              <w:ind w:firstLine="480" w:firstLineChars="200"/>
              <w:rPr>
                <w:rFonts w:hint="default" w:eastAsia="宋体"/>
                <w:bCs/>
                <w:color w:val="0000FF"/>
                <w:sz w:val="24"/>
                <w:szCs w:val="32"/>
                <w:highlight w:val="none"/>
                <w:lang w:val="en-US" w:eastAsia="zh-CN"/>
              </w:rPr>
            </w:pPr>
            <w:r>
              <w:rPr>
                <w:rFonts w:hint="eastAsia" w:eastAsia="宋体"/>
                <w:bCs/>
                <w:color w:val="0000FF"/>
                <w:sz w:val="24"/>
                <w:szCs w:val="32"/>
                <w:highlight w:val="none"/>
                <w:lang w:val="en-US" w:eastAsia="zh-CN"/>
              </w:rPr>
              <w:t>5）</w:t>
            </w:r>
            <w:r>
              <w:rPr>
                <w:rFonts w:hint="default" w:eastAsia="宋体"/>
                <w:bCs/>
                <w:color w:val="0000FF"/>
                <w:sz w:val="24"/>
                <w:szCs w:val="32"/>
                <w:highlight w:val="none"/>
                <w:lang w:val="en-US" w:eastAsia="zh-CN"/>
              </w:rPr>
              <w:t>蒸汽产生：生物质燃烧加热锅筒内的水，产生饱和蒸汽</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温度</w:t>
            </w:r>
            <w:r>
              <w:rPr>
                <w:rFonts w:hint="eastAsia" w:eastAsia="宋体"/>
                <w:bCs/>
                <w:color w:val="0000FF"/>
                <w:sz w:val="24"/>
                <w:szCs w:val="32"/>
                <w:highlight w:val="none"/>
                <w:lang w:val="en-US" w:eastAsia="zh-CN"/>
              </w:rPr>
              <w:t>175</w:t>
            </w:r>
            <w:r>
              <w:rPr>
                <w:rFonts w:hint="default" w:eastAsia="宋体"/>
                <w:bCs/>
                <w:color w:val="0000FF"/>
                <w:sz w:val="24"/>
                <w:szCs w:val="32"/>
                <w:highlight w:val="none"/>
                <w:lang w:val="en-US" w:eastAsia="zh-CN"/>
              </w:rPr>
              <w:t>℃</w:t>
            </w:r>
            <w:r>
              <w:rPr>
                <w:rFonts w:hint="eastAsia"/>
                <w:bCs/>
                <w:color w:val="0000FF"/>
                <w:sz w:val="24"/>
                <w:szCs w:val="32"/>
                <w:highlight w:val="none"/>
                <w:lang w:val="en-US" w:eastAsia="zh-CN"/>
              </w:rPr>
              <w:t>）</w:t>
            </w:r>
            <w:r>
              <w:rPr>
                <w:rFonts w:hint="eastAsia" w:eastAsia="宋体"/>
                <w:bCs/>
                <w:color w:val="0000FF"/>
                <w:sz w:val="24"/>
                <w:szCs w:val="32"/>
                <w:highlight w:val="none"/>
                <w:lang w:val="en-US" w:eastAsia="zh-CN"/>
              </w:rPr>
              <w:t>，</w:t>
            </w:r>
            <w:r>
              <w:rPr>
                <w:rFonts w:hint="default" w:eastAsia="宋体"/>
                <w:bCs/>
                <w:color w:val="0000FF"/>
                <w:sz w:val="24"/>
                <w:szCs w:val="32"/>
                <w:highlight w:val="none"/>
                <w:lang w:val="en-US" w:eastAsia="zh-CN"/>
              </w:rPr>
              <w:t>通过主蒸汽阀输送至用汽设备。</w:t>
            </w:r>
          </w:p>
          <w:p>
            <w:pPr>
              <w:spacing w:line="360" w:lineRule="auto"/>
              <w:ind w:firstLine="480" w:firstLineChars="200"/>
              <w:rPr>
                <w:rFonts w:hint="default" w:eastAsia="宋体"/>
                <w:bCs/>
                <w:color w:val="0000FF"/>
                <w:sz w:val="24"/>
                <w:szCs w:val="32"/>
                <w:highlight w:val="none"/>
                <w:lang w:val="en-US" w:eastAsia="zh-CN"/>
              </w:rPr>
            </w:pPr>
            <w:r>
              <w:rPr>
                <w:rFonts w:hint="eastAsia" w:eastAsia="宋体"/>
                <w:bCs/>
                <w:color w:val="0000FF"/>
                <w:sz w:val="24"/>
                <w:szCs w:val="32"/>
                <w:highlight w:val="none"/>
                <w:lang w:val="en-US" w:eastAsia="zh-CN"/>
              </w:rPr>
              <w:t>5）</w:t>
            </w:r>
            <w:r>
              <w:rPr>
                <w:rFonts w:hint="default" w:eastAsia="宋体"/>
                <w:bCs/>
                <w:color w:val="0000FF"/>
                <w:sz w:val="24"/>
                <w:szCs w:val="32"/>
                <w:highlight w:val="none"/>
                <w:lang w:val="en-US" w:eastAsia="zh-CN"/>
              </w:rPr>
              <w:t>锅炉设备清洁：①受热面清洁：定期用激波吹灰器清理炉膛、过热器的积灰</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每8</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12小时一次</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。②水垢清理：每3-6个月停机，用机械或化学法</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柠檬酸</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清除锅筒、管道内的水垢</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厚度≤mm</w:t>
            </w:r>
            <w:r>
              <w:rPr>
                <w:rFonts w:hint="eastAsia"/>
                <w:bCs/>
                <w:color w:val="0000FF"/>
                <w:sz w:val="24"/>
                <w:szCs w:val="32"/>
                <w:highlight w:val="none"/>
                <w:lang w:val="en-US" w:eastAsia="zh-CN"/>
              </w:rPr>
              <w:t>）</w:t>
            </w:r>
            <w:r>
              <w:rPr>
                <w:rFonts w:hint="default" w:eastAsia="宋体"/>
                <w:bCs/>
                <w:color w:val="0000FF"/>
                <w:sz w:val="24"/>
                <w:szCs w:val="32"/>
                <w:highlight w:val="none"/>
                <w:lang w:val="en-US" w:eastAsia="zh-CN"/>
              </w:rPr>
              <w:t>。③外部清洁：每</w:t>
            </w:r>
            <w:r>
              <w:rPr>
                <w:rFonts w:hint="eastAsia" w:eastAsia="宋体"/>
                <w:bCs/>
                <w:color w:val="0000FF"/>
                <w:sz w:val="24"/>
                <w:szCs w:val="32"/>
                <w:highlight w:val="none"/>
                <w:lang w:val="en-US" w:eastAsia="zh-CN"/>
              </w:rPr>
              <w:t>周清理炉体、管道表面的灰尘，避免散热不良。</w:t>
            </w:r>
          </w:p>
          <w:p>
            <w:pPr>
              <w:spacing w:line="360" w:lineRule="auto"/>
              <w:ind w:firstLine="480" w:firstLineChars="200"/>
              <w:rPr>
                <w:b/>
                <w:color w:val="0000FF"/>
                <w:highlight w:val="none"/>
              </w:rPr>
            </w:pPr>
            <w:r>
              <w:rPr>
                <w:rFonts w:hint="eastAsia"/>
                <w:bCs/>
                <w:color w:val="0000FF"/>
                <w:sz w:val="24"/>
                <w:szCs w:val="32"/>
                <w:highlight w:val="none"/>
              </w:rPr>
              <w:t>本项目主要污染工序一览表见表2-8。</w:t>
            </w:r>
          </w:p>
          <w:p>
            <w:pPr>
              <w:jc w:val="center"/>
              <w:rPr>
                <w:b/>
                <w:color w:val="0000FF"/>
                <w:highlight w:val="none"/>
              </w:rPr>
            </w:pPr>
            <w:r>
              <w:rPr>
                <w:b/>
                <w:color w:val="0000FF"/>
                <w:highlight w:val="none"/>
              </w:rPr>
              <w:t>表</w:t>
            </w:r>
            <w:r>
              <w:rPr>
                <w:rFonts w:hint="eastAsia"/>
                <w:b/>
                <w:color w:val="0000FF"/>
                <w:highlight w:val="none"/>
              </w:rPr>
              <w:t>2</w:t>
            </w:r>
            <w:r>
              <w:rPr>
                <w:b/>
                <w:color w:val="0000FF"/>
                <w:highlight w:val="none"/>
              </w:rPr>
              <w:t>-</w:t>
            </w:r>
            <w:r>
              <w:rPr>
                <w:rFonts w:hint="eastAsia"/>
                <w:b/>
                <w:color w:val="0000FF"/>
                <w:highlight w:val="none"/>
              </w:rPr>
              <w:t>8</w:t>
            </w:r>
            <w:r>
              <w:rPr>
                <w:b/>
                <w:color w:val="0000FF"/>
                <w:highlight w:val="none"/>
              </w:rPr>
              <w:t xml:space="preserve">  污染物种类、来源、排放方式等一览表</w:t>
            </w:r>
          </w:p>
          <w:tbl>
            <w:tblPr>
              <w:tblStyle w:val="105"/>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80"/>
              <w:gridCol w:w="1548"/>
              <w:gridCol w:w="2269"/>
              <w:gridCol w:w="369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tcBorders>
                    <w:tl2br w:val="nil"/>
                    <w:tr2bl w:val="nil"/>
                  </w:tcBorders>
                  <w:vAlign w:val="center"/>
                </w:tcPr>
                <w:p>
                  <w:pPr>
                    <w:pStyle w:val="102"/>
                    <w:rPr>
                      <w:highlight w:val="none"/>
                    </w:rPr>
                  </w:pPr>
                  <w:r>
                    <w:rPr>
                      <w:highlight w:val="none"/>
                    </w:rPr>
                    <w:t>类型</w:t>
                  </w:r>
                </w:p>
              </w:tc>
              <w:tc>
                <w:tcPr>
                  <w:tcW w:w="1548" w:type="dxa"/>
                  <w:tcBorders>
                    <w:tl2br w:val="nil"/>
                    <w:tr2bl w:val="nil"/>
                  </w:tcBorders>
                  <w:vAlign w:val="center"/>
                </w:tcPr>
                <w:p>
                  <w:pPr>
                    <w:pStyle w:val="102"/>
                    <w:rPr>
                      <w:highlight w:val="none"/>
                    </w:rPr>
                  </w:pPr>
                  <w:r>
                    <w:rPr>
                      <w:highlight w:val="none"/>
                    </w:rPr>
                    <w:t>产污环节</w:t>
                  </w:r>
                </w:p>
              </w:tc>
              <w:tc>
                <w:tcPr>
                  <w:tcW w:w="2269" w:type="dxa"/>
                  <w:tcBorders>
                    <w:tl2br w:val="nil"/>
                    <w:tr2bl w:val="nil"/>
                  </w:tcBorders>
                  <w:vAlign w:val="center"/>
                </w:tcPr>
                <w:p>
                  <w:pPr>
                    <w:pStyle w:val="102"/>
                    <w:rPr>
                      <w:highlight w:val="none"/>
                    </w:rPr>
                  </w:pPr>
                  <w:r>
                    <w:rPr>
                      <w:highlight w:val="none"/>
                    </w:rPr>
                    <w:t>污染物</w:t>
                  </w:r>
                </w:p>
              </w:tc>
              <w:tc>
                <w:tcPr>
                  <w:tcW w:w="3694" w:type="dxa"/>
                  <w:tcBorders>
                    <w:tl2br w:val="nil"/>
                    <w:tr2bl w:val="nil"/>
                  </w:tcBorders>
                  <w:vAlign w:val="center"/>
                </w:tcPr>
                <w:p>
                  <w:pPr>
                    <w:pStyle w:val="102"/>
                    <w:rPr>
                      <w:highlight w:val="none"/>
                    </w:rPr>
                  </w:pPr>
                  <w:r>
                    <w:rPr>
                      <w:rFonts w:hint="eastAsia"/>
                      <w:highlight w:val="none"/>
                    </w:rPr>
                    <w:t>治理措施</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restart"/>
                  <w:tcBorders>
                    <w:tl2br w:val="nil"/>
                    <w:tr2bl w:val="nil"/>
                  </w:tcBorders>
                  <w:vAlign w:val="center"/>
                </w:tcPr>
                <w:p>
                  <w:pPr>
                    <w:pStyle w:val="102"/>
                    <w:rPr>
                      <w:highlight w:val="none"/>
                    </w:rPr>
                  </w:pPr>
                  <w:r>
                    <w:rPr>
                      <w:highlight w:val="none"/>
                    </w:rPr>
                    <w:t>废气</w:t>
                  </w:r>
                </w:p>
              </w:tc>
              <w:tc>
                <w:tcPr>
                  <w:tcW w:w="1548" w:type="dxa"/>
                  <w:tcBorders>
                    <w:tl2br w:val="nil"/>
                    <w:tr2bl w:val="nil"/>
                  </w:tcBorders>
                  <w:vAlign w:val="center"/>
                </w:tcPr>
                <w:p>
                  <w:pPr>
                    <w:pStyle w:val="102"/>
                    <w:rPr>
                      <w:highlight w:val="none"/>
                    </w:rPr>
                  </w:pPr>
                  <w:r>
                    <w:rPr>
                      <w:highlight w:val="none"/>
                    </w:rPr>
                    <w:t>污水处理站废气</w:t>
                  </w:r>
                </w:p>
              </w:tc>
              <w:tc>
                <w:tcPr>
                  <w:tcW w:w="2269" w:type="dxa"/>
                  <w:tcBorders>
                    <w:tl2br w:val="nil"/>
                    <w:tr2bl w:val="nil"/>
                  </w:tcBorders>
                  <w:vAlign w:val="center"/>
                </w:tcPr>
                <w:p>
                  <w:pPr>
                    <w:pStyle w:val="102"/>
                    <w:rPr>
                      <w:highlight w:val="none"/>
                    </w:rPr>
                  </w:pPr>
                  <w:r>
                    <w:rPr>
                      <w:highlight w:val="none"/>
                    </w:rPr>
                    <w:t>氨、硫化氢、臭气</w:t>
                  </w:r>
                </w:p>
              </w:tc>
              <w:tc>
                <w:tcPr>
                  <w:tcW w:w="3694" w:type="dxa"/>
                  <w:tcBorders>
                    <w:tl2br w:val="nil"/>
                    <w:tr2bl w:val="nil"/>
                  </w:tcBorders>
                  <w:vAlign w:val="center"/>
                </w:tcPr>
                <w:p>
                  <w:pPr>
                    <w:pStyle w:val="102"/>
                    <w:rPr>
                      <w:rFonts w:hint="default" w:eastAsia="宋体"/>
                      <w:highlight w:val="none"/>
                      <w:lang w:val="en-US" w:eastAsia="zh-CN"/>
                    </w:rPr>
                  </w:pPr>
                  <w:r>
                    <w:rPr>
                      <w:highlight w:val="none"/>
                    </w:rPr>
                    <w:t>加盖封闭、</w:t>
                  </w:r>
                  <w:r>
                    <w:rPr>
                      <w:rFonts w:hint="eastAsia"/>
                      <w:highlight w:val="none"/>
                      <w:lang w:val="en-US" w:eastAsia="zh-CN"/>
                    </w:rPr>
                    <w:t>厂区绿化</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蒸汽锅炉</w:t>
                  </w:r>
                </w:p>
              </w:tc>
              <w:tc>
                <w:tcPr>
                  <w:tcW w:w="2269" w:type="dxa"/>
                  <w:tcBorders>
                    <w:tl2br w:val="nil"/>
                    <w:tr2bl w:val="nil"/>
                  </w:tcBorders>
                  <w:vAlign w:val="center"/>
                </w:tcPr>
                <w:p>
                  <w:pPr>
                    <w:pStyle w:val="102"/>
                    <w:rPr>
                      <w:highlight w:val="none"/>
                    </w:rPr>
                  </w:pPr>
                  <w:r>
                    <w:rPr>
                      <w:highlight w:val="none"/>
                    </w:rPr>
                    <w:t>颗粒物、二氧化硫、氮氧化物</w:t>
                  </w:r>
                </w:p>
              </w:tc>
              <w:tc>
                <w:tcPr>
                  <w:tcW w:w="3694" w:type="dxa"/>
                  <w:tcBorders>
                    <w:tl2br w:val="nil"/>
                    <w:tr2bl w:val="nil"/>
                  </w:tcBorders>
                  <w:vAlign w:val="center"/>
                </w:tcPr>
                <w:p>
                  <w:pPr>
                    <w:pStyle w:val="102"/>
                    <w:rPr>
                      <w:highlight w:val="none"/>
                    </w:rPr>
                  </w:pPr>
                  <w:r>
                    <w:rPr>
                      <w:rFonts w:hint="eastAsia"/>
                      <w:highlight w:val="none"/>
                    </w:rPr>
                    <w:t>袋式除尘，</w:t>
                  </w:r>
                  <w:r>
                    <w:rPr>
                      <w:highlight w:val="none"/>
                    </w:rPr>
                    <w:t xml:space="preserve">燃烧废气经 </w:t>
                  </w:r>
                  <w:r>
                    <w:rPr>
                      <w:rFonts w:hint="eastAsia"/>
                      <w:highlight w:val="none"/>
                    </w:rPr>
                    <w:t>30</w:t>
                  </w:r>
                  <w:r>
                    <w:rPr>
                      <w:highlight w:val="none"/>
                    </w:rPr>
                    <w:t>米高烟囱排放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restart"/>
                  <w:tcBorders>
                    <w:tl2br w:val="nil"/>
                    <w:tr2bl w:val="nil"/>
                  </w:tcBorders>
                  <w:vAlign w:val="center"/>
                </w:tcPr>
                <w:p>
                  <w:pPr>
                    <w:pStyle w:val="102"/>
                    <w:rPr>
                      <w:highlight w:val="none"/>
                    </w:rPr>
                  </w:pPr>
                  <w:r>
                    <w:rPr>
                      <w:highlight w:val="none"/>
                    </w:rPr>
                    <w:t>废水</w:t>
                  </w:r>
                </w:p>
              </w:tc>
              <w:tc>
                <w:tcPr>
                  <w:tcW w:w="1548" w:type="dxa"/>
                  <w:tcBorders>
                    <w:tl2br w:val="nil"/>
                    <w:tr2bl w:val="nil"/>
                  </w:tcBorders>
                  <w:vAlign w:val="center"/>
                </w:tcPr>
                <w:p>
                  <w:pPr>
                    <w:pStyle w:val="102"/>
                    <w:rPr>
                      <w:highlight w:val="none"/>
                    </w:rPr>
                  </w:pPr>
                  <w:r>
                    <w:rPr>
                      <w:highlight w:val="none"/>
                    </w:rPr>
                    <w:t>生活污水</w:t>
                  </w:r>
                </w:p>
              </w:tc>
              <w:tc>
                <w:tcPr>
                  <w:tcW w:w="2269" w:type="dxa"/>
                  <w:tcBorders>
                    <w:tl2br w:val="nil"/>
                    <w:tr2bl w:val="nil"/>
                  </w:tcBorders>
                  <w:vAlign w:val="center"/>
                </w:tcPr>
                <w:p>
                  <w:pPr>
                    <w:pStyle w:val="102"/>
                    <w:rPr>
                      <w:highlight w:val="none"/>
                    </w:rPr>
                  </w:pPr>
                  <w:r>
                    <w:rPr>
                      <w:highlight w:val="none"/>
                    </w:rPr>
                    <w:t>pH、SS、COD、</w:t>
                  </w:r>
                  <w:r>
                    <w:rPr>
                      <w:rFonts w:hint="eastAsia"/>
                      <w:highlight w:val="none"/>
                    </w:rPr>
                    <w:t>BOD</w:t>
                  </w:r>
                  <w:r>
                    <w:rPr>
                      <w:rFonts w:hint="eastAsia"/>
                      <w:highlight w:val="none"/>
                      <w:vertAlign w:val="subscript"/>
                    </w:rPr>
                    <w:t>5</w:t>
                  </w:r>
                  <w:r>
                    <w:rPr>
                      <w:highlight w:val="none"/>
                    </w:rPr>
                    <w:t>、总氮、氨氮、总磷等</w:t>
                  </w:r>
                </w:p>
              </w:tc>
              <w:tc>
                <w:tcPr>
                  <w:tcW w:w="3694" w:type="dxa"/>
                  <w:tcBorders>
                    <w:tl2br w:val="nil"/>
                    <w:tr2bl w:val="nil"/>
                  </w:tcBorders>
                  <w:vAlign w:val="center"/>
                </w:tcPr>
                <w:p>
                  <w:pPr>
                    <w:pStyle w:val="102"/>
                    <w:rPr>
                      <w:highlight w:val="none"/>
                    </w:rPr>
                  </w:pPr>
                  <w:r>
                    <w:rPr>
                      <w:highlight w:val="none"/>
                    </w:rPr>
                    <w:t>化粪池预处理后排入</w:t>
                  </w:r>
                  <w:r>
                    <w:rPr>
                      <w:rFonts w:hint="eastAsia"/>
                      <w:highlight w:val="none"/>
                    </w:rPr>
                    <w:t>厂区污水处理站</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highlight w:val="none"/>
                    </w:rPr>
                  </w:pPr>
                  <w:r>
                    <w:rPr>
                      <w:highlight w:val="none"/>
                    </w:rPr>
                    <w:t>生产废水</w:t>
                  </w:r>
                </w:p>
              </w:tc>
              <w:tc>
                <w:tcPr>
                  <w:tcW w:w="2269" w:type="dxa"/>
                  <w:tcBorders>
                    <w:tl2br w:val="nil"/>
                    <w:tr2bl w:val="nil"/>
                  </w:tcBorders>
                  <w:vAlign w:val="center"/>
                </w:tcPr>
                <w:p>
                  <w:pPr>
                    <w:pStyle w:val="102"/>
                    <w:rPr>
                      <w:highlight w:val="none"/>
                    </w:rPr>
                  </w:pPr>
                  <w:r>
                    <w:rPr>
                      <w:highlight w:val="none"/>
                    </w:rPr>
                    <w:t>pH、SS、COD、</w:t>
                  </w:r>
                  <w:r>
                    <w:rPr>
                      <w:rFonts w:hint="eastAsia"/>
                      <w:highlight w:val="none"/>
                    </w:rPr>
                    <w:t>BOD</w:t>
                  </w:r>
                  <w:r>
                    <w:rPr>
                      <w:rFonts w:hint="eastAsia"/>
                      <w:highlight w:val="none"/>
                      <w:vertAlign w:val="subscript"/>
                    </w:rPr>
                    <w:t>5</w:t>
                  </w:r>
                  <w:r>
                    <w:rPr>
                      <w:highlight w:val="none"/>
                    </w:rPr>
                    <w:t>、总氮、氨氮、总磷等</w:t>
                  </w:r>
                </w:p>
              </w:tc>
              <w:tc>
                <w:tcPr>
                  <w:tcW w:w="3694" w:type="dxa"/>
                  <w:tcBorders>
                    <w:tl2br w:val="nil"/>
                    <w:tr2bl w:val="nil"/>
                  </w:tcBorders>
                  <w:vAlign w:val="center"/>
                </w:tcPr>
                <w:p>
                  <w:pPr>
                    <w:pStyle w:val="102"/>
                    <w:rPr>
                      <w:highlight w:val="none"/>
                    </w:rPr>
                  </w:pPr>
                  <w:r>
                    <w:rPr>
                      <w:rFonts w:hint="eastAsia"/>
                      <w:highlight w:val="none"/>
                    </w:rPr>
                    <w:t>自建污水处理站</w:t>
                  </w:r>
                  <w:r>
                    <w:rPr>
                      <w:highlight w:val="none"/>
                    </w:rPr>
                    <w:t>，</w:t>
                  </w:r>
                  <w:r>
                    <w:rPr>
                      <w:rFonts w:hint="eastAsia"/>
                      <w:highlight w:val="none"/>
                    </w:rPr>
                    <w:t>采用“调节池+高效多相循环生物接触池（含MBR膜反应）+磁混澄清池+一体式纤维滤布滤池+紫外线消毒”工艺</w:t>
                  </w:r>
                  <w:r>
                    <w:rPr>
                      <w:highlight w:val="none"/>
                    </w:rPr>
                    <w:t>处理后</w:t>
                  </w:r>
                  <w:r>
                    <w:rPr>
                      <w:rFonts w:hint="eastAsia"/>
                      <w:highlight w:val="none"/>
                    </w:rPr>
                    <w:t>，部分回用于厂区绿化，其余外排至企业租用的池塘后用于农田灌溉。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tcBorders>
                    <w:tl2br w:val="nil"/>
                    <w:tr2bl w:val="nil"/>
                  </w:tcBorders>
                  <w:vAlign w:val="center"/>
                </w:tcPr>
                <w:p>
                  <w:pPr>
                    <w:pStyle w:val="102"/>
                    <w:rPr>
                      <w:highlight w:val="none"/>
                    </w:rPr>
                  </w:pPr>
                  <w:r>
                    <w:rPr>
                      <w:highlight w:val="none"/>
                    </w:rPr>
                    <w:t>噪声</w:t>
                  </w:r>
                </w:p>
              </w:tc>
              <w:tc>
                <w:tcPr>
                  <w:tcW w:w="1548" w:type="dxa"/>
                  <w:tcBorders>
                    <w:tl2br w:val="nil"/>
                    <w:tr2bl w:val="nil"/>
                  </w:tcBorders>
                  <w:vAlign w:val="center"/>
                </w:tcPr>
                <w:p>
                  <w:pPr>
                    <w:pStyle w:val="102"/>
                    <w:rPr>
                      <w:highlight w:val="none"/>
                    </w:rPr>
                  </w:pPr>
                  <w:r>
                    <w:rPr>
                      <w:highlight w:val="none"/>
                    </w:rPr>
                    <w:t>设备运行</w:t>
                  </w:r>
                </w:p>
              </w:tc>
              <w:tc>
                <w:tcPr>
                  <w:tcW w:w="2269" w:type="dxa"/>
                  <w:tcBorders>
                    <w:tl2br w:val="nil"/>
                    <w:tr2bl w:val="nil"/>
                  </w:tcBorders>
                  <w:vAlign w:val="center"/>
                </w:tcPr>
                <w:p>
                  <w:pPr>
                    <w:pStyle w:val="102"/>
                    <w:rPr>
                      <w:highlight w:val="none"/>
                    </w:rPr>
                  </w:pPr>
                  <w:r>
                    <w:rPr>
                      <w:highlight w:val="none"/>
                    </w:rPr>
                    <w:t>机器噪声</w:t>
                  </w:r>
                </w:p>
              </w:tc>
              <w:tc>
                <w:tcPr>
                  <w:tcW w:w="3694" w:type="dxa"/>
                  <w:tcBorders>
                    <w:tl2br w:val="nil"/>
                    <w:tr2bl w:val="nil"/>
                  </w:tcBorders>
                  <w:vAlign w:val="center"/>
                </w:tcPr>
                <w:p>
                  <w:pPr>
                    <w:pStyle w:val="102"/>
                    <w:rPr>
                      <w:highlight w:val="none"/>
                    </w:rPr>
                  </w:pPr>
                  <w:r>
                    <w:rPr>
                      <w:highlight w:val="none"/>
                    </w:rPr>
                    <w:t>选用低噪声设备、基础减振、厂房隔声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restart"/>
                  <w:tcBorders>
                    <w:tl2br w:val="nil"/>
                    <w:tr2bl w:val="nil"/>
                  </w:tcBorders>
                  <w:vAlign w:val="center"/>
                </w:tcPr>
                <w:p>
                  <w:pPr>
                    <w:pStyle w:val="102"/>
                    <w:rPr>
                      <w:highlight w:val="none"/>
                    </w:rPr>
                  </w:pPr>
                  <w:r>
                    <w:rPr>
                      <w:highlight w:val="none"/>
                    </w:rPr>
                    <w:t>固废</w:t>
                  </w:r>
                </w:p>
              </w:tc>
              <w:tc>
                <w:tcPr>
                  <w:tcW w:w="1548" w:type="dxa"/>
                  <w:vMerge w:val="restart"/>
                  <w:tcBorders>
                    <w:tl2br w:val="nil"/>
                    <w:tr2bl w:val="nil"/>
                  </w:tcBorders>
                  <w:vAlign w:val="center"/>
                </w:tcPr>
                <w:p>
                  <w:pPr>
                    <w:pStyle w:val="102"/>
                    <w:rPr>
                      <w:highlight w:val="none"/>
                    </w:rPr>
                  </w:pPr>
                  <w:r>
                    <w:rPr>
                      <w:rFonts w:hint="eastAsia"/>
                      <w:highlight w:val="none"/>
                    </w:rPr>
                    <w:t>生产过程</w:t>
                  </w:r>
                </w:p>
              </w:tc>
              <w:tc>
                <w:tcPr>
                  <w:tcW w:w="2269" w:type="dxa"/>
                  <w:tcBorders>
                    <w:tl2br w:val="nil"/>
                    <w:tr2bl w:val="nil"/>
                  </w:tcBorders>
                  <w:vAlign w:val="center"/>
                </w:tcPr>
                <w:p>
                  <w:pPr>
                    <w:pStyle w:val="102"/>
                    <w:rPr>
                      <w:highlight w:val="none"/>
                    </w:rPr>
                  </w:pPr>
                  <w:r>
                    <w:rPr>
                      <w:rFonts w:hint="eastAsia"/>
                      <w:highlight w:val="none"/>
                    </w:rPr>
                    <w:t>不合格蛋</w:t>
                  </w:r>
                </w:p>
              </w:tc>
              <w:tc>
                <w:tcPr>
                  <w:tcW w:w="3694" w:type="dxa"/>
                  <w:vMerge w:val="restart"/>
                  <w:tcBorders>
                    <w:tl2br w:val="nil"/>
                    <w:tr2bl w:val="nil"/>
                  </w:tcBorders>
                  <w:vAlign w:val="center"/>
                </w:tcPr>
                <w:p>
                  <w:pPr>
                    <w:pStyle w:val="102"/>
                    <w:rPr>
                      <w:highlight w:val="none"/>
                    </w:rPr>
                  </w:pPr>
                  <w:r>
                    <w:rPr>
                      <w:highlight w:val="none"/>
                    </w:rPr>
                    <w:t>暂存于一般固废贮存</w:t>
                  </w:r>
                  <w:r>
                    <w:rPr>
                      <w:rFonts w:hint="eastAsia"/>
                      <w:highlight w:val="none"/>
                    </w:rPr>
                    <w:t>间，外售综合利用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highlight w:val="none"/>
                    </w:rPr>
                  </w:pPr>
                </w:p>
              </w:tc>
              <w:tc>
                <w:tcPr>
                  <w:tcW w:w="2269" w:type="dxa"/>
                  <w:tcBorders>
                    <w:tl2br w:val="nil"/>
                    <w:tr2bl w:val="nil"/>
                  </w:tcBorders>
                  <w:vAlign w:val="center"/>
                </w:tcPr>
                <w:p>
                  <w:pPr>
                    <w:pStyle w:val="102"/>
                    <w:rPr>
                      <w:highlight w:val="none"/>
                    </w:rPr>
                  </w:pPr>
                  <w:r>
                    <w:rPr>
                      <w:rFonts w:hint="eastAsia"/>
                      <w:highlight w:val="none"/>
                    </w:rPr>
                    <w:t>废蛋液</w:t>
                  </w:r>
                </w:p>
              </w:tc>
              <w:tc>
                <w:tcPr>
                  <w:tcW w:w="3694" w:type="dxa"/>
                  <w:vMerge w:val="continue"/>
                  <w:tcBorders>
                    <w:tl2br w:val="nil"/>
                    <w:tr2bl w:val="nil"/>
                  </w:tcBorders>
                  <w:vAlign w:val="center"/>
                </w:tcPr>
                <w:p>
                  <w:pPr>
                    <w:pStyle w:val="102"/>
                    <w:rPr>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highlight w:val="none"/>
                    </w:rPr>
                  </w:pPr>
                </w:p>
              </w:tc>
              <w:tc>
                <w:tcPr>
                  <w:tcW w:w="2269" w:type="dxa"/>
                  <w:tcBorders>
                    <w:tl2br w:val="nil"/>
                    <w:tr2bl w:val="nil"/>
                  </w:tcBorders>
                  <w:vAlign w:val="center"/>
                </w:tcPr>
                <w:p>
                  <w:pPr>
                    <w:pStyle w:val="102"/>
                    <w:rPr>
                      <w:highlight w:val="none"/>
                    </w:rPr>
                  </w:pPr>
                  <w:r>
                    <w:rPr>
                      <w:rFonts w:hint="eastAsia"/>
                      <w:highlight w:val="none"/>
                    </w:rPr>
                    <w:t>蛋壳</w:t>
                  </w:r>
                </w:p>
              </w:tc>
              <w:tc>
                <w:tcPr>
                  <w:tcW w:w="3694" w:type="dxa"/>
                  <w:vMerge w:val="continue"/>
                  <w:tcBorders>
                    <w:tl2br w:val="nil"/>
                    <w:tr2bl w:val="nil"/>
                  </w:tcBorders>
                  <w:vAlign w:val="center"/>
                </w:tcPr>
                <w:p>
                  <w:pPr>
                    <w:pStyle w:val="102"/>
                    <w:rPr>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highlight w:val="none"/>
                    </w:rPr>
                  </w:pPr>
                </w:p>
              </w:tc>
              <w:tc>
                <w:tcPr>
                  <w:tcW w:w="2269" w:type="dxa"/>
                  <w:tcBorders>
                    <w:tl2br w:val="nil"/>
                    <w:tr2bl w:val="nil"/>
                  </w:tcBorders>
                  <w:vAlign w:val="center"/>
                </w:tcPr>
                <w:p>
                  <w:pPr>
                    <w:pStyle w:val="102"/>
                    <w:rPr>
                      <w:highlight w:val="none"/>
                    </w:rPr>
                  </w:pPr>
                  <w:r>
                    <w:rPr>
                      <w:rFonts w:hint="eastAsia"/>
                      <w:highlight w:val="none"/>
                    </w:rPr>
                    <w:t>过滤废弃物</w:t>
                  </w:r>
                </w:p>
              </w:tc>
              <w:tc>
                <w:tcPr>
                  <w:tcW w:w="3694" w:type="dxa"/>
                  <w:vMerge w:val="continue"/>
                  <w:tcBorders>
                    <w:tl2br w:val="nil"/>
                    <w:tr2bl w:val="nil"/>
                  </w:tcBorders>
                  <w:vAlign w:val="center"/>
                </w:tcPr>
                <w:p>
                  <w:pPr>
                    <w:pStyle w:val="102"/>
                    <w:rPr>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highlight w:val="none"/>
                    </w:rPr>
                  </w:pPr>
                </w:p>
              </w:tc>
              <w:tc>
                <w:tcPr>
                  <w:tcW w:w="2269" w:type="dxa"/>
                  <w:tcBorders>
                    <w:tl2br w:val="nil"/>
                    <w:tr2bl w:val="nil"/>
                  </w:tcBorders>
                  <w:vAlign w:val="center"/>
                </w:tcPr>
                <w:p>
                  <w:pPr>
                    <w:pStyle w:val="102"/>
                    <w:rPr>
                      <w:highlight w:val="none"/>
                    </w:rPr>
                  </w:pPr>
                  <w:r>
                    <w:rPr>
                      <w:highlight w:val="none"/>
                    </w:rPr>
                    <w:t>不合格品</w:t>
                  </w:r>
                </w:p>
              </w:tc>
              <w:tc>
                <w:tcPr>
                  <w:tcW w:w="3694" w:type="dxa"/>
                  <w:vMerge w:val="continue"/>
                  <w:tcBorders>
                    <w:tl2br w:val="nil"/>
                    <w:tr2bl w:val="nil"/>
                  </w:tcBorders>
                  <w:vAlign w:val="center"/>
                </w:tcPr>
                <w:p>
                  <w:pPr>
                    <w:pStyle w:val="102"/>
                    <w:rPr>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highlight w:val="none"/>
                    </w:rPr>
                  </w:pPr>
                </w:p>
              </w:tc>
              <w:tc>
                <w:tcPr>
                  <w:tcW w:w="2269" w:type="dxa"/>
                  <w:tcBorders>
                    <w:tl2br w:val="nil"/>
                    <w:tr2bl w:val="nil"/>
                  </w:tcBorders>
                  <w:vAlign w:val="center"/>
                </w:tcPr>
                <w:p>
                  <w:pPr>
                    <w:pStyle w:val="102"/>
                    <w:rPr>
                      <w:highlight w:val="none"/>
                    </w:rPr>
                  </w:pPr>
                  <w:r>
                    <w:rPr>
                      <w:rFonts w:hint="eastAsia"/>
                      <w:highlight w:val="none"/>
                    </w:rPr>
                    <w:t>废包装材料</w:t>
                  </w:r>
                </w:p>
              </w:tc>
              <w:tc>
                <w:tcPr>
                  <w:tcW w:w="3694" w:type="dxa"/>
                  <w:vMerge w:val="continue"/>
                  <w:tcBorders>
                    <w:tl2br w:val="nil"/>
                    <w:tr2bl w:val="nil"/>
                  </w:tcBorders>
                  <w:vAlign w:val="center"/>
                </w:tcPr>
                <w:p>
                  <w:pPr>
                    <w:pStyle w:val="102"/>
                    <w:rPr>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highlight w:val="none"/>
                    </w:rPr>
                  </w:pPr>
                </w:p>
              </w:tc>
              <w:tc>
                <w:tcPr>
                  <w:tcW w:w="2269" w:type="dxa"/>
                  <w:tcBorders>
                    <w:tl2br w:val="nil"/>
                    <w:tr2bl w:val="nil"/>
                  </w:tcBorders>
                  <w:vAlign w:val="center"/>
                </w:tcPr>
                <w:p>
                  <w:pPr>
                    <w:pStyle w:val="102"/>
                    <w:rPr>
                      <w:highlight w:val="none"/>
                    </w:rPr>
                  </w:pPr>
                  <w:r>
                    <w:rPr>
                      <w:rFonts w:hint="eastAsia"/>
                      <w:highlight w:val="none"/>
                    </w:rPr>
                    <w:t>废CIP清洗酸碱包装桶</w:t>
                  </w:r>
                </w:p>
              </w:tc>
              <w:tc>
                <w:tcPr>
                  <w:tcW w:w="3694" w:type="dxa"/>
                  <w:vMerge w:val="restart"/>
                  <w:tcBorders>
                    <w:tl2br w:val="nil"/>
                    <w:tr2bl w:val="nil"/>
                  </w:tcBorders>
                  <w:vAlign w:val="center"/>
                </w:tcPr>
                <w:p>
                  <w:pPr>
                    <w:pStyle w:val="102"/>
                    <w:rPr>
                      <w:highlight w:val="none"/>
                    </w:rPr>
                  </w:pPr>
                  <w:r>
                    <w:rPr>
                      <w:highlight w:val="none"/>
                    </w:rPr>
                    <w:t>暂存危险废物贮存库，定期交有资质单位处理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highlight w:val="none"/>
                    </w:rPr>
                  </w:pPr>
                  <w:r>
                    <w:rPr>
                      <w:highlight w:val="none"/>
                    </w:rPr>
                    <w:t>设备维护</w:t>
                  </w:r>
                </w:p>
              </w:tc>
              <w:tc>
                <w:tcPr>
                  <w:tcW w:w="2269" w:type="dxa"/>
                  <w:tcBorders>
                    <w:tl2br w:val="nil"/>
                    <w:tr2bl w:val="nil"/>
                  </w:tcBorders>
                  <w:vAlign w:val="center"/>
                </w:tcPr>
                <w:p>
                  <w:pPr>
                    <w:pStyle w:val="102"/>
                    <w:rPr>
                      <w:highlight w:val="none"/>
                    </w:rPr>
                  </w:pPr>
                  <w:r>
                    <w:rPr>
                      <w:highlight w:val="none"/>
                    </w:rPr>
                    <w:t>含油废弃物、废机油</w:t>
                  </w:r>
                </w:p>
              </w:tc>
              <w:tc>
                <w:tcPr>
                  <w:tcW w:w="3694" w:type="dxa"/>
                  <w:vMerge w:val="continue"/>
                  <w:tcBorders>
                    <w:tl2br w:val="nil"/>
                    <w:tr2bl w:val="nil"/>
                  </w:tcBorders>
                  <w:vAlign w:val="center"/>
                </w:tcPr>
                <w:p>
                  <w:pPr>
                    <w:pStyle w:val="102"/>
                    <w:rPr>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检验废物</w:t>
                  </w:r>
                </w:p>
              </w:tc>
              <w:tc>
                <w:tcPr>
                  <w:tcW w:w="2269"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检验固废</w:t>
                  </w:r>
                </w:p>
              </w:tc>
              <w:tc>
                <w:tcPr>
                  <w:tcW w:w="3694"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暂存危险废物贮存库，定期交有资质单位处理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restart"/>
                  <w:tcBorders>
                    <w:tl2br w:val="nil"/>
                    <w:tr2bl w:val="nil"/>
                  </w:tcBorders>
                  <w:vAlign w:val="center"/>
                </w:tcPr>
                <w:p>
                  <w:pPr>
                    <w:pStyle w:val="102"/>
                    <w:rPr>
                      <w:rFonts w:hint="eastAsia" w:eastAsia="宋体"/>
                      <w:color w:val="0000FF"/>
                      <w:highlight w:val="none"/>
                      <w:lang w:val="en-US" w:eastAsia="zh-CN"/>
                    </w:rPr>
                  </w:pPr>
                  <w:r>
                    <w:rPr>
                      <w:rFonts w:hint="eastAsia"/>
                      <w:color w:val="0000FF"/>
                      <w:highlight w:val="none"/>
                      <w:lang w:val="en-US" w:eastAsia="zh-CN"/>
                    </w:rPr>
                    <w:t>锅炉</w:t>
                  </w:r>
                </w:p>
              </w:tc>
              <w:tc>
                <w:tcPr>
                  <w:tcW w:w="2269"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锅炉炉渣</w:t>
                  </w:r>
                </w:p>
              </w:tc>
              <w:tc>
                <w:tcPr>
                  <w:tcW w:w="3694" w:type="dxa"/>
                  <w:tcBorders>
                    <w:tl2br w:val="nil"/>
                    <w:tr2bl w:val="nil"/>
                  </w:tcBorders>
                  <w:vAlign w:val="center"/>
                </w:tcPr>
                <w:p>
                  <w:pPr>
                    <w:pStyle w:val="102"/>
                    <w:rPr>
                      <w:color w:val="0000FF"/>
                      <w:highlight w:val="none"/>
                    </w:rPr>
                  </w:pPr>
                  <w:r>
                    <w:rPr>
                      <w:color w:val="0000FF"/>
                      <w:highlight w:val="none"/>
                    </w:rPr>
                    <w:t>暂存于</w:t>
                  </w:r>
                  <w:r>
                    <w:rPr>
                      <w:rFonts w:hint="eastAsia"/>
                      <w:color w:val="0000FF"/>
                      <w:highlight w:val="none"/>
                      <w:lang w:val="en-US" w:eastAsia="zh-CN"/>
                    </w:rPr>
                    <w:t>生物质燃料仓库</w:t>
                  </w:r>
                  <w:r>
                    <w:rPr>
                      <w:rFonts w:hint="eastAsia"/>
                      <w:color w:val="0000FF"/>
                      <w:highlight w:val="none"/>
                    </w:rPr>
                    <w:t>，外售综合利用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vMerge w:val="continue"/>
                  <w:tcBorders>
                    <w:tl2br w:val="nil"/>
                    <w:tr2bl w:val="nil"/>
                  </w:tcBorders>
                  <w:vAlign w:val="center"/>
                </w:tcPr>
                <w:p>
                  <w:pPr>
                    <w:pStyle w:val="102"/>
                    <w:rPr>
                      <w:rFonts w:hint="eastAsia"/>
                      <w:color w:val="0000FF"/>
                      <w:highlight w:val="none"/>
                      <w:lang w:val="en-US" w:eastAsia="zh-CN"/>
                    </w:rPr>
                  </w:pPr>
                </w:p>
              </w:tc>
              <w:tc>
                <w:tcPr>
                  <w:tcW w:w="2269" w:type="dxa"/>
                  <w:tcBorders>
                    <w:tl2br w:val="nil"/>
                    <w:tr2bl w:val="nil"/>
                  </w:tcBorders>
                  <w:vAlign w:val="center"/>
                </w:tcPr>
                <w:p>
                  <w:pPr>
                    <w:pStyle w:val="102"/>
                    <w:rPr>
                      <w:rFonts w:hint="eastAsia"/>
                      <w:color w:val="0000FF"/>
                      <w:highlight w:val="none"/>
                      <w:lang w:val="en-US" w:eastAsia="zh-CN"/>
                    </w:rPr>
                  </w:pPr>
                  <w:r>
                    <w:rPr>
                      <w:rFonts w:hint="eastAsia"/>
                      <w:color w:val="0000FF"/>
                      <w:highlight w:val="none"/>
                      <w:lang w:val="en-US" w:eastAsia="zh-CN"/>
                    </w:rPr>
                    <w:t>废离子交换树脂</w:t>
                  </w:r>
                </w:p>
              </w:tc>
              <w:tc>
                <w:tcPr>
                  <w:tcW w:w="3694" w:type="dxa"/>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厂家回收</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highlight w:val="none"/>
                    </w:rPr>
                  </w:pPr>
                  <w:r>
                    <w:rPr>
                      <w:rFonts w:hint="eastAsia"/>
                      <w:highlight w:val="none"/>
                    </w:rPr>
                    <w:t>废气处理</w:t>
                  </w:r>
                </w:p>
              </w:tc>
              <w:tc>
                <w:tcPr>
                  <w:tcW w:w="2269" w:type="dxa"/>
                  <w:tcBorders>
                    <w:tl2br w:val="nil"/>
                    <w:tr2bl w:val="nil"/>
                  </w:tcBorders>
                  <w:vAlign w:val="center"/>
                </w:tcPr>
                <w:p>
                  <w:pPr>
                    <w:pStyle w:val="102"/>
                    <w:rPr>
                      <w:highlight w:val="none"/>
                    </w:rPr>
                  </w:pPr>
                  <w:r>
                    <w:rPr>
                      <w:rFonts w:hint="eastAsia"/>
                      <w:highlight w:val="none"/>
                    </w:rPr>
                    <w:t>废布袋、除尘灰</w:t>
                  </w:r>
                </w:p>
              </w:tc>
              <w:tc>
                <w:tcPr>
                  <w:tcW w:w="3694" w:type="dxa"/>
                  <w:tcBorders>
                    <w:tl2br w:val="nil"/>
                    <w:tr2bl w:val="nil"/>
                  </w:tcBorders>
                  <w:vAlign w:val="center"/>
                </w:tcPr>
                <w:p>
                  <w:pPr>
                    <w:pStyle w:val="102"/>
                    <w:rPr>
                      <w:highlight w:val="none"/>
                    </w:rPr>
                  </w:pPr>
                  <w:r>
                    <w:rPr>
                      <w:highlight w:val="none"/>
                    </w:rPr>
                    <w:t>暂存于一般固废贮存库</w:t>
                  </w:r>
                  <w:r>
                    <w:rPr>
                      <w:rFonts w:hint="eastAsia"/>
                      <w:highlight w:val="none"/>
                    </w:rPr>
                    <w:t>，</w:t>
                  </w:r>
                  <w:r>
                    <w:rPr>
                      <w:highlight w:val="none"/>
                    </w:rPr>
                    <w:t>收集后外售综合利用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highlight w:val="none"/>
                    </w:rPr>
                  </w:pPr>
                  <w:r>
                    <w:rPr>
                      <w:highlight w:val="none"/>
                    </w:rPr>
                    <w:t>污水处理</w:t>
                  </w:r>
                </w:p>
              </w:tc>
              <w:tc>
                <w:tcPr>
                  <w:tcW w:w="2269" w:type="dxa"/>
                  <w:tcBorders>
                    <w:tl2br w:val="nil"/>
                    <w:tr2bl w:val="nil"/>
                  </w:tcBorders>
                  <w:vAlign w:val="center"/>
                </w:tcPr>
                <w:p>
                  <w:pPr>
                    <w:pStyle w:val="102"/>
                    <w:rPr>
                      <w:highlight w:val="none"/>
                    </w:rPr>
                  </w:pPr>
                  <w:r>
                    <w:rPr>
                      <w:highlight w:val="none"/>
                    </w:rPr>
                    <w:t>污泥</w:t>
                  </w:r>
                </w:p>
              </w:tc>
              <w:tc>
                <w:tcPr>
                  <w:tcW w:w="3694" w:type="dxa"/>
                  <w:tcBorders>
                    <w:tl2br w:val="nil"/>
                    <w:tr2bl w:val="nil"/>
                  </w:tcBorders>
                  <w:vAlign w:val="center"/>
                </w:tcPr>
                <w:p>
                  <w:pPr>
                    <w:pStyle w:val="102"/>
                    <w:rPr>
                      <w:highlight w:val="none"/>
                    </w:rPr>
                  </w:pPr>
                  <w:r>
                    <w:rPr>
                      <w:rFonts w:hint="eastAsia"/>
                      <w:highlight w:val="none"/>
                    </w:rPr>
                    <w:t>由有资质单位统一处置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80" w:type="dxa"/>
                  <w:vMerge w:val="continue"/>
                  <w:tcBorders>
                    <w:tl2br w:val="nil"/>
                    <w:tr2bl w:val="nil"/>
                  </w:tcBorders>
                  <w:vAlign w:val="center"/>
                </w:tcPr>
                <w:p>
                  <w:pPr>
                    <w:pStyle w:val="102"/>
                    <w:rPr>
                      <w:highlight w:val="none"/>
                    </w:rPr>
                  </w:pPr>
                </w:p>
              </w:tc>
              <w:tc>
                <w:tcPr>
                  <w:tcW w:w="1548" w:type="dxa"/>
                  <w:tcBorders>
                    <w:tl2br w:val="nil"/>
                    <w:tr2bl w:val="nil"/>
                  </w:tcBorders>
                  <w:vAlign w:val="center"/>
                </w:tcPr>
                <w:p>
                  <w:pPr>
                    <w:pStyle w:val="102"/>
                    <w:rPr>
                      <w:highlight w:val="none"/>
                    </w:rPr>
                  </w:pPr>
                  <w:r>
                    <w:rPr>
                      <w:highlight w:val="none"/>
                    </w:rPr>
                    <w:t>员工生活</w:t>
                  </w:r>
                </w:p>
              </w:tc>
              <w:tc>
                <w:tcPr>
                  <w:tcW w:w="2269" w:type="dxa"/>
                  <w:tcBorders>
                    <w:tl2br w:val="nil"/>
                    <w:tr2bl w:val="nil"/>
                  </w:tcBorders>
                  <w:vAlign w:val="center"/>
                </w:tcPr>
                <w:p>
                  <w:pPr>
                    <w:pStyle w:val="102"/>
                    <w:rPr>
                      <w:highlight w:val="none"/>
                    </w:rPr>
                  </w:pPr>
                  <w:r>
                    <w:rPr>
                      <w:highlight w:val="none"/>
                    </w:rPr>
                    <w:t>生活垃圾</w:t>
                  </w:r>
                </w:p>
              </w:tc>
              <w:tc>
                <w:tcPr>
                  <w:tcW w:w="3694" w:type="dxa"/>
                  <w:tcBorders>
                    <w:tl2br w:val="nil"/>
                    <w:tr2bl w:val="nil"/>
                  </w:tcBorders>
                  <w:vAlign w:val="center"/>
                </w:tcPr>
                <w:p>
                  <w:pPr>
                    <w:pStyle w:val="102"/>
                    <w:rPr>
                      <w:highlight w:val="none"/>
                    </w:rPr>
                  </w:pPr>
                  <w:r>
                    <w:rPr>
                      <w:highlight w:val="none"/>
                    </w:rPr>
                    <w:t>收集后由环卫部门统一清收</w:t>
                  </w:r>
                </w:p>
              </w:tc>
            </w:tr>
          </w:tbl>
          <w:p>
            <w:pPr>
              <w:spacing w:line="360" w:lineRule="auto"/>
              <w:jc w:val="center"/>
              <w:rPr>
                <w:bCs/>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3" w:type="dxa"/>
            <w:vAlign w:val="center"/>
          </w:tcPr>
          <w:p>
            <w:pPr>
              <w:pStyle w:val="36"/>
              <w:adjustRightInd w:val="0"/>
              <w:snapToGrid w:val="0"/>
              <w:spacing w:before="0" w:beforeAutospacing="0" w:after="0" w:afterAutospacing="0"/>
              <w:jc w:val="center"/>
              <w:rPr>
                <w:rFonts w:ascii="Times New Roman" w:hAnsi="Times New Roman"/>
                <w:szCs w:val="24"/>
                <w:highlight w:val="none"/>
              </w:rPr>
            </w:pPr>
            <w:r>
              <w:rPr>
                <w:rFonts w:ascii="Times New Roman" w:hAnsi="Times New Roman"/>
                <w:b/>
                <w:kern w:val="2"/>
                <w:szCs w:val="24"/>
                <w:highlight w:val="none"/>
              </w:rPr>
              <w:t>与项目有关的原有环境污染问题</w:t>
            </w:r>
          </w:p>
        </w:tc>
        <w:tc>
          <w:tcPr>
            <w:tcW w:w="8607" w:type="dxa"/>
          </w:tcPr>
          <w:p>
            <w:pPr>
              <w:autoSpaceDE w:val="0"/>
              <w:autoSpaceDN w:val="0"/>
              <w:adjustRightInd w:val="0"/>
              <w:snapToGrid w:val="0"/>
              <w:spacing w:line="360" w:lineRule="auto"/>
              <w:ind w:firstLine="480" w:firstLineChars="200"/>
              <w:rPr>
                <w:sz w:val="24"/>
                <w:highlight w:val="none"/>
              </w:rPr>
            </w:pPr>
            <w:r>
              <w:rPr>
                <w:sz w:val="24"/>
                <w:highlight w:val="none"/>
              </w:rPr>
              <w:t>本项目为新建项目，</w:t>
            </w:r>
            <w:r>
              <w:rPr>
                <w:rFonts w:hint="eastAsia"/>
                <w:sz w:val="24"/>
                <w:highlight w:val="none"/>
              </w:rPr>
              <w:t>利用华林镇吉山村华林板岩加工园二期现有工业用地，新建厂房及生产加工，项目选址处现状为空地，未开工建设，因此不存在与项目有关的原有环境污染问题。</w:t>
            </w:r>
          </w:p>
          <w:tbl>
            <w:tblPr>
              <w:tblStyle w:val="40"/>
              <w:tblW w:w="79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1331"/>
              <w:gridCol w:w="1332"/>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gridSpan w:val="2"/>
                  <w:tcBorders>
                    <w:top w:val="nil"/>
                    <w:left w:val="nil"/>
                    <w:bottom w:val="nil"/>
                    <w:right w:val="nil"/>
                  </w:tcBorders>
                  <w:vAlign w:val="center"/>
                </w:tcPr>
                <w:p>
                  <w:pPr>
                    <w:adjustRightInd w:val="0"/>
                    <w:snapToGrid w:val="0"/>
                    <w:jc w:val="center"/>
                    <w:rPr>
                      <w:kern w:val="0"/>
                      <w:szCs w:val="21"/>
                      <w:highlight w:val="none"/>
                    </w:rPr>
                  </w:pPr>
                  <w:r>
                    <w:rPr>
                      <w:rFonts w:hint="eastAsia" w:eastAsia="宋体"/>
                      <w:b/>
                      <w:bCs/>
                      <w:szCs w:val="21"/>
                      <w:highlight w:val="none"/>
                      <w:lang w:eastAsia="zh-CN"/>
                    </w:rPr>
                    <w:drawing>
                      <wp:inline distT="0" distB="0" distL="114300" distR="114300">
                        <wp:extent cx="2379980" cy="1785620"/>
                        <wp:effectExtent l="0" t="0" r="1270" b="5080"/>
                        <wp:docPr id="22" name="图片 22" descr="微信图片_20260127105024_363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60127105024_363_350"/>
                                <pic:cNvPicPr>
                                  <a:picLocks noChangeAspect="1"/>
                                </pic:cNvPicPr>
                              </pic:nvPicPr>
                              <pic:blipFill>
                                <a:blip r:embed="rId13"/>
                                <a:stretch>
                                  <a:fillRect/>
                                </a:stretch>
                              </pic:blipFill>
                              <pic:spPr>
                                <a:xfrm>
                                  <a:off x="0" y="0"/>
                                  <a:ext cx="2379980" cy="1785620"/>
                                </a:xfrm>
                                <a:prstGeom prst="rect">
                                  <a:avLst/>
                                </a:prstGeom>
                              </pic:spPr>
                            </pic:pic>
                          </a:graphicData>
                        </a:graphic>
                      </wp:inline>
                    </w:drawing>
                  </w:r>
                </w:p>
              </w:tc>
              <w:tc>
                <w:tcPr>
                  <w:tcW w:w="3995" w:type="dxa"/>
                  <w:gridSpan w:val="2"/>
                  <w:tcBorders>
                    <w:top w:val="nil"/>
                    <w:left w:val="nil"/>
                    <w:bottom w:val="nil"/>
                    <w:right w:val="nil"/>
                  </w:tcBorders>
                  <w:vAlign w:val="center"/>
                </w:tcPr>
                <w:p>
                  <w:pPr>
                    <w:adjustRightInd w:val="0"/>
                    <w:snapToGrid w:val="0"/>
                    <w:jc w:val="center"/>
                    <w:rPr>
                      <w:kern w:val="0"/>
                      <w:szCs w:val="21"/>
                      <w:highlight w:val="none"/>
                    </w:rPr>
                  </w:pPr>
                  <w:r>
                    <w:rPr>
                      <w:rFonts w:hint="eastAsia" w:eastAsia="宋体"/>
                      <w:highlight w:val="none"/>
                      <w:lang w:eastAsia="zh-CN"/>
                    </w:rPr>
                    <w:drawing>
                      <wp:inline distT="0" distB="0" distL="114300" distR="114300">
                        <wp:extent cx="2380615" cy="1785620"/>
                        <wp:effectExtent l="0" t="0" r="635" b="5080"/>
                        <wp:docPr id="23" name="图片 23" descr="厂区东侧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厂区东侧3"/>
                                <pic:cNvPicPr>
                                  <a:picLocks noChangeAspect="1"/>
                                </pic:cNvPicPr>
                              </pic:nvPicPr>
                              <pic:blipFill>
                                <a:blip r:embed="rId14"/>
                                <a:stretch>
                                  <a:fillRect/>
                                </a:stretch>
                              </pic:blipFill>
                              <pic:spPr>
                                <a:xfrm>
                                  <a:off x="0" y="0"/>
                                  <a:ext cx="2380615" cy="17856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gridSpan w:val="2"/>
                  <w:tcBorders>
                    <w:top w:val="nil"/>
                    <w:left w:val="nil"/>
                    <w:bottom w:val="nil"/>
                    <w:right w:val="nil"/>
                  </w:tcBorders>
                  <w:vAlign w:val="center"/>
                </w:tcPr>
                <w:p>
                  <w:pPr>
                    <w:adjustRightInd w:val="0"/>
                    <w:snapToGrid w:val="0"/>
                    <w:jc w:val="center"/>
                    <w:rPr>
                      <w:rFonts w:hint="default" w:eastAsia="宋体"/>
                      <w:highlight w:val="none"/>
                      <w:lang w:val="en-US" w:eastAsia="zh-CN"/>
                    </w:rPr>
                  </w:pPr>
                  <w:r>
                    <w:rPr>
                      <w:rFonts w:hint="eastAsia" w:eastAsia="宋体"/>
                      <w:highlight w:val="none"/>
                      <w:lang w:val="en-US" w:eastAsia="zh-CN"/>
                    </w:rPr>
                    <w:t>厂区现状</w:t>
                  </w:r>
                </w:p>
              </w:tc>
              <w:tc>
                <w:tcPr>
                  <w:tcW w:w="3995" w:type="dxa"/>
                  <w:gridSpan w:val="2"/>
                  <w:tcBorders>
                    <w:top w:val="nil"/>
                    <w:left w:val="nil"/>
                    <w:bottom w:val="nil"/>
                    <w:right w:val="nil"/>
                  </w:tcBorders>
                  <w:vAlign w:val="center"/>
                </w:tcPr>
                <w:p>
                  <w:pPr>
                    <w:adjustRightInd w:val="0"/>
                    <w:snapToGrid w:val="0"/>
                    <w:jc w:val="center"/>
                    <w:rPr>
                      <w:rFonts w:hint="default" w:eastAsia="宋体"/>
                      <w:highlight w:val="none"/>
                      <w:lang w:val="en-US" w:eastAsia="zh-CN"/>
                    </w:rPr>
                  </w:pPr>
                  <w:r>
                    <w:rPr>
                      <w:rFonts w:hint="eastAsia" w:eastAsia="宋体"/>
                      <w:highlight w:val="none"/>
                      <w:lang w:val="en-US" w:eastAsia="zh-CN"/>
                    </w:rPr>
                    <w:t>厂区东侧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3" w:type="dxa"/>
                  <w:tcBorders>
                    <w:top w:val="nil"/>
                    <w:left w:val="nil"/>
                    <w:bottom w:val="nil"/>
                    <w:right w:val="nil"/>
                  </w:tcBorders>
                  <w:vAlign w:val="center"/>
                </w:tcPr>
                <w:p>
                  <w:pPr>
                    <w:pStyle w:val="14"/>
                    <w:jc w:val="center"/>
                    <w:rPr>
                      <w:rFonts w:hint="default"/>
                      <w:highlight w:val="none"/>
                      <w:lang w:val="en-US" w:eastAsia="zh-CN"/>
                    </w:rPr>
                  </w:pPr>
                  <w:r>
                    <w:rPr>
                      <w:rFonts w:hint="eastAsia" w:eastAsia="宋体"/>
                      <w:b/>
                      <w:bCs/>
                      <w:szCs w:val="21"/>
                      <w:highlight w:val="none"/>
                      <w:lang w:eastAsia="zh-CN"/>
                    </w:rPr>
                    <w:drawing>
                      <wp:inline distT="0" distB="0" distL="114300" distR="114300">
                        <wp:extent cx="1475740" cy="1969135"/>
                        <wp:effectExtent l="0" t="0" r="10160" b="12065"/>
                        <wp:docPr id="18" name="图片 18" descr="厂区北侧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厂区北侧3"/>
                                <pic:cNvPicPr>
                                  <a:picLocks noChangeAspect="1"/>
                                </pic:cNvPicPr>
                              </pic:nvPicPr>
                              <pic:blipFill>
                                <a:blip r:embed="rId15"/>
                                <a:stretch>
                                  <a:fillRect/>
                                </a:stretch>
                              </pic:blipFill>
                              <pic:spPr>
                                <a:xfrm>
                                  <a:off x="0" y="0"/>
                                  <a:ext cx="1475740" cy="1969135"/>
                                </a:xfrm>
                                <a:prstGeom prst="rect">
                                  <a:avLst/>
                                </a:prstGeom>
                              </pic:spPr>
                            </pic:pic>
                          </a:graphicData>
                        </a:graphic>
                      </wp:inline>
                    </w:drawing>
                  </w:r>
                </w:p>
              </w:tc>
              <w:tc>
                <w:tcPr>
                  <w:tcW w:w="2663" w:type="dxa"/>
                  <w:gridSpan w:val="2"/>
                  <w:tcBorders>
                    <w:top w:val="nil"/>
                    <w:left w:val="nil"/>
                    <w:bottom w:val="nil"/>
                    <w:right w:val="nil"/>
                  </w:tcBorders>
                  <w:vAlign w:val="center"/>
                </w:tcPr>
                <w:p>
                  <w:pPr>
                    <w:pStyle w:val="14"/>
                    <w:jc w:val="center"/>
                    <w:rPr>
                      <w:rFonts w:hint="default"/>
                      <w:highlight w:val="none"/>
                      <w:lang w:val="en-US" w:eastAsia="zh-CN"/>
                    </w:rPr>
                  </w:pPr>
                  <w:r>
                    <w:rPr>
                      <w:rFonts w:hint="eastAsia" w:eastAsia="宋体"/>
                      <w:b/>
                      <w:bCs/>
                      <w:szCs w:val="21"/>
                      <w:highlight w:val="none"/>
                      <w:lang w:eastAsia="zh-CN"/>
                    </w:rPr>
                    <w:drawing>
                      <wp:inline distT="0" distB="0" distL="114300" distR="114300">
                        <wp:extent cx="1475740" cy="1968500"/>
                        <wp:effectExtent l="0" t="0" r="10160" b="12700"/>
                        <wp:docPr id="20" name="图片 20" descr="厂区南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厂区南侧"/>
                                <pic:cNvPicPr>
                                  <a:picLocks noChangeAspect="1"/>
                                </pic:cNvPicPr>
                              </pic:nvPicPr>
                              <pic:blipFill>
                                <a:blip r:embed="rId16"/>
                                <a:stretch>
                                  <a:fillRect/>
                                </a:stretch>
                              </pic:blipFill>
                              <pic:spPr>
                                <a:xfrm>
                                  <a:off x="0" y="0"/>
                                  <a:ext cx="1475740" cy="1968500"/>
                                </a:xfrm>
                                <a:prstGeom prst="rect">
                                  <a:avLst/>
                                </a:prstGeom>
                              </pic:spPr>
                            </pic:pic>
                          </a:graphicData>
                        </a:graphic>
                      </wp:inline>
                    </w:drawing>
                  </w:r>
                </w:p>
              </w:tc>
              <w:tc>
                <w:tcPr>
                  <w:tcW w:w="2663" w:type="dxa"/>
                  <w:tcBorders>
                    <w:top w:val="nil"/>
                    <w:left w:val="nil"/>
                    <w:bottom w:val="nil"/>
                    <w:right w:val="nil"/>
                  </w:tcBorders>
                  <w:vAlign w:val="center"/>
                </w:tcPr>
                <w:p>
                  <w:pPr>
                    <w:pStyle w:val="14"/>
                    <w:jc w:val="center"/>
                    <w:rPr>
                      <w:rFonts w:hint="default"/>
                      <w:highlight w:val="none"/>
                      <w:lang w:val="en-US" w:eastAsia="zh-CN"/>
                    </w:rPr>
                  </w:pPr>
                  <w:r>
                    <w:rPr>
                      <w:rFonts w:hint="default" w:eastAsia="宋体"/>
                      <w:highlight w:val="none"/>
                      <w:lang w:val="en-US" w:eastAsia="zh-CN"/>
                    </w:rPr>
                    <w:drawing>
                      <wp:inline distT="0" distB="0" distL="114300" distR="114300">
                        <wp:extent cx="1475740" cy="1968500"/>
                        <wp:effectExtent l="0" t="0" r="10160" b="12700"/>
                        <wp:docPr id="21" name="图片 21" descr="厂区西北侧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厂区西北侧3"/>
                                <pic:cNvPicPr>
                                  <a:picLocks noChangeAspect="1"/>
                                </pic:cNvPicPr>
                              </pic:nvPicPr>
                              <pic:blipFill>
                                <a:blip r:embed="rId17"/>
                                <a:stretch>
                                  <a:fillRect/>
                                </a:stretch>
                              </pic:blipFill>
                              <pic:spPr>
                                <a:xfrm>
                                  <a:off x="0" y="0"/>
                                  <a:ext cx="1475740" cy="19685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3" w:type="dxa"/>
                  <w:tcBorders>
                    <w:top w:val="nil"/>
                    <w:left w:val="nil"/>
                    <w:bottom w:val="nil"/>
                    <w:right w:val="nil"/>
                  </w:tcBorders>
                  <w:vAlign w:val="center"/>
                </w:tcPr>
                <w:p>
                  <w:pPr>
                    <w:pStyle w:val="14"/>
                    <w:jc w:val="center"/>
                    <w:rPr>
                      <w:rFonts w:hint="default"/>
                      <w:highlight w:val="none"/>
                      <w:lang w:val="en-US" w:eastAsia="zh-CN"/>
                    </w:rPr>
                  </w:pPr>
                  <w:r>
                    <w:rPr>
                      <w:rFonts w:hint="eastAsia" w:eastAsia="宋体"/>
                      <w:highlight w:val="none"/>
                      <w:lang w:val="en-US" w:eastAsia="zh-CN"/>
                    </w:rPr>
                    <w:t>厂区北侧</w:t>
                  </w:r>
                </w:p>
              </w:tc>
              <w:tc>
                <w:tcPr>
                  <w:tcW w:w="2663" w:type="dxa"/>
                  <w:gridSpan w:val="2"/>
                  <w:tcBorders>
                    <w:top w:val="nil"/>
                    <w:left w:val="nil"/>
                    <w:bottom w:val="nil"/>
                    <w:right w:val="nil"/>
                  </w:tcBorders>
                  <w:vAlign w:val="center"/>
                </w:tcPr>
                <w:p>
                  <w:pPr>
                    <w:pStyle w:val="14"/>
                    <w:jc w:val="center"/>
                    <w:rPr>
                      <w:rFonts w:hint="default"/>
                      <w:highlight w:val="none"/>
                      <w:lang w:val="en-US" w:eastAsia="zh-CN"/>
                    </w:rPr>
                  </w:pPr>
                  <w:r>
                    <w:rPr>
                      <w:rFonts w:hint="eastAsia" w:eastAsia="宋体"/>
                      <w:highlight w:val="none"/>
                      <w:lang w:val="en-US" w:eastAsia="zh-CN"/>
                    </w:rPr>
                    <w:t>厂区南侧</w:t>
                  </w:r>
                </w:p>
              </w:tc>
              <w:tc>
                <w:tcPr>
                  <w:tcW w:w="2663" w:type="dxa"/>
                  <w:tcBorders>
                    <w:top w:val="nil"/>
                    <w:left w:val="nil"/>
                    <w:bottom w:val="nil"/>
                    <w:right w:val="nil"/>
                  </w:tcBorders>
                  <w:vAlign w:val="center"/>
                </w:tcPr>
                <w:p>
                  <w:pPr>
                    <w:pStyle w:val="14"/>
                    <w:jc w:val="center"/>
                    <w:rPr>
                      <w:rFonts w:hint="default"/>
                      <w:highlight w:val="none"/>
                      <w:lang w:val="en-US" w:eastAsia="zh-CN"/>
                    </w:rPr>
                  </w:pPr>
                  <w:r>
                    <w:rPr>
                      <w:rFonts w:hint="eastAsia" w:eastAsia="宋体"/>
                      <w:highlight w:val="none"/>
                      <w:lang w:val="en-US" w:eastAsia="zh-CN"/>
                    </w:rPr>
                    <w:t>厂区西侧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9" w:type="dxa"/>
                  <w:gridSpan w:val="4"/>
                  <w:tcBorders>
                    <w:top w:val="nil"/>
                    <w:left w:val="nil"/>
                    <w:bottom w:val="nil"/>
                    <w:right w:val="nil"/>
                  </w:tcBorders>
                  <w:vAlign w:val="center"/>
                </w:tcPr>
                <w:p>
                  <w:pPr>
                    <w:jc w:val="center"/>
                    <w:rPr>
                      <w:color w:val="0000FF"/>
                      <w:highlight w:val="none"/>
                    </w:rPr>
                  </w:pPr>
                  <w:r>
                    <w:rPr>
                      <w:b/>
                      <w:bCs/>
                      <w:color w:val="0000FF"/>
                      <w:szCs w:val="21"/>
                      <w:highlight w:val="none"/>
                    </w:rPr>
                    <w:t>图2-</w:t>
                  </w:r>
                  <w:r>
                    <w:rPr>
                      <w:rFonts w:hint="eastAsia"/>
                      <w:b/>
                      <w:bCs/>
                      <w:color w:val="0000FF"/>
                      <w:szCs w:val="21"/>
                      <w:highlight w:val="none"/>
                    </w:rPr>
                    <w:t>5</w:t>
                  </w:r>
                  <w:r>
                    <w:rPr>
                      <w:rFonts w:hint="eastAsia" w:ascii="宋体"/>
                      <w:b/>
                      <w:bCs/>
                      <w:color w:val="0000FF"/>
                      <w:szCs w:val="21"/>
                      <w:highlight w:val="none"/>
                    </w:rPr>
                    <w:t xml:space="preserve"> </w:t>
                  </w:r>
                  <w:r>
                    <w:rPr>
                      <w:b/>
                      <w:bCs/>
                      <w:color w:val="0000FF"/>
                      <w:szCs w:val="21"/>
                      <w:highlight w:val="none"/>
                    </w:rPr>
                    <w:t xml:space="preserve"> 项目</w:t>
                  </w:r>
                  <w:r>
                    <w:rPr>
                      <w:rFonts w:hint="eastAsia"/>
                      <w:b/>
                      <w:bCs/>
                      <w:color w:val="0000FF"/>
                      <w:szCs w:val="21"/>
                      <w:highlight w:val="none"/>
                    </w:rPr>
                    <w:t>厂区</w:t>
                  </w:r>
                  <w:r>
                    <w:rPr>
                      <w:rFonts w:hint="eastAsia"/>
                      <w:b/>
                      <w:bCs/>
                      <w:color w:val="0000FF"/>
                      <w:szCs w:val="21"/>
                      <w:highlight w:val="none"/>
                      <w:lang w:val="en-US" w:eastAsia="zh-CN"/>
                    </w:rPr>
                    <w:t>及周边</w:t>
                  </w:r>
                  <w:r>
                    <w:rPr>
                      <w:rFonts w:hint="eastAsia"/>
                      <w:b/>
                      <w:bCs/>
                      <w:color w:val="0000FF"/>
                      <w:szCs w:val="21"/>
                      <w:highlight w:val="none"/>
                    </w:rPr>
                    <w:t>现状</w:t>
                  </w:r>
                  <w:r>
                    <w:rPr>
                      <w:b/>
                      <w:bCs/>
                      <w:color w:val="0000FF"/>
                      <w:szCs w:val="21"/>
                      <w:highlight w:val="none"/>
                    </w:rPr>
                    <w:t>照片</w:t>
                  </w:r>
                </w:p>
              </w:tc>
            </w:tr>
          </w:tbl>
          <w:p>
            <w:pPr>
              <w:autoSpaceDE w:val="0"/>
              <w:autoSpaceDN w:val="0"/>
              <w:adjustRightInd w:val="0"/>
              <w:snapToGrid w:val="0"/>
              <w:spacing w:line="360" w:lineRule="auto"/>
              <w:ind w:firstLine="420" w:firstLineChars="200"/>
              <w:rPr>
                <w:highlight w:val="none"/>
              </w:rPr>
            </w:pPr>
          </w:p>
        </w:tc>
      </w:tr>
    </w:tbl>
    <w:p>
      <w:pPr>
        <w:rPr>
          <w:highlight w:val="none"/>
        </w:rPr>
      </w:pPr>
    </w:p>
    <w:p>
      <w:pPr>
        <w:rPr>
          <w:highlight w:val="none"/>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6"/>
        <w:jc w:val="center"/>
        <w:outlineLvl w:val="0"/>
        <w:rPr>
          <w:rFonts w:cs="宋体"/>
          <w:b/>
          <w:bCs/>
          <w:snapToGrid w:val="0"/>
          <w:sz w:val="30"/>
          <w:szCs w:val="30"/>
          <w:highlight w:val="none"/>
        </w:rPr>
      </w:pPr>
      <w:r>
        <w:rPr>
          <w:rFonts w:hint="eastAsia" w:cs="宋体"/>
          <w:b/>
          <w:bCs/>
          <w:snapToGrid w:val="0"/>
          <w:sz w:val="30"/>
          <w:szCs w:val="30"/>
          <w:highlight w:val="none"/>
        </w:rPr>
        <w:t>三、区域环境质量现状、环境保护目标及评价标准</w:t>
      </w:r>
    </w:p>
    <w:tbl>
      <w:tblPr>
        <w:tblStyle w:val="39"/>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6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区域</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环境</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质量</w:t>
            </w:r>
          </w:p>
          <w:p>
            <w:pPr>
              <w:adjustRightInd w:val="0"/>
              <w:snapToGrid w:val="0"/>
              <w:jc w:val="center"/>
              <w:rPr>
                <w:rFonts w:ascii="宋体" w:hAnsi="宋体" w:cs="宋体"/>
                <w:kern w:val="0"/>
                <w:szCs w:val="21"/>
                <w:highlight w:val="none"/>
              </w:rPr>
            </w:pPr>
            <w:r>
              <w:rPr>
                <w:rFonts w:hint="eastAsia" w:ascii="宋体" w:hAnsi="宋体" w:cs="宋体"/>
                <w:b/>
                <w:bCs/>
                <w:kern w:val="0"/>
                <w:sz w:val="24"/>
                <w:highlight w:val="none"/>
              </w:rPr>
              <w:t>现状</w:t>
            </w:r>
          </w:p>
        </w:tc>
        <w:tc>
          <w:tcPr>
            <w:tcW w:w="8619" w:type="dxa"/>
            <w:vAlign w:val="center"/>
          </w:tcPr>
          <w:p>
            <w:pPr>
              <w:spacing w:before="120" w:beforeLines="50" w:line="360" w:lineRule="auto"/>
              <w:ind w:firstLine="481" w:firstLineChars="200"/>
              <w:rPr>
                <w:b/>
                <w:sz w:val="24"/>
                <w:highlight w:val="none"/>
              </w:rPr>
            </w:pPr>
            <w:r>
              <w:rPr>
                <w:rFonts w:hint="eastAsia"/>
                <w:b/>
                <w:sz w:val="24"/>
                <w:highlight w:val="none"/>
              </w:rPr>
              <w:t>1</w:t>
            </w:r>
            <w:r>
              <w:rPr>
                <w:b/>
                <w:sz w:val="24"/>
                <w:highlight w:val="none"/>
              </w:rPr>
              <w:t>、环境空气质量</w:t>
            </w:r>
          </w:p>
          <w:p>
            <w:pPr>
              <w:spacing w:line="360" w:lineRule="auto"/>
              <w:ind w:firstLine="480" w:firstLineChars="200"/>
              <w:rPr>
                <w:snapToGrid w:val="0"/>
                <w:kern w:val="0"/>
                <w:sz w:val="24"/>
                <w:highlight w:val="none"/>
              </w:rPr>
            </w:pPr>
            <w:r>
              <w:rPr>
                <w:rFonts w:hint="eastAsia"/>
                <w:snapToGrid w:val="0"/>
                <w:kern w:val="0"/>
                <w:sz w:val="24"/>
                <w:highlight w:val="none"/>
              </w:rPr>
              <w:t>（1）常规因子环境质量现状</w:t>
            </w:r>
          </w:p>
          <w:p>
            <w:pPr>
              <w:spacing w:line="360" w:lineRule="auto"/>
              <w:ind w:firstLine="480" w:firstLineChars="200"/>
              <w:rPr>
                <w:snapToGrid w:val="0"/>
                <w:kern w:val="0"/>
                <w:sz w:val="24"/>
                <w:highlight w:val="none"/>
              </w:rPr>
            </w:pPr>
            <w:r>
              <w:rPr>
                <w:rFonts w:hint="eastAsia"/>
                <w:snapToGrid w:val="0"/>
                <w:kern w:val="0"/>
                <w:sz w:val="24"/>
                <w:highlight w:val="none"/>
              </w:rPr>
              <w:t>根据《建设项目环境影响报告表编制技术指南（污染影响类）（试行）》，“环境空气常规污染物引用与建设项目距离近的有效数据，包括近3年的规划环境影响评价的监测数据，国家、地方环境空气质量监测网数据或生态环境主管部门公开发布的质量数据等”。本次评价引用江西省环境监测中心站于江西省生态环境厅网站发布的“2024年江西省各县（市、区）六项污染物浓度年均值”中庐山市数据对本项目所在区域达标性进行判定，统计结果见表3-1。</w:t>
            </w:r>
          </w:p>
          <w:p>
            <w:pPr>
              <w:jc w:val="center"/>
              <w:rPr>
                <w:b/>
                <w:szCs w:val="20"/>
                <w:highlight w:val="none"/>
              </w:rPr>
            </w:pPr>
            <w:r>
              <w:rPr>
                <w:b/>
                <w:szCs w:val="20"/>
                <w:highlight w:val="none"/>
              </w:rPr>
              <w:t>表</w:t>
            </w:r>
            <w:r>
              <w:rPr>
                <w:rFonts w:hint="eastAsia"/>
                <w:b/>
                <w:szCs w:val="20"/>
                <w:highlight w:val="none"/>
              </w:rPr>
              <w:t>3-1</w:t>
            </w:r>
            <w:r>
              <w:rPr>
                <w:b/>
                <w:szCs w:val="20"/>
                <w:highlight w:val="none"/>
              </w:rPr>
              <w:t xml:space="preserve">  20</w:t>
            </w:r>
            <w:r>
              <w:rPr>
                <w:rFonts w:hint="eastAsia"/>
                <w:b/>
                <w:szCs w:val="20"/>
                <w:highlight w:val="none"/>
              </w:rPr>
              <w:t>24</w:t>
            </w:r>
            <w:r>
              <w:rPr>
                <w:b/>
                <w:szCs w:val="20"/>
                <w:highlight w:val="none"/>
              </w:rPr>
              <w:t>年</w:t>
            </w:r>
            <w:r>
              <w:rPr>
                <w:rFonts w:hint="eastAsia"/>
                <w:b/>
                <w:szCs w:val="20"/>
                <w:highlight w:val="none"/>
              </w:rPr>
              <w:t>庐山市</w:t>
            </w:r>
            <w:r>
              <w:rPr>
                <w:b/>
                <w:szCs w:val="20"/>
                <w:highlight w:val="none"/>
              </w:rPr>
              <w:t>空气质量监测结果一览表</w:t>
            </w:r>
          </w:p>
          <w:tbl>
            <w:tblPr>
              <w:tblStyle w:val="3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771"/>
              <w:gridCol w:w="1602"/>
              <w:gridCol w:w="1034"/>
              <w:gridCol w:w="1057"/>
              <w:gridCol w:w="1138"/>
              <w:gridCol w:w="1019"/>
              <w:gridCol w:w="1161"/>
              <w:gridCol w:w="6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75" w:hRule="atLeast"/>
                <w:jc w:val="center"/>
              </w:trPr>
              <w:tc>
                <w:tcPr>
                  <w:tcW w:w="458" w:type="pct"/>
                  <w:vMerge w:val="restart"/>
                  <w:tcBorders>
                    <w:tl2br w:val="nil"/>
                    <w:tr2bl w:val="nil"/>
                  </w:tcBorders>
                  <w:vAlign w:val="center"/>
                </w:tcPr>
                <w:p>
                  <w:pPr>
                    <w:pStyle w:val="58"/>
                    <w:spacing w:before="24" w:after="24"/>
                    <w:jc w:val="center"/>
                    <w:rPr>
                      <w:b/>
                      <w:bCs/>
                      <w:sz w:val="21"/>
                      <w:highlight w:val="none"/>
                    </w:rPr>
                  </w:pPr>
                  <w:r>
                    <w:rPr>
                      <w:b/>
                      <w:bCs/>
                      <w:sz w:val="21"/>
                      <w:highlight w:val="none"/>
                      <w:lang w:bidi="ar"/>
                    </w:rPr>
                    <w:t>污染物</w:t>
                  </w:r>
                </w:p>
              </w:tc>
              <w:tc>
                <w:tcPr>
                  <w:tcW w:w="953" w:type="pct"/>
                  <w:vMerge w:val="restart"/>
                  <w:tcBorders>
                    <w:tl2br w:val="nil"/>
                    <w:tr2bl w:val="nil"/>
                  </w:tcBorders>
                  <w:vAlign w:val="center"/>
                </w:tcPr>
                <w:p>
                  <w:pPr>
                    <w:pStyle w:val="58"/>
                    <w:spacing w:before="24" w:after="24"/>
                    <w:jc w:val="center"/>
                    <w:rPr>
                      <w:b/>
                      <w:bCs/>
                      <w:sz w:val="21"/>
                      <w:highlight w:val="none"/>
                    </w:rPr>
                  </w:pPr>
                  <w:r>
                    <w:rPr>
                      <w:b/>
                      <w:bCs/>
                      <w:sz w:val="21"/>
                      <w:highlight w:val="none"/>
                      <w:lang w:bidi="ar"/>
                    </w:rPr>
                    <w:t>评价指标</w:t>
                  </w:r>
                </w:p>
              </w:tc>
              <w:tc>
                <w:tcPr>
                  <w:tcW w:w="615" w:type="pct"/>
                  <w:vMerge w:val="restart"/>
                  <w:tcBorders>
                    <w:tl2br w:val="nil"/>
                    <w:tr2bl w:val="nil"/>
                  </w:tcBorders>
                  <w:vAlign w:val="center"/>
                </w:tcPr>
                <w:p>
                  <w:pPr>
                    <w:pStyle w:val="58"/>
                    <w:spacing w:before="24" w:after="24"/>
                    <w:jc w:val="center"/>
                    <w:rPr>
                      <w:b/>
                      <w:bCs/>
                      <w:sz w:val="21"/>
                      <w:highlight w:val="none"/>
                    </w:rPr>
                  </w:pPr>
                  <w:r>
                    <w:rPr>
                      <w:b/>
                      <w:bCs/>
                      <w:sz w:val="21"/>
                      <w:highlight w:val="none"/>
                      <w:lang w:bidi="ar"/>
                    </w:rPr>
                    <w:t>现状浓度</w:t>
                  </w:r>
                </w:p>
                <w:p>
                  <w:pPr>
                    <w:pStyle w:val="58"/>
                    <w:spacing w:before="24" w:after="24"/>
                    <w:jc w:val="center"/>
                    <w:rPr>
                      <w:b/>
                      <w:bCs/>
                      <w:sz w:val="21"/>
                      <w:highlight w:val="none"/>
                    </w:rPr>
                  </w:pPr>
                  <w:r>
                    <w:rPr>
                      <w:b/>
                      <w:bCs/>
                      <w:sz w:val="21"/>
                      <w:highlight w:val="none"/>
                      <w:lang w:bidi="ar"/>
                    </w:rPr>
                    <w:t>/</w:t>
                  </w:r>
                  <w:r>
                    <w:rPr>
                      <w:rFonts w:hint="eastAsia"/>
                      <w:b/>
                      <w:bCs/>
                      <w:sz w:val="21"/>
                      <w:highlight w:val="none"/>
                      <w:lang w:bidi="ar"/>
                    </w:rPr>
                    <w:t>(</w:t>
                  </w:r>
                  <w:r>
                    <w:rPr>
                      <w:b/>
                      <w:bCs/>
                      <w:sz w:val="21"/>
                      <w:highlight w:val="none"/>
                      <w:lang w:bidi="ar"/>
                    </w:rPr>
                    <w:t>μg/m</w:t>
                  </w:r>
                  <w:r>
                    <w:rPr>
                      <w:b/>
                      <w:bCs/>
                      <w:sz w:val="21"/>
                      <w:highlight w:val="none"/>
                      <w:vertAlign w:val="superscript"/>
                      <w:lang w:bidi="ar"/>
                    </w:rPr>
                    <w:t>3</w:t>
                  </w:r>
                  <w:r>
                    <w:rPr>
                      <w:rFonts w:hint="eastAsia"/>
                      <w:b/>
                      <w:bCs/>
                      <w:sz w:val="21"/>
                      <w:highlight w:val="none"/>
                      <w:vertAlign w:val="superscript"/>
                      <w:lang w:bidi="ar"/>
                    </w:rPr>
                    <w:t>)</w:t>
                  </w:r>
                </w:p>
              </w:tc>
              <w:tc>
                <w:tcPr>
                  <w:tcW w:w="1306" w:type="pct"/>
                  <w:gridSpan w:val="2"/>
                  <w:tcBorders>
                    <w:tl2br w:val="nil"/>
                    <w:tr2bl w:val="nil"/>
                  </w:tcBorders>
                  <w:vAlign w:val="center"/>
                </w:tcPr>
                <w:p>
                  <w:pPr>
                    <w:pStyle w:val="58"/>
                    <w:spacing w:before="24" w:after="24"/>
                    <w:jc w:val="center"/>
                    <w:rPr>
                      <w:rFonts w:hint="eastAsia"/>
                      <w:b/>
                      <w:bCs/>
                      <w:sz w:val="21"/>
                      <w:highlight w:val="none"/>
                      <w:lang w:bidi="ar"/>
                    </w:rPr>
                  </w:pPr>
                  <w:r>
                    <w:rPr>
                      <w:rFonts w:hint="eastAsia"/>
                      <w:b/>
                      <w:bCs/>
                      <w:sz w:val="21"/>
                      <w:highlight w:val="none"/>
                      <w:lang w:bidi="ar"/>
                    </w:rPr>
                    <w:t>浓度限</w:t>
                  </w:r>
                  <w:r>
                    <w:rPr>
                      <w:b/>
                      <w:bCs/>
                      <w:sz w:val="21"/>
                      <w:highlight w:val="none"/>
                      <w:lang w:bidi="ar"/>
                    </w:rPr>
                    <w:t>值/</w:t>
                  </w:r>
                  <w:r>
                    <w:rPr>
                      <w:rFonts w:hint="eastAsia"/>
                      <w:b/>
                      <w:bCs/>
                      <w:sz w:val="21"/>
                      <w:highlight w:val="none"/>
                      <w:lang w:bidi="ar"/>
                    </w:rPr>
                    <w:t>(</w:t>
                  </w:r>
                  <w:r>
                    <w:rPr>
                      <w:b/>
                      <w:bCs/>
                      <w:sz w:val="21"/>
                      <w:highlight w:val="none"/>
                      <w:lang w:bidi="ar"/>
                    </w:rPr>
                    <w:t>μg/m</w:t>
                  </w:r>
                  <w:r>
                    <w:rPr>
                      <w:b/>
                      <w:bCs/>
                      <w:sz w:val="21"/>
                      <w:highlight w:val="none"/>
                      <w:vertAlign w:val="superscript"/>
                      <w:lang w:bidi="ar"/>
                    </w:rPr>
                    <w:t>3</w:t>
                  </w:r>
                  <w:r>
                    <w:rPr>
                      <w:rFonts w:hint="eastAsia"/>
                      <w:b/>
                      <w:bCs/>
                      <w:sz w:val="21"/>
                      <w:highlight w:val="none"/>
                      <w:vertAlign w:val="superscript"/>
                      <w:lang w:bidi="ar"/>
                    </w:rPr>
                    <w:t>)</w:t>
                  </w:r>
                </w:p>
              </w:tc>
              <w:tc>
                <w:tcPr>
                  <w:tcW w:w="1297" w:type="pct"/>
                  <w:gridSpan w:val="2"/>
                  <w:tcBorders>
                    <w:tl2br w:val="nil"/>
                    <w:tr2bl w:val="nil"/>
                  </w:tcBorders>
                  <w:vAlign w:val="center"/>
                </w:tcPr>
                <w:p>
                  <w:pPr>
                    <w:pStyle w:val="58"/>
                    <w:spacing w:before="24" w:after="24"/>
                    <w:jc w:val="center"/>
                    <w:rPr>
                      <w:b/>
                      <w:bCs/>
                      <w:sz w:val="21"/>
                      <w:highlight w:val="none"/>
                      <w:lang w:bidi="ar"/>
                    </w:rPr>
                  </w:pPr>
                  <w:r>
                    <w:rPr>
                      <w:b/>
                      <w:bCs/>
                      <w:sz w:val="21"/>
                      <w:highlight w:val="none"/>
                      <w:lang w:bidi="ar"/>
                    </w:rPr>
                    <w:t>占标率/%</w:t>
                  </w:r>
                </w:p>
              </w:tc>
              <w:tc>
                <w:tcPr>
                  <w:tcW w:w="369" w:type="pct"/>
                  <w:vMerge w:val="restart"/>
                  <w:tcBorders>
                    <w:tl2br w:val="nil"/>
                    <w:tr2bl w:val="nil"/>
                  </w:tcBorders>
                  <w:vAlign w:val="center"/>
                </w:tcPr>
                <w:p>
                  <w:pPr>
                    <w:pStyle w:val="58"/>
                    <w:spacing w:before="24" w:after="24"/>
                    <w:rPr>
                      <w:b/>
                      <w:bCs/>
                      <w:sz w:val="21"/>
                      <w:highlight w:val="none"/>
                    </w:rPr>
                  </w:pPr>
                  <w:r>
                    <w:rPr>
                      <w:b/>
                      <w:bCs/>
                      <w:sz w:val="21"/>
                      <w:highlight w:val="none"/>
                      <w:lang w:bidi="ar"/>
                    </w:rPr>
                    <w:t>达标</w:t>
                  </w:r>
                </w:p>
                <w:p>
                  <w:pPr>
                    <w:pStyle w:val="58"/>
                    <w:spacing w:before="24" w:after="24"/>
                    <w:rPr>
                      <w:b/>
                      <w:bCs/>
                      <w:sz w:val="21"/>
                      <w:highlight w:val="none"/>
                    </w:rPr>
                  </w:pPr>
                  <w:r>
                    <w:rPr>
                      <w:b/>
                      <w:bCs/>
                      <w:sz w:val="21"/>
                      <w:highlight w:val="none"/>
                      <w:lang w:bidi="ar"/>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34" w:hRule="atLeast"/>
                <w:jc w:val="center"/>
              </w:trPr>
              <w:tc>
                <w:tcPr>
                  <w:tcW w:w="458" w:type="pct"/>
                  <w:vMerge w:val="continue"/>
                  <w:tcBorders>
                    <w:tl2br w:val="nil"/>
                    <w:tr2bl w:val="nil"/>
                  </w:tcBorders>
                  <w:vAlign w:val="center"/>
                </w:tcPr>
                <w:p>
                  <w:pPr>
                    <w:pStyle w:val="58"/>
                    <w:spacing w:before="24" w:after="24"/>
                    <w:rPr>
                      <w:b/>
                      <w:bCs/>
                      <w:sz w:val="21"/>
                      <w:highlight w:val="none"/>
                      <w:lang w:bidi="ar"/>
                    </w:rPr>
                  </w:pPr>
                </w:p>
              </w:tc>
              <w:tc>
                <w:tcPr>
                  <w:tcW w:w="953" w:type="pct"/>
                  <w:vMerge w:val="continue"/>
                  <w:tcBorders>
                    <w:tl2br w:val="nil"/>
                    <w:tr2bl w:val="nil"/>
                  </w:tcBorders>
                  <w:vAlign w:val="center"/>
                </w:tcPr>
                <w:p>
                  <w:pPr>
                    <w:pStyle w:val="58"/>
                    <w:spacing w:before="24" w:after="24"/>
                    <w:rPr>
                      <w:b/>
                      <w:bCs/>
                      <w:sz w:val="21"/>
                      <w:highlight w:val="none"/>
                      <w:lang w:bidi="ar"/>
                    </w:rPr>
                  </w:pPr>
                </w:p>
              </w:tc>
              <w:tc>
                <w:tcPr>
                  <w:tcW w:w="615" w:type="pct"/>
                  <w:vMerge w:val="continue"/>
                  <w:tcBorders>
                    <w:tl2br w:val="nil"/>
                    <w:tr2bl w:val="nil"/>
                  </w:tcBorders>
                  <w:vAlign w:val="center"/>
                </w:tcPr>
                <w:p>
                  <w:pPr>
                    <w:pStyle w:val="58"/>
                    <w:spacing w:before="24" w:after="24"/>
                    <w:jc w:val="center"/>
                    <w:rPr>
                      <w:b/>
                      <w:bCs/>
                      <w:sz w:val="21"/>
                      <w:highlight w:val="none"/>
                      <w:lang w:bidi="ar"/>
                    </w:rPr>
                  </w:pPr>
                </w:p>
              </w:tc>
              <w:tc>
                <w:tcPr>
                  <w:tcW w:w="628" w:type="pct"/>
                  <w:vMerge w:val="restart"/>
                  <w:tcBorders>
                    <w:tl2br w:val="nil"/>
                    <w:tr2bl w:val="nil"/>
                  </w:tcBorders>
                  <w:vAlign w:val="center"/>
                </w:tcPr>
                <w:p>
                  <w:pPr>
                    <w:pStyle w:val="58"/>
                    <w:spacing w:before="24" w:after="24"/>
                    <w:jc w:val="center"/>
                    <w:rPr>
                      <w:b/>
                      <w:bCs/>
                      <w:sz w:val="18"/>
                      <w:szCs w:val="18"/>
                      <w:highlight w:val="none"/>
                      <w:lang w:bidi="ar"/>
                    </w:rPr>
                  </w:pPr>
                  <w:r>
                    <w:rPr>
                      <w:b/>
                      <w:bCs/>
                      <w:sz w:val="18"/>
                      <w:szCs w:val="18"/>
                      <w:highlight w:val="none"/>
                    </w:rPr>
                    <w:t>GB3095-2012</w:t>
                  </w:r>
                  <w:r>
                    <w:rPr>
                      <w:b/>
                      <w:bCs/>
                      <w:sz w:val="18"/>
                      <w:szCs w:val="18"/>
                      <w:highlight w:val="none"/>
                      <w:lang w:bidi="ar"/>
                    </w:rPr>
                    <w:t>二级标准</w:t>
                  </w:r>
                </w:p>
              </w:tc>
              <w:tc>
                <w:tcPr>
                  <w:tcW w:w="677" w:type="pct"/>
                  <w:tcBorders>
                    <w:tl2br w:val="nil"/>
                    <w:tr2bl w:val="nil"/>
                  </w:tcBorders>
                  <w:vAlign w:val="center"/>
                </w:tcPr>
                <w:p>
                  <w:pPr>
                    <w:pStyle w:val="58"/>
                    <w:spacing w:before="24" w:after="24"/>
                    <w:jc w:val="center"/>
                    <w:rPr>
                      <w:b/>
                      <w:bCs/>
                      <w:sz w:val="18"/>
                      <w:szCs w:val="18"/>
                      <w:highlight w:val="none"/>
                      <w:lang w:bidi="ar"/>
                    </w:rPr>
                  </w:pPr>
                  <w:r>
                    <w:rPr>
                      <w:b/>
                      <w:bCs/>
                      <w:sz w:val="18"/>
                      <w:szCs w:val="18"/>
                      <w:highlight w:val="none"/>
                    </w:rPr>
                    <w:t>GB3095-2026</w:t>
                  </w:r>
                </w:p>
              </w:tc>
              <w:tc>
                <w:tcPr>
                  <w:tcW w:w="606" w:type="pct"/>
                  <w:vMerge w:val="restart"/>
                  <w:tcBorders>
                    <w:tl2br w:val="nil"/>
                    <w:tr2bl w:val="nil"/>
                  </w:tcBorders>
                  <w:vAlign w:val="center"/>
                </w:tcPr>
                <w:p>
                  <w:pPr>
                    <w:pStyle w:val="58"/>
                    <w:spacing w:before="24" w:after="24"/>
                    <w:jc w:val="center"/>
                    <w:rPr>
                      <w:b/>
                      <w:bCs/>
                      <w:sz w:val="18"/>
                      <w:szCs w:val="18"/>
                      <w:highlight w:val="none"/>
                      <w:lang w:bidi="ar"/>
                    </w:rPr>
                  </w:pPr>
                  <w:r>
                    <w:rPr>
                      <w:b/>
                      <w:bCs/>
                      <w:sz w:val="18"/>
                      <w:szCs w:val="18"/>
                      <w:highlight w:val="none"/>
                    </w:rPr>
                    <w:t>GB3095-2012</w:t>
                  </w:r>
                  <w:r>
                    <w:rPr>
                      <w:b/>
                      <w:bCs/>
                      <w:sz w:val="18"/>
                      <w:szCs w:val="18"/>
                      <w:highlight w:val="none"/>
                      <w:lang w:bidi="ar"/>
                    </w:rPr>
                    <w:t>二级标准</w:t>
                  </w:r>
                </w:p>
              </w:tc>
              <w:tc>
                <w:tcPr>
                  <w:tcW w:w="690" w:type="pct"/>
                  <w:tcBorders>
                    <w:tl2br w:val="nil"/>
                    <w:tr2bl w:val="nil"/>
                  </w:tcBorders>
                  <w:vAlign w:val="center"/>
                </w:tcPr>
                <w:p>
                  <w:pPr>
                    <w:pStyle w:val="58"/>
                    <w:spacing w:before="24" w:after="24"/>
                    <w:jc w:val="center"/>
                    <w:rPr>
                      <w:b/>
                      <w:bCs/>
                      <w:sz w:val="18"/>
                      <w:szCs w:val="18"/>
                      <w:highlight w:val="none"/>
                      <w:lang w:bidi="ar"/>
                    </w:rPr>
                  </w:pPr>
                  <w:r>
                    <w:rPr>
                      <w:b/>
                      <w:bCs/>
                      <w:sz w:val="18"/>
                      <w:szCs w:val="18"/>
                      <w:highlight w:val="none"/>
                    </w:rPr>
                    <w:t>GB3095-2026</w:t>
                  </w:r>
                </w:p>
              </w:tc>
              <w:tc>
                <w:tcPr>
                  <w:tcW w:w="369" w:type="pct"/>
                  <w:vMerge w:val="continue"/>
                  <w:tcBorders>
                    <w:tl2br w:val="nil"/>
                    <w:tr2bl w:val="nil"/>
                  </w:tcBorders>
                  <w:vAlign w:val="center"/>
                </w:tcPr>
                <w:p>
                  <w:pPr>
                    <w:pStyle w:val="58"/>
                    <w:spacing w:before="24" w:after="24"/>
                    <w:rPr>
                      <w:b/>
                      <w:bCs/>
                      <w:sz w:val="21"/>
                      <w:highlight w:val="none"/>
                      <w:lang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34" w:hRule="atLeast"/>
                <w:jc w:val="center"/>
              </w:trPr>
              <w:tc>
                <w:tcPr>
                  <w:tcW w:w="458" w:type="pct"/>
                  <w:vMerge w:val="continue"/>
                  <w:tcBorders>
                    <w:tl2br w:val="nil"/>
                    <w:tr2bl w:val="nil"/>
                  </w:tcBorders>
                  <w:vAlign w:val="center"/>
                </w:tcPr>
                <w:p>
                  <w:pPr>
                    <w:pStyle w:val="58"/>
                    <w:spacing w:before="24" w:after="24"/>
                    <w:rPr>
                      <w:b/>
                      <w:bCs/>
                      <w:sz w:val="21"/>
                      <w:highlight w:val="none"/>
                      <w:lang w:bidi="ar"/>
                    </w:rPr>
                  </w:pPr>
                </w:p>
              </w:tc>
              <w:tc>
                <w:tcPr>
                  <w:tcW w:w="953" w:type="pct"/>
                  <w:vMerge w:val="continue"/>
                  <w:tcBorders>
                    <w:tl2br w:val="nil"/>
                    <w:tr2bl w:val="nil"/>
                  </w:tcBorders>
                  <w:vAlign w:val="center"/>
                </w:tcPr>
                <w:p>
                  <w:pPr>
                    <w:pStyle w:val="58"/>
                    <w:spacing w:before="24" w:after="24"/>
                    <w:rPr>
                      <w:b/>
                      <w:bCs/>
                      <w:sz w:val="21"/>
                      <w:highlight w:val="none"/>
                      <w:lang w:bidi="ar"/>
                    </w:rPr>
                  </w:pPr>
                </w:p>
              </w:tc>
              <w:tc>
                <w:tcPr>
                  <w:tcW w:w="615" w:type="pct"/>
                  <w:vMerge w:val="continue"/>
                  <w:tcBorders>
                    <w:tl2br w:val="nil"/>
                    <w:tr2bl w:val="nil"/>
                  </w:tcBorders>
                  <w:vAlign w:val="center"/>
                </w:tcPr>
                <w:p>
                  <w:pPr>
                    <w:pStyle w:val="58"/>
                    <w:spacing w:before="24" w:after="24"/>
                    <w:jc w:val="center"/>
                    <w:rPr>
                      <w:b/>
                      <w:bCs/>
                      <w:sz w:val="21"/>
                      <w:highlight w:val="none"/>
                      <w:lang w:bidi="ar"/>
                    </w:rPr>
                  </w:pPr>
                </w:p>
              </w:tc>
              <w:tc>
                <w:tcPr>
                  <w:tcW w:w="628" w:type="pct"/>
                  <w:vMerge w:val="continue"/>
                  <w:tcBorders>
                    <w:tl2br w:val="nil"/>
                    <w:tr2bl w:val="nil"/>
                  </w:tcBorders>
                  <w:vAlign w:val="center"/>
                </w:tcPr>
                <w:p>
                  <w:pPr>
                    <w:pStyle w:val="58"/>
                    <w:spacing w:before="24" w:after="24"/>
                    <w:jc w:val="center"/>
                    <w:rPr>
                      <w:b/>
                      <w:bCs/>
                      <w:sz w:val="18"/>
                      <w:szCs w:val="18"/>
                      <w:highlight w:val="none"/>
                    </w:rPr>
                  </w:pPr>
                </w:p>
              </w:tc>
              <w:tc>
                <w:tcPr>
                  <w:tcW w:w="677" w:type="pct"/>
                  <w:tcBorders>
                    <w:tl2br w:val="nil"/>
                    <w:tr2bl w:val="nil"/>
                  </w:tcBorders>
                  <w:vAlign w:val="center"/>
                </w:tcPr>
                <w:p>
                  <w:pPr>
                    <w:pStyle w:val="58"/>
                    <w:spacing w:before="24" w:after="24"/>
                    <w:jc w:val="center"/>
                    <w:rPr>
                      <w:b/>
                      <w:bCs/>
                      <w:sz w:val="18"/>
                      <w:szCs w:val="18"/>
                      <w:highlight w:val="none"/>
                    </w:rPr>
                  </w:pPr>
                  <w:r>
                    <w:rPr>
                      <w:rFonts w:hint="eastAsia"/>
                      <w:b/>
                      <w:bCs/>
                      <w:sz w:val="18"/>
                      <w:szCs w:val="18"/>
                      <w:highlight w:val="none"/>
                      <w:lang w:bidi="ar"/>
                    </w:rPr>
                    <w:t>过渡阶段二级标准</w:t>
                  </w:r>
                </w:p>
              </w:tc>
              <w:tc>
                <w:tcPr>
                  <w:tcW w:w="606" w:type="pct"/>
                  <w:vMerge w:val="continue"/>
                  <w:tcBorders>
                    <w:tl2br w:val="nil"/>
                    <w:tr2bl w:val="nil"/>
                  </w:tcBorders>
                  <w:vAlign w:val="center"/>
                </w:tcPr>
                <w:p>
                  <w:pPr>
                    <w:pStyle w:val="58"/>
                    <w:spacing w:before="24" w:after="24"/>
                    <w:jc w:val="center"/>
                    <w:rPr>
                      <w:b/>
                      <w:bCs/>
                      <w:sz w:val="18"/>
                      <w:szCs w:val="18"/>
                      <w:highlight w:val="none"/>
                      <w:lang w:bidi="ar"/>
                    </w:rPr>
                  </w:pPr>
                </w:p>
              </w:tc>
              <w:tc>
                <w:tcPr>
                  <w:tcW w:w="690" w:type="pct"/>
                  <w:tcBorders>
                    <w:tl2br w:val="nil"/>
                    <w:tr2bl w:val="nil"/>
                  </w:tcBorders>
                  <w:vAlign w:val="center"/>
                </w:tcPr>
                <w:p>
                  <w:pPr>
                    <w:pStyle w:val="58"/>
                    <w:spacing w:before="24" w:after="24"/>
                    <w:jc w:val="center"/>
                    <w:rPr>
                      <w:b/>
                      <w:bCs/>
                      <w:sz w:val="18"/>
                      <w:szCs w:val="18"/>
                      <w:highlight w:val="none"/>
                      <w:lang w:bidi="ar"/>
                    </w:rPr>
                  </w:pPr>
                  <w:r>
                    <w:rPr>
                      <w:rFonts w:hint="eastAsia"/>
                      <w:b/>
                      <w:bCs/>
                      <w:sz w:val="18"/>
                      <w:szCs w:val="18"/>
                      <w:highlight w:val="none"/>
                      <w:lang w:bidi="ar"/>
                    </w:rPr>
                    <w:t>过渡阶段二级标准</w:t>
                  </w:r>
                </w:p>
              </w:tc>
              <w:tc>
                <w:tcPr>
                  <w:tcW w:w="369" w:type="pct"/>
                  <w:vMerge w:val="continue"/>
                  <w:tcBorders>
                    <w:tl2br w:val="nil"/>
                    <w:tr2bl w:val="nil"/>
                  </w:tcBorders>
                  <w:vAlign w:val="center"/>
                </w:tcPr>
                <w:p>
                  <w:pPr>
                    <w:pStyle w:val="58"/>
                    <w:spacing w:before="24" w:after="24"/>
                    <w:rPr>
                      <w:b/>
                      <w:bCs/>
                      <w:sz w:val="21"/>
                      <w:highlight w:val="none"/>
                      <w:lang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135" w:hRule="atLeast"/>
                <w:jc w:val="center"/>
              </w:trPr>
              <w:tc>
                <w:tcPr>
                  <w:tcW w:w="458" w:type="pct"/>
                  <w:tcBorders>
                    <w:tl2br w:val="nil"/>
                    <w:tr2bl w:val="nil"/>
                  </w:tcBorders>
                  <w:vAlign w:val="center"/>
                </w:tcPr>
                <w:p>
                  <w:pPr>
                    <w:pStyle w:val="58"/>
                    <w:spacing w:before="24" w:after="24"/>
                    <w:jc w:val="center"/>
                    <w:rPr>
                      <w:sz w:val="21"/>
                      <w:highlight w:val="none"/>
                    </w:rPr>
                  </w:pPr>
                  <w:r>
                    <w:rPr>
                      <w:sz w:val="21"/>
                      <w:highlight w:val="none"/>
                      <w:lang w:bidi="ar"/>
                    </w:rPr>
                    <w:t>SO</w:t>
                  </w:r>
                  <w:r>
                    <w:rPr>
                      <w:sz w:val="21"/>
                      <w:highlight w:val="none"/>
                      <w:vertAlign w:val="subscript"/>
                      <w:lang w:bidi="ar"/>
                    </w:rPr>
                    <w:t>2</w:t>
                  </w:r>
                </w:p>
              </w:tc>
              <w:tc>
                <w:tcPr>
                  <w:tcW w:w="953" w:type="pct"/>
                  <w:tcBorders>
                    <w:tl2br w:val="nil"/>
                    <w:tr2bl w:val="nil"/>
                  </w:tcBorders>
                  <w:vAlign w:val="center"/>
                </w:tcPr>
                <w:p>
                  <w:pPr>
                    <w:pStyle w:val="58"/>
                    <w:spacing w:before="24" w:after="24"/>
                    <w:jc w:val="center"/>
                    <w:rPr>
                      <w:sz w:val="21"/>
                      <w:highlight w:val="none"/>
                    </w:rPr>
                  </w:pPr>
                  <w:r>
                    <w:rPr>
                      <w:sz w:val="21"/>
                      <w:highlight w:val="none"/>
                      <w:lang w:bidi="ar"/>
                    </w:rPr>
                    <w:t>年平均质量浓度</w:t>
                  </w:r>
                </w:p>
              </w:tc>
              <w:tc>
                <w:tcPr>
                  <w:tcW w:w="615"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6</w:t>
                  </w:r>
                </w:p>
              </w:tc>
              <w:tc>
                <w:tcPr>
                  <w:tcW w:w="628"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60</w:t>
                  </w:r>
                </w:p>
              </w:tc>
              <w:tc>
                <w:tcPr>
                  <w:tcW w:w="677"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60</w:t>
                  </w:r>
                </w:p>
              </w:tc>
              <w:tc>
                <w:tcPr>
                  <w:tcW w:w="606"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10.0</w:t>
                  </w:r>
                </w:p>
              </w:tc>
              <w:tc>
                <w:tcPr>
                  <w:tcW w:w="690"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10.0</w:t>
                  </w:r>
                </w:p>
              </w:tc>
              <w:tc>
                <w:tcPr>
                  <w:tcW w:w="369" w:type="pct"/>
                  <w:tcBorders>
                    <w:tl2br w:val="nil"/>
                    <w:tr2bl w:val="nil"/>
                  </w:tcBorders>
                  <w:vAlign w:val="center"/>
                </w:tcPr>
                <w:p>
                  <w:pPr>
                    <w:pStyle w:val="58"/>
                    <w:spacing w:before="24" w:after="24"/>
                    <w:jc w:val="center"/>
                    <w:rPr>
                      <w:sz w:val="21"/>
                      <w:highlight w:val="none"/>
                    </w:rPr>
                  </w:pPr>
                  <w:r>
                    <w:rPr>
                      <w:sz w:val="21"/>
                      <w:highlight w:val="none"/>
                      <w:lang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458" w:type="pct"/>
                  <w:tcBorders>
                    <w:tl2br w:val="nil"/>
                    <w:tr2bl w:val="nil"/>
                  </w:tcBorders>
                  <w:vAlign w:val="center"/>
                </w:tcPr>
                <w:p>
                  <w:pPr>
                    <w:pStyle w:val="58"/>
                    <w:spacing w:before="24" w:after="24"/>
                    <w:jc w:val="center"/>
                    <w:rPr>
                      <w:sz w:val="21"/>
                      <w:highlight w:val="none"/>
                    </w:rPr>
                  </w:pPr>
                  <w:r>
                    <w:rPr>
                      <w:sz w:val="21"/>
                      <w:highlight w:val="none"/>
                      <w:lang w:bidi="ar"/>
                    </w:rPr>
                    <w:t>NO</w:t>
                  </w:r>
                  <w:r>
                    <w:rPr>
                      <w:sz w:val="21"/>
                      <w:highlight w:val="none"/>
                      <w:vertAlign w:val="subscript"/>
                      <w:lang w:bidi="ar"/>
                    </w:rPr>
                    <w:t>2</w:t>
                  </w:r>
                </w:p>
              </w:tc>
              <w:tc>
                <w:tcPr>
                  <w:tcW w:w="953" w:type="pct"/>
                  <w:tcBorders>
                    <w:tl2br w:val="nil"/>
                    <w:tr2bl w:val="nil"/>
                  </w:tcBorders>
                  <w:vAlign w:val="center"/>
                </w:tcPr>
                <w:p>
                  <w:pPr>
                    <w:pStyle w:val="58"/>
                    <w:spacing w:before="24" w:after="24"/>
                    <w:jc w:val="center"/>
                    <w:rPr>
                      <w:sz w:val="21"/>
                      <w:highlight w:val="none"/>
                    </w:rPr>
                  </w:pPr>
                  <w:r>
                    <w:rPr>
                      <w:sz w:val="21"/>
                      <w:highlight w:val="none"/>
                      <w:lang w:bidi="ar"/>
                    </w:rPr>
                    <w:t>年平均质量浓度</w:t>
                  </w:r>
                </w:p>
              </w:tc>
              <w:tc>
                <w:tcPr>
                  <w:tcW w:w="615"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15</w:t>
                  </w:r>
                </w:p>
              </w:tc>
              <w:tc>
                <w:tcPr>
                  <w:tcW w:w="628"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40</w:t>
                  </w:r>
                </w:p>
              </w:tc>
              <w:tc>
                <w:tcPr>
                  <w:tcW w:w="677"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40</w:t>
                  </w:r>
                </w:p>
              </w:tc>
              <w:tc>
                <w:tcPr>
                  <w:tcW w:w="606"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37.5</w:t>
                  </w:r>
                </w:p>
              </w:tc>
              <w:tc>
                <w:tcPr>
                  <w:tcW w:w="690"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37.5</w:t>
                  </w:r>
                </w:p>
              </w:tc>
              <w:tc>
                <w:tcPr>
                  <w:tcW w:w="369" w:type="pct"/>
                  <w:tcBorders>
                    <w:tl2br w:val="nil"/>
                    <w:tr2bl w:val="nil"/>
                  </w:tcBorders>
                  <w:vAlign w:val="center"/>
                </w:tcPr>
                <w:p>
                  <w:pPr>
                    <w:pStyle w:val="58"/>
                    <w:spacing w:before="24" w:after="24"/>
                    <w:jc w:val="center"/>
                    <w:rPr>
                      <w:sz w:val="21"/>
                      <w:highlight w:val="none"/>
                    </w:rPr>
                  </w:pPr>
                  <w:r>
                    <w:rPr>
                      <w:sz w:val="21"/>
                      <w:highlight w:val="none"/>
                      <w:lang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458" w:type="pct"/>
                  <w:tcBorders>
                    <w:tl2br w:val="nil"/>
                    <w:tr2bl w:val="nil"/>
                  </w:tcBorders>
                  <w:vAlign w:val="center"/>
                </w:tcPr>
                <w:p>
                  <w:pPr>
                    <w:pStyle w:val="58"/>
                    <w:spacing w:before="24" w:after="24"/>
                    <w:jc w:val="center"/>
                    <w:rPr>
                      <w:sz w:val="21"/>
                      <w:highlight w:val="none"/>
                    </w:rPr>
                  </w:pPr>
                  <w:r>
                    <w:rPr>
                      <w:sz w:val="21"/>
                      <w:highlight w:val="none"/>
                      <w:lang w:bidi="ar"/>
                    </w:rPr>
                    <w:t>PM</w:t>
                  </w:r>
                  <w:r>
                    <w:rPr>
                      <w:sz w:val="21"/>
                      <w:highlight w:val="none"/>
                      <w:vertAlign w:val="subscript"/>
                      <w:lang w:bidi="ar"/>
                    </w:rPr>
                    <w:t>2.5</w:t>
                  </w:r>
                </w:p>
              </w:tc>
              <w:tc>
                <w:tcPr>
                  <w:tcW w:w="953" w:type="pct"/>
                  <w:tcBorders>
                    <w:tl2br w:val="nil"/>
                    <w:tr2bl w:val="nil"/>
                  </w:tcBorders>
                  <w:vAlign w:val="center"/>
                </w:tcPr>
                <w:p>
                  <w:pPr>
                    <w:pStyle w:val="58"/>
                    <w:spacing w:before="24" w:after="24"/>
                    <w:jc w:val="center"/>
                    <w:rPr>
                      <w:sz w:val="21"/>
                      <w:highlight w:val="none"/>
                    </w:rPr>
                  </w:pPr>
                  <w:r>
                    <w:rPr>
                      <w:sz w:val="21"/>
                      <w:highlight w:val="none"/>
                      <w:lang w:bidi="ar"/>
                    </w:rPr>
                    <w:t>年平均质量浓度</w:t>
                  </w:r>
                </w:p>
              </w:tc>
              <w:tc>
                <w:tcPr>
                  <w:tcW w:w="615"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22.1</w:t>
                  </w:r>
                </w:p>
              </w:tc>
              <w:tc>
                <w:tcPr>
                  <w:tcW w:w="628"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35</w:t>
                  </w:r>
                </w:p>
              </w:tc>
              <w:tc>
                <w:tcPr>
                  <w:tcW w:w="677"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30</w:t>
                  </w:r>
                </w:p>
              </w:tc>
              <w:tc>
                <w:tcPr>
                  <w:tcW w:w="606"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63.1</w:t>
                  </w:r>
                </w:p>
              </w:tc>
              <w:tc>
                <w:tcPr>
                  <w:tcW w:w="690"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73.7</w:t>
                  </w:r>
                </w:p>
              </w:tc>
              <w:tc>
                <w:tcPr>
                  <w:tcW w:w="369" w:type="pct"/>
                  <w:tcBorders>
                    <w:tl2br w:val="nil"/>
                    <w:tr2bl w:val="nil"/>
                  </w:tcBorders>
                  <w:vAlign w:val="center"/>
                </w:tcPr>
                <w:p>
                  <w:pPr>
                    <w:pStyle w:val="58"/>
                    <w:spacing w:before="24" w:after="24"/>
                    <w:jc w:val="center"/>
                    <w:rPr>
                      <w:sz w:val="21"/>
                      <w:highlight w:val="none"/>
                    </w:rPr>
                  </w:pPr>
                  <w:r>
                    <w:rPr>
                      <w:sz w:val="21"/>
                      <w:highlight w:val="none"/>
                      <w:lang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458" w:type="pct"/>
                  <w:tcBorders>
                    <w:tl2br w:val="nil"/>
                    <w:tr2bl w:val="nil"/>
                  </w:tcBorders>
                  <w:vAlign w:val="center"/>
                </w:tcPr>
                <w:p>
                  <w:pPr>
                    <w:pStyle w:val="58"/>
                    <w:spacing w:before="24" w:after="24"/>
                    <w:jc w:val="center"/>
                    <w:rPr>
                      <w:sz w:val="21"/>
                      <w:highlight w:val="none"/>
                    </w:rPr>
                  </w:pPr>
                  <w:r>
                    <w:rPr>
                      <w:sz w:val="21"/>
                      <w:highlight w:val="none"/>
                      <w:lang w:bidi="ar"/>
                    </w:rPr>
                    <w:t>PM</w:t>
                  </w:r>
                  <w:r>
                    <w:rPr>
                      <w:sz w:val="21"/>
                      <w:highlight w:val="none"/>
                      <w:vertAlign w:val="subscript"/>
                      <w:lang w:bidi="ar"/>
                    </w:rPr>
                    <w:t>10</w:t>
                  </w:r>
                </w:p>
              </w:tc>
              <w:tc>
                <w:tcPr>
                  <w:tcW w:w="953" w:type="pct"/>
                  <w:tcBorders>
                    <w:tl2br w:val="nil"/>
                    <w:tr2bl w:val="nil"/>
                  </w:tcBorders>
                  <w:vAlign w:val="center"/>
                </w:tcPr>
                <w:p>
                  <w:pPr>
                    <w:pStyle w:val="58"/>
                    <w:spacing w:before="24" w:after="24"/>
                    <w:jc w:val="center"/>
                    <w:rPr>
                      <w:sz w:val="21"/>
                      <w:highlight w:val="none"/>
                    </w:rPr>
                  </w:pPr>
                  <w:r>
                    <w:rPr>
                      <w:sz w:val="21"/>
                      <w:highlight w:val="none"/>
                      <w:lang w:bidi="ar"/>
                    </w:rPr>
                    <w:t>年平均质量浓度</w:t>
                  </w:r>
                </w:p>
              </w:tc>
              <w:tc>
                <w:tcPr>
                  <w:tcW w:w="615"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41</w:t>
                  </w:r>
                </w:p>
              </w:tc>
              <w:tc>
                <w:tcPr>
                  <w:tcW w:w="628"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70</w:t>
                  </w:r>
                </w:p>
              </w:tc>
              <w:tc>
                <w:tcPr>
                  <w:tcW w:w="677"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60</w:t>
                  </w:r>
                </w:p>
              </w:tc>
              <w:tc>
                <w:tcPr>
                  <w:tcW w:w="606"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58.6</w:t>
                  </w:r>
                </w:p>
              </w:tc>
              <w:tc>
                <w:tcPr>
                  <w:tcW w:w="690"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68.3</w:t>
                  </w:r>
                </w:p>
              </w:tc>
              <w:tc>
                <w:tcPr>
                  <w:tcW w:w="369" w:type="pct"/>
                  <w:tcBorders>
                    <w:tl2br w:val="nil"/>
                    <w:tr2bl w:val="nil"/>
                  </w:tcBorders>
                  <w:vAlign w:val="center"/>
                </w:tcPr>
                <w:p>
                  <w:pPr>
                    <w:pStyle w:val="58"/>
                    <w:spacing w:before="24" w:after="24"/>
                    <w:jc w:val="center"/>
                    <w:rPr>
                      <w:sz w:val="21"/>
                      <w:highlight w:val="none"/>
                    </w:rPr>
                  </w:pPr>
                  <w:r>
                    <w:rPr>
                      <w:sz w:val="21"/>
                      <w:highlight w:val="none"/>
                      <w:lang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458" w:type="pct"/>
                  <w:tcBorders>
                    <w:tl2br w:val="nil"/>
                    <w:tr2bl w:val="nil"/>
                  </w:tcBorders>
                  <w:vAlign w:val="center"/>
                </w:tcPr>
                <w:p>
                  <w:pPr>
                    <w:pStyle w:val="58"/>
                    <w:spacing w:before="24" w:after="24"/>
                    <w:jc w:val="center"/>
                    <w:rPr>
                      <w:sz w:val="21"/>
                      <w:highlight w:val="none"/>
                    </w:rPr>
                  </w:pPr>
                  <w:r>
                    <w:rPr>
                      <w:sz w:val="21"/>
                      <w:highlight w:val="none"/>
                      <w:lang w:bidi="ar"/>
                    </w:rPr>
                    <w:t>CO</w:t>
                  </w:r>
                </w:p>
              </w:tc>
              <w:tc>
                <w:tcPr>
                  <w:tcW w:w="953" w:type="pct"/>
                  <w:tcBorders>
                    <w:tl2br w:val="nil"/>
                    <w:tr2bl w:val="nil"/>
                  </w:tcBorders>
                  <w:vAlign w:val="center"/>
                </w:tcPr>
                <w:p>
                  <w:pPr>
                    <w:pStyle w:val="58"/>
                    <w:spacing w:before="24" w:after="24"/>
                    <w:jc w:val="center"/>
                    <w:rPr>
                      <w:sz w:val="21"/>
                      <w:highlight w:val="none"/>
                    </w:rPr>
                  </w:pPr>
                  <w:r>
                    <w:rPr>
                      <w:sz w:val="21"/>
                      <w:highlight w:val="none"/>
                      <w:lang w:bidi="ar"/>
                    </w:rPr>
                    <w:t>日平均质量浓度95%位数值</w:t>
                  </w:r>
                </w:p>
              </w:tc>
              <w:tc>
                <w:tcPr>
                  <w:tcW w:w="615"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800</w:t>
                  </w:r>
                </w:p>
              </w:tc>
              <w:tc>
                <w:tcPr>
                  <w:tcW w:w="628"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4000</w:t>
                  </w:r>
                </w:p>
              </w:tc>
              <w:tc>
                <w:tcPr>
                  <w:tcW w:w="677"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4000</w:t>
                  </w:r>
                </w:p>
              </w:tc>
              <w:tc>
                <w:tcPr>
                  <w:tcW w:w="606"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20.0</w:t>
                  </w:r>
                </w:p>
              </w:tc>
              <w:tc>
                <w:tcPr>
                  <w:tcW w:w="690"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20.0</w:t>
                  </w:r>
                </w:p>
              </w:tc>
              <w:tc>
                <w:tcPr>
                  <w:tcW w:w="369" w:type="pct"/>
                  <w:tcBorders>
                    <w:tl2br w:val="nil"/>
                    <w:tr2bl w:val="nil"/>
                  </w:tcBorders>
                  <w:vAlign w:val="center"/>
                </w:tcPr>
                <w:p>
                  <w:pPr>
                    <w:pStyle w:val="58"/>
                    <w:spacing w:before="24" w:after="24"/>
                    <w:jc w:val="center"/>
                    <w:rPr>
                      <w:sz w:val="21"/>
                      <w:highlight w:val="none"/>
                    </w:rPr>
                  </w:pPr>
                  <w:r>
                    <w:rPr>
                      <w:sz w:val="21"/>
                      <w:highlight w:val="none"/>
                      <w:lang w:bidi="ar"/>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458" w:type="pct"/>
                  <w:tcBorders>
                    <w:tl2br w:val="nil"/>
                    <w:tr2bl w:val="nil"/>
                  </w:tcBorders>
                  <w:vAlign w:val="center"/>
                </w:tcPr>
                <w:p>
                  <w:pPr>
                    <w:pStyle w:val="58"/>
                    <w:spacing w:before="24" w:after="24"/>
                    <w:jc w:val="center"/>
                    <w:rPr>
                      <w:sz w:val="21"/>
                      <w:highlight w:val="none"/>
                    </w:rPr>
                  </w:pPr>
                  <w:r>
                    <w:rPr>
                      <w:sz w:val="21"/>
                      <w:highlight w:val="none"/>
                      <w:lang w:bidi="ar"/>
                    </w:rPr>
                    <w:t>O</w:t>
                  </w:r>
                  <w:r>
                    <w:rPr>
                      <w:sz w:val="21"/>
                      <w:highlight w:val="none"/>
                      <w:vertAlign w:val="subscript"/>
                      <w:lang w:bidi="ar"/>
                    </w:rPr>
                    <w:t>3</w:t>
                  </w:r>
                </w:p>
              </w:tc>
              <w:tc>
                <w:tcPr>
                  <w:tcW w:w="953" w:type="pct"/>
                  <w:tcBorders>
                    <w:tl2br w:val="nil"/>
                    <w:tr2bl w:val="nil"/>
                  </w:tcBorders>
                  <w:vAlign w:val="center"/>
                </w:tcPr>
                <w:p>
                  <w:pPr>
                    <w:pStyle w:val="58"/>
                    <w:spacing w:before="24" w:after="24"/>
                    <w:jc w:val="center"/>
                    <w:rPr>
                      <w:sz w:val="21"/>
                      <w:highlight w:val="none"/>
                    </w:rPr>
                  </w:pPr>
                  <w:r>
                    <w:rPr>
                      <w:sz w:val="21"/>
                      <w:highlight w:val="none"/>
                      <w:lang w:bidi="ar"/>
                    </w:rPr>
                    <w:t>日最大8h平均质量浓度90%位数值</w:t>
                  </w:r>
                </w:p>
              </w:tc>
              <w:tc>
                <w:tcPr>
                  <w:tcW w:w="615"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146</w:t>
                  </w:r>
                </w:p>
              </w:tc>
              <w:tc>
                <w:tcPr>
                  <w:tcW w:w="628"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160</w:t>
                  </w:r>
                </w:p>
              </w:tc>
              <w:tc>
                <w:tcPr>
                  <w:tcW w:w="677" w:type="pct"/>
                  <w:tcBorders>
                    <w:tl2br w:val="nil"/>
                    <w:tr2bl w:val="nil"/>
                  </w:tcBorders>
                  <w:vAlign w:val="center"/>
                </w:tcPr>
                <w:p>
                  <w:pPr>
                    <w:widowControl/>
                    <w:jc w:val="center"/>
                    <w:textAlignment w:val="center"/>
                    <w:rPr>
                      <w:kern w:val="0"/>
                      <w:szCs w:val="21"/>
                      <w:highlight w:val="none"/>
                      <w:lang w:bidi="ar"/>
                    </w:rPr>
                  </w:pPr>
                  <w:r>
                    <w:rPr>
                      <w:kern w:val="0"/>
                      <w:szCs w:val="21"/>
                      <w:highlight w:val="none"/>
                      <w:lang w:bidi="ar"/>
                    </w:rPr>
                    <w:t>160</w:t>
                  </w:r>
                </w:p>
              </w:tc>
              <w:tc>
                <w:tcPr>
                  <w:tcW w:w="606"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91.3</w:t>
                  </w:r>
                </w:p>
              </w:tc>
              <w:tc>
                <w:tcPr>
                  <w:tcW w:w="690" w:type="pct"/>
                  <w:tcBorders>
                    <w:tl2br w:val="nil"/>
                    <w:tr2bl w:val="nil"/>
                  </w:tcBorders>
                  <w:vAlign w:val="center"/>
                </w:tcPr>
                <w:p>
                  <w:pPr>
                    <w:widowControl/>
                    <w:jc w:val="center"/>
                    <w:textAlignment w:val="center"/>
                    <w:rPr>
                      <w:kern w:val="0"/>
                      <w:szCs w:val="21"/>
                      <w:highlight w:val="none"/>
                      <w:lang w:bidi="ar"/>
                    </w:rPr>
                  </w:pPr>
                  <w:r>
                    <w:rPr>
                      <w:rFonts w:hint="eastAsia"/>
                      <w:kern w:val="0"/>
                      <w:szCs w:val="21"/>
                      <w:highlight w:val="none"/>
                      <w:lang w:bidi="ar"/>
                    </w:rPr>
                    <w:t>91.3</w:t>
                  </w:r>
                </w:p>
              </w:tc>
              <w:tc>
                <w:tcPr>
                  <w:tcW w:w="369" w:type="pct"/>
                  <w:tcBorders>
                    <w:tl2br w:val="nil"/>
                    <w:tr2bl w:val="nil"/>
                  </w:tcBorders>
                  <w:vAlign w:val="center"/>
                </w:tcPr>
                <w:p>
                  <w:pPr>
                    <w:pStyle w:val="58"/>
                    <w:spacing w:before="24" w:after="24"/>
                    <w:jc w:val="center"/>
                    <w:rPr>
                      <w:sz w:val="21"/>
                      <w:highlight w:val="none"/>
                    </w:rPr>
                  </w:pPr>
                  <w:r>
                    <w:rPr>
                      <w:sz w:val="21"/>
                      <w:highlight w:val="none"/>
                      <w:lang w:bidi="ar"/>
                    </w:rPr>
                    <w:t>达标</w:t>
                  </w:r>
                </w:p>
              </w:tc>
            </w:tr>
          </w:tbl>
          <w:p>
            <w:pPr>
              <w:pStyle w:val="14"/>
              <w:rPr>
                <w:highlight w:val="none"/>
              </w:rPr>
            </w:pPr>
          </w:p>
          <w:p>
            <w:pPr>
              <w:spacing w:line="360" w:lineRule="auto"/>
              <w:ind w:firstLine="480" w:firstLineChars="200"/>
              <w:rPr>
                <w:b/>
                <w:bCs/>
                <w:szCs w:val="21"/>
                <w:highlight w:val="none"/>
              </w:rPr>
            </w:pPr>
            <w:r>
              <w:rPr>
                <w:sz w:val="24"/>
                <w:highlight w:val="none"/>
              </w:rPr>
              <w:t>由表3-1可知，</w:t>
            </w:r>
            <w:r>
              <w:rPr>
                <w:sz w:val="24"/>
                <w:highlight w:val="none"/>
                <w:lang w:val="en-GB"/>
              </w:rPr>
              <w:t>项目</w:t>
            </w:r>
            <w:r>
              <w:rPr>
                <w:sz w:val="24"/>
                <w:highlight w:val="none"/>
              </w:rPr>
              <w:t>所在区域常规监测因子均达到《环境空气质量标准》（GB3095-20</w:t>
            </w:r>
            <w:r>
              <w:rPr>
                <w:rFonts w:hint="eastAsia"/>
                <w:sz w:val="24"/>
                <w:highlight w:val="none"/>
              </w:rPr>
              <w:t>12</w:t>
            </w:r>
            <w:r>
              <w:rPr>
                <w:sz w:val="24"/>
                <w:highlight w:val="none"/>
              </w:rPr>
              <w:t>）二级标准要求</w:t>
            </w:r>
            <w:r>
              <w:rPr>
                <w:rFonts w:hint="eastAsia"/>
                <w:sz w:val="24"/>
                <w:highlight w:val="none"/>
              </w:rPr>
              <w:t>。同时，经对照最新颁布的《环境空气质量标准》（GB3095-2026）及其过渡阶段浓度限值要求，各项监测因子亦均能达到相应的二级标准限值。表明</w:t>
            </w:r>
            <w:r>
              <w:rPr>
                <w:sz w:val="24"/>
                <w:highlight w:val="none"/>
              </w:rPr>
              <w:t>项目所在区域</w:t>
            </w:r>
            <w:r>
              <w:rPr>
                <w:rFonts w:hint="eastAsia"/>
                <w:sz w:val="24"/>
                <w:highlight w:val="none"/>
              </w:rPr>
              <w:t>环境</w:t>
            </w:r>
            <w:r>
              <w:rPr>
                <w:sz w:val="24"/>
                <w:highlight w:val="none"/>
              </w:rPr>
              <w:t>空气质量良好</w:t>
            </w:r>
            <w:r>
              <w:rPr>
                <w:rFonts w:hint="eastAsia"/>
                <w:sz w:val="24"/>
                <w:highlight w:val="none"/>
              </w:rPr>
              <w:t>，</w:t>
            </w:r>
            <w:r>
              <w:rPr>
                <w:sz w:val="24"/>
                <w:highlight w:val="none"/>
              </w:rPr>
              <w:t>属于大气环境质量达标区。</w:t>
            </w:r>
          </w:p>
          <w:p>
            <w:pPr>
              <w:spacing w:before="120" w:beforeLines="50" w:line="360" w:lineRule="auto"/>
              <w:ind w:firstLine="481" w:firstLineChars="200"/>
              <w:rPr>
                <w:b/>
                <w:sz w:val="24"/>
                <w:highlight w:val="none"/>
              </w:rPr>
            </w:pPr>
            <w:r>
              <w:rPr>
                <w:b/>
                <w:sz w:val="24"/>
                <w:highlight w:val="none"/>
              </w:rPr>
              <w:t>（2）特征因子环境质量现状</w:t>
            </w:r>
          </w:p>
          <w:p>
            <w:pPr>
              <w:snapToGrid w:val="0"/>
              <w:spacing w:line="360" w:lineRule="auto"/>
              <w:ind w:firstLine="480" w:firstLineChars="200"/>
              <w:textAlignment w:val="baseline"/>
              <w:rPr>
                <w:sz w:val="24"/>
                <w:highlight w:val="none"/>
                <w:lang w:val="en-GB"/>
              </w:rPr>
            </w:pPr>
            <w:r>
              <w:rPr>
                <w:sz w:val="24"/>
                <w:highlight w:val="none"/>
              </w:rPr>
              <w:t>项目排放的</w:t>
            </w:r>
            <w:r>
              <w:rPr>
                <w:sz w:val="24"/>
                <w:szCs w:val="32"/>
                <w:highlight w:val="none"/>
              </w:rPr>
              <w:t>特征</w:t>
            </w:r>
            <w:r>
              <w:rPr>
                <w:sz w:val="24"/>
                <w:highlight w:val="none"/>
              </w:rPr>
              <w:t>污染物为</w:t>
            </w:r>
            <w:r>
              <w:rPr>
                <w:rFonts w:hint="eastAsia"/>
                <w:sz w:val="24"/>
                <w:highlight w:val="none"/>
              </w:rPr>
              <w:t>TSP、氮氧化物</w:t>
            </w:r>
            <w:r>
              <w:rPr>
                <w:sz w:val="24"/>
                <w:highlight w:val="none"/>
              </w:rPr>
              <w:t>，</w:t>
            </w:r>
            <w:r>
              <w:rPr>
                <w:sz w:val="24"/>
                <w:highlight w:val="none"/>
                <w:lang w:val="en-GB"/>
              </w:rPr>
              <w:t>根据《建设项目环境影响报告表编制技术指南（污染影响类）（试行）》，</w:t>
            </w:r>
            <w:r>
              <w:rPr>
                <w:rFonts w:hint="eastAsia"/>
                <w:sz w:val="24"/>
                <w:highlight w:val="none"/>
                <w:lang w:val="en-GB"/>
              </w:rPr>
              <w:t>“</w:t>
            </w:r>
            <w:r>
              <w:rPr>
                <w:sz w:val="24"/>
                <w:highlight w:val="none"/>
                <w:lang w:val="en-GB"/>
              </w:rPr>
              <w:t>排放国家、地方环境空气质量标准中有标准限值要求的特征污染物时，引用建设项目周边5km范围内近3年的现有监测数据，无相关数据的选择当季主导风向下风向1个点位，补充不少于3天的监测数据。</w:t>
            </w:r>
            <w:r>
              <w:rPr>
                <w:rFonts w:hint="eastAsia"/>
                <w:sz w:val="24"/>
                <w:highlight w:val="none"/>
                <w:lang w:val="en-GB"/>
              </w:rPr>
              <w:t>”</w:t>
            </w:r>
          </w:p>
          <w:p>
            <w:pPr>
              <w:snapToGrid w:val="0"/>
              <w:spacing w:line="360" w:lineRule="auto"/>
              <w:ind w:firstLine="480" w:firstLineChars="200"/>
              <w:textAlignment w:val="baseline"/>
              <w:rPr>
                <w:sz w:val="24"/>
                <w:highlight w:val="none"/>
              </w:rPr>
            </w:pPr>
            <w:r>
              <w:rPr>
                <w:sz w:val="24"/>
                <w:highlight w:val="none"/>
              </w:rPr>
              <w:t>本</w:t>
            </w:r>
            <w:r>
              <w:rPr>
                <w:rFonts w:hint="eastAsia"/>
                <w:sz w:val="24"/>
                <w:highlight w:val="none"/>
                <w:lang w:val="en-GB"/>
              </w:rPr>
              <w:t>评价</w:t>
            </w:r>
            <w:r>
              <w:rPr>
                <w:sz w:val="24"/>
                <w:highlight w:val="none"/>
              </w:rPr>
              <w:t>环境空气</w:t>
            </w:r>
            <w:r>
              <w:rPr>
                <w:sz w:val="24"/>
                <w:highlight w:val="none"/>
                <w:lang w:val="en-GB"/>
              </w:rPr>
              <w:t>特征因子</w:t>
            </w:r>
            <w:r>
              <w:rPr>
                <w:rFonts w:hint="eastAsia"/>
                <w:sz w:val="24"/>
                <w:highlight w:val="none"/>
              </w:rPr>
              <w:t>TSP、氮氧化物引用</w:t>
            </w:r>
            <w:r>
              <w:rPr>
                <w:rFonts w:hint="eastAsia"/>
                <w:sz w:val="24"/>
                <w:highlight w:val="none"/>
                <w:lang w:eastAsia="zh-CN"/>
              </w:rPr>
              <w:t>《</w:t>
            </w:r>
            <w:r>
              <w:rPr>
                <w:rFonts w:hint="eastAsia"/>
                <w:sz w:val="24"/>
                <w:highlight w:val="none"/>
              </w:rPr>
              <w:t>江西庐山工业园区及其周边环境质量现状监测项目》检测报告中的监测数据（监测单位：江西九环检测有限公司，报告编号：JH202601522），检测时间为2026年1月22日</w:t>
            </w:r>
            <w:r>
              <w:rPr>
                <w:rFonts w:hint="eastAsia"/>
                <w:sz w:val="24"/>
                <w:highlight w:val="none"/>
                <w:lang w:eastAsia="zh-CN"/>
              </w:rPr>
              <w:t>—</w:t>
            </w:r>
            <w:r>
              <w:rPr>
                <w:rFonts w:hint="eastAsia"/>
                <w:sz w:val="24"/>
                <w:highlight w:val="none"/>
              </w:rPr>
              <w:t>2026年1月28日</w:t>
            </w:r>
            <w:r>
              <w:rPr>
                <w:rFonts w:hint="eastAsia"/>
                <w:sz w:val="24"/>
                <w:szCs w:val="32"/>
                <w:highlight w:val="none"/>
              </w:rPr>
              <w:t>，监测点位为蛟华产业园新屋于村。</w:t>
            </w:r>
            <w:r>
              <w:rPr>
                <w:sz w:val="24"/>
                <w:highlight w:val="none"/>
              </w:rPr>
              <w:t>监测点位置及监测结果统计见</w:t>
            </w:r>
            <w:r>
              <w:rPr>
                <w:rFonts w:hint="eastAsia"/>
                <w:sz w:val="24"/>
                <w:highlight w:val="none"/>
              </w:rPr>
              <w:t>表3-2、3-3</w:t>
            </w:r>
            <w:r>
              <w:rPr>
                <w:sz w:val="24"/>
                <w:highlight w:val="none"/>
              </w:rPr>
              <w:t>。</w:t>
            </w:r>
          </w:p>
          <w:p>
            <w:pPr>
              <w:jc w:val="center"/>
              <w:outlineLvl w:val="1"/>
              <w:rPr>
                <w:b/>
                <w:highlight w:val="none"/>
              </w:rPr>
            </w:pPr>
            <w:r>
              <w:rPr>
                <w:b/>
                <w:highlight w:val="none"/>
              </w:rPr>
              <w:t>表3-2  大气环境现状监测点位基本信息表</w:t>
            </w:r>
          </w:p>
          <w:tbl>
            <w:tblPr>
              <w:tblStyle w:val="40"/>
              <w:tblW w:w="840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290"/>
              <w:gridCol w:w="1361"/>
              <w:gridCol w:w="889"/>
              <w:gridCol w:w="1770"/>
              <w:gridCol w:w="780"/>
              <w:gridCol w:w="11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dxa"/>
                  <w:vMerge w:val="restart"/>
                  <w:tcBorders>
                    <w:top w:val="single" w:color="auto" w:sz="4" w:space="0"/>
                  </w:tcBorders>
                  <w:vAlign w:val="center"/>
                </w:tcPr>
                <w:p>
                  <w:pPr>
                    <w:jc w:val="center"/>
                    <w:rPr>
                      <w:b/>
                      <w:szCs w:val="21"/>
                      <w:highlight w:val="none"/>
                    </w:rPr>
                  </w:pPr>
                  <w:r>
                    <w:rPr>
                      <w:b/>
                      <w:szCs w:val="21"/>
                      <w:highlight w:val="none"/>
                    </w:rPr>
                    <w:t>监测点名称</w:t>
                  </w:r>
                </w:p>
              </w:tc>
              <w:tc>
                <w:tcPr>
                  <w:tcW w:w="2651" w:type="dxa"/>
                  <w:gridSpan w:val="2"/>
                  <w:tcBorders>
                    <w:top w:val="single" w:color="auto" w:sz="4" w:space="0"/>
                  </w:tcBorders>
                  <w:vAlign w:val="center"/>
                </w:tcPr>
                <w:p>
                  <w:pPr>
                    <w:jc w:val="center"/>
                    <w:rPr>
                      <w:b/>
                      <w:szCs w:val="21"/>
                      <w:highlight w:val="none"/>
                    </w:rPr>
                  </w:pPr>
                  <w:r>
                    <w:rPr>
                      <w:b/>
                      <w:szCs w:val="21"/>
                      <w:highlight w:val="none"/>
                    </w:rPr>
                    <w:t>监测点坐标</w:t>
                  </w:r>
                  <w:r>
                    <w:rPr>
                      <w:rFonts w:hint="eastAsia"/>
                      <w:b/>
                      <w:szCs w:val="21"/>
                      <w:highlight w:val="none"/>
                    </w:rPr>
                    <w:t>（经纬度）</w:t>
                  </w:r>
                </w:p>
              </w:tc>
              <w:tc>
                <w:tcPr>
                  <w:tcW w:w="889" w:type="dxa"/>
                  <w:vMerge w:val="restart"/>
                  <w:tcBorders>
                    <w:top w:val="single" w:color="auto" w:sz="4" w:space="0"/>
                  </w:tcBorders>
                  <w:vAlign w:val="center"/>
                </w:tcPr>
                <w:p>
                  <w:pPr>
                    <w:jc w:val="center"/>
                    <w:rPr>
                      <w:b/>
                      <w:szCs w:val="21"/>
                      <w:highlight w:val="none"/>
                    </w:rPr>
                  </w:pPr>
                  <w:r>
                    <w:rPr>
                      <w:b/>
                      <w:szCs w:val="21"/>
                      <w:highlight w:val="none"/>
                    </w:rPr>
                    <w:t>监测</w:t>
                  </w:r>
                </w:p>
                <w:p>
                  <w:pPr>
                    <w:jc w:val="center"/>
                    <w:rPr>
                      <w:b/>
                      <w:szCs w:val="21"/>
                      <w:highlight w:val="none"/>
                    </w:rPr>
                  </w:pPr>
                  <w:r>
                    <w:rPr>
                      <w:b/>
                      <w:szCs w:val="21"/>
                      <w:highlight w:val="none"/>
                    </w:rPr>
                    <w:t>因子</w:t>
                  </w:r>
                </w:p>
              </w:tc>
              <w:tc>
                <w:tcPr>
                  <w:tcW w:w="1770" w:type="dxa"/>
                  <w:vMerge w:val="restart"/>
                  <w:tcBorders>
                    <w:top w:val="single" w:color="auto" w:sz="4" w:space="0"/>
                  </w:tcBorders>
                  <w:vAlign w:val="center"/>
                </w:tcPr>
                <w:p>
                  <w:pPr>
                    <w:jc w:val="center"/>
                    <w:rPr>
                      <w:b/>
                      <w:szCs w:val="21"/>
                      <w:highlight w:val="none"/>
                    </w:rPr>
                  </w:pPr>
                  <w:r>
                    <w:rPr>
                      <w:b/>
                      <w:szCs w:val="21"/>
                      <w:highlight w:val="none"/>
                    </w:rPr>
                    <w:t>监测时段</w:t>
                  </w:r>
                </w:p>
              </w:tc>
              <w:tc>
                <w:tcPr>
                  <w:tcW w:w="780" w:type="dxa"/>
                  <w:vMerge w:val="restart"/>
                  <w:tcBorders>
                    <w:top w:val="single" w:color="auto" w:sz="4" w:space="0"/>
                  </w:tcBorders>
                  <w:vAlign w:val="center"/>
                </w:tcPr>
                <w:p>
                  <w:pPr>
                    <w:jc w:val="center"/>
                    <w:rPr>
                      <w:b/>
                      <w:szCs w:val="21"/>
                      <w:highlight w:val="none"/>
                    </w:rPr>
                  </w:pPr>
                  <w:r>
                    <w:rPr>
                      <w:b/>
                      <w:szCs w:val="21"/>
                      <w:highlight w:val="none"/>
                    </w:rPr>
                    <w:t>相对方位</w:t>
                  </w:r>
                </w:p>
              </w:tc>
              <w:tc>
                <w:tcPr>
                  <w:tcW w:w="1166" w:type="dxa"/>
                  <w:vMerge w:val="restart"/>
                  <w:tcBorders>
                    <w:top w:val="single" w:color="auto" w:sz="4" w:space="0"/>
                  </w:tcBorders>
                  <w:vAlign w:val="center"/>
                </w:tcPr>
                <w:p>
                  <w:pPr>
                    <w:jc w:val="center"/>
                    <w:rPr>
                      <w:b/>
                      <w:szCs w:val="21"/>
                      <w:highlight w:val="none"/>
                    </w:rPr>
                  </w:pPr>
                  <w:r>
                    <w:rPr>
                      <w:b/>
                      <w:szCs w:val="21"/>
                      <w:highlight w:val="none"/>
                    </w:rPr>
                    <w:t>相对厂界距离/m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dxa"/>
                  <w:vMerge w:val="continue"/>
                  <w:vAlign w:val="center"/>
                </w:tcPr>
                <w:p>
                  <w:pPr>
                    <w:jc w:val="center"/>
                    <w:rPr>
                      <w:b/>
                      <w:szCs w:val="21"/>
                      <w:highlight w:val="none"/>
                    </w:rPr>
                  </w:pPr>
                </w:p>
              </w:tc>
              <w:tc>
                <w:tcPr>
                  <w:tcW w:w="1290" w:type="dxa"/>
                  <w:vAlign w:val="center"/>
                </w:tcPr>
                <w:p>
                  <w:pPr>
                    <w:jc w:val="center"/>
                    <w:rPr>
                      <w:b/>
                      <w:szCs w:val="21"/>
                      <w:highlight w:val="none"/>
                    </w:rPr>
                  </w:pPr>
                  <w:r>
                    <w:rPr>
                      <w:b/>
                      <w:szCs w:val="21"/>
                      <w:highlight w:val="none"/>
                    </w:rPr>
                    <w:t>X</w:t>
                  </w:r>
                </w:p>
              </w:tc>
              <w:tc>
                <w:tcPr>
                  <w:tcW w:w="1361" w:type="dxa"/>
                  <w:vAlign w:val="center"/>
                </w:tcPr>
                <w:p>
                  <w:pPr>
                    <w:jc w:val="center"/>
                    <w:rPr>
                      <w:b/>
                      <w:szCs w:val="21"/>
                      <w:highlight w:val="none"/>
                    </w:rPr>
                  </w:pPr>
                  <w:r>
                    <w:rPr>
                      <w:b/>
                      <w:szCs w:val="21"/>
                      <w:highlight w:val="none"/>
                    </w:rPr>
                    <w:t>Y</w:t>
                  </w:r>
                </w:p>
              </w:tc>
              <w:tc>
                <w:tcPr>
                  <w:tcW w:w="889" w:type="dxa"/>
                  <w:vMerge w:val="continue"/>
                  <w:vAlign w:val="center"/>
                </w:tcPr>
                <w:p>
                  <w:pPr>
                    <w:jc w:val="center"/>
                    <w:rPr>
                      <w:b/>
                      <w:szCs w:val="21"/>
                      <w:highlight w:val="none"/>
                    </w:rPr>
                  </w:pPr>
                </w:p>
              </w:tc>
              <w:tc>
                <w:tcPr>
                  <w:tcW w:w="1770" w:type="dxa"/>
                  <w:vMerge w:val="continue"/>
                  <w:vAlign w:val="center"/>
                </w:tcPr>
                <w:p>
                  <w:pPr>
                    <w:jc w:val="center"/>
                    <w:rPr>
                      <w:b/>
                      <w:szCs w:val="21"/>
                      <w:highlight w:val="none"/>
                    </w:rPr>
                  </w:pPr>
                </w:p>
              </w:tc>
              <w:tc>
                <w:tcPr>
                  <w:tcW w:w="780" w:type="dxa"/>
                  <w:vMerge w:val="continue"/>
                  <w:vAlign w:val="center"/>
                </w:tcPr>
                <w:p>
                  <w:pPr>
                    <w:jc w:val="center"/>
                    <w:rPr>
                      <w:b/>
                      <w:szCs w:val="21"/>
                      <w:highlight w:val="none"/>
                    </w:rPr>
                  </w:pPr>
                </w:p>
              </w:tc>
              <w:tc>
                <w:tcPr>
                  <w:tcW w:w="1166" w:type="dxa"/>
                  <w:vMerge w:val="continue"/>
                  <w:vAlign w:val="center"/>
                </w:tcPr>
                <w:p>
                  <w:pPr>
                    <w:jc w:val="center"/>
                    <w:rPr>
                      <w:b/>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dxa"/>
                  <w:tcBorders>
                    <w:bottom w:val="single" w:color="auto" w:sz="4" w:space="0"/>
                  </w:tcBorders>
                  <w:vAlign w:val="center"/>
                </w:tcPr>
                <w:p>
                  <w:pPr>
                    <w:jc w:val="center"/>
                    <w:rPr>
                      <w:szCs w:val="21"/>
                      <w:highlight w:val="none"/>
                    </w:rPr>
                  </w:pPr>
                  <w:r>
                    <w:rPr>
                      <w:rFonts w:hint="eastAsia"/>
                      <w:szCs w:val="21"/>
                      <w:highlight w:val="none"/>
                    </w:rPr>
                    <w:t>蛟华产业园新屋于村</w:t>
                  </w:r>
                </w:p>
              </w:tc>
              <w:tc>
                <w:tcPr>
                  <w:tcW w:w="1290" w:type="dxa"/>
                  <w:tcBorders>
                    <w:bottom w:val="single" w:color="auto" w:sz="4" w:space="0"/>
                  </w:tcBorders>
                  <w:vAlign w:val="center"/>
                </w:tcPr>
                <w:p>
                  <w:pPr>
                    <w:jc w:val="center"/>
                    <w:rPr>
                      <w:szCs w:val="21"/>
                      <w:highlight w:val="none"/>
                    </w:rPr>
                  </w:pPr>
                  <w:r>
                    <w:rPr>
                      <w:rFonts w:hint="eastAsia"/>
                      <w:szCs w:val="21"/>
                      <w:highlight w:val="none"/>
                    </w:rPr>
                    <w:t>E115</w:t>
                  </w:r>
                  <w:r>
                    <w:rPr>
                      <w:szCs w:val="21"/>
                      <w:highlight w:val="none"/>
                    </w:rPr>
                    <w:t>°</w:t>
                  </w:r>
                  <w:r>
                    <w:rPr>
                      <w:rFonts w:hint="eastAsia"/>
                      <w:szCs w:val="21"/>
                      <w:highlight w:val="none"/>
                    </w:rPr>
                    <w:t>54</w:t>
                  </w:r>
                  <w:r>
                    <w:rPr>
                      <w:szCs w:val="21"/>
                      <w:highlight w:val="none"/>
                    </w:rPr>
                    <w:t>′</w:t>
                  </w:r>
                  <w:r>
                    <w:rPr>
                      <w:rFonts w:hint="eastAsia"/>
                      <w:szCs w:val="21"/>
                      <w:highlight w:val="none"/>
                    </w:rPr>
                    <w:t>22</w:t>
                  </w:r>
                  <w:r>
                    <w:rPr>
                      <w:szCs w:val="21"/>
                      <w:highlight w:val="none"/>
                    </w:rPr>
                    <w:t>″</w:t>
                  </w:r>
                </w:p>
              </w:tc>
              <w:tc>
                <w:tcPr>
                  <w:tcW w:w="1361" w:type="dxa"/>
                  <w:tcBorders>
                    <w:bottom w:val="single" w:color="auto" w:sz="4" w:space="0"/>
                  </w:tcBorders>
                  <w:vAlign w:val="center"/>
                </w:tcPr>
                <w:p>
                  <w:pPr>
                    <w:jc w:val="center"/>
                    <w:rPr>
                      <w:szCs w:val="21"/>
                      <w:highlight w:val="none"/>
                    </w:rPr>
                  </w:pPr>
                  <w:r>
                    <w:rPr>
                      <w:rFonts w:hint="eastAsia"/>
                      <w:szCs w:val="21"/>
                      <w:highlight w:val="none"/>
                    </w:rPr>
                    <w:t>N29</w:t>
                  </w:r>
                  <w:r>
                    <w:rPr>
                      <w:szCs w:val="21"/>
                      <w:highlight w:val="none"/>
                    </w:rPr>
                    <w:t>°</w:t>
                  </w:r>
                  <w:r>
                    <w:rPr>
                      <w:rFonts w:hint="eastAsia"/>
                      <w:szCs w:val="21"/>
                      <w:highlight w:val="none"/>
                    </w:rPr>
                    <w:t>19</w:t>
                  </w:r>
                  <w:r>
                    <w:rPr>
                      <w:szCs w:val="21"/>
                      <w:highlight w:val="none"/>
                    </w:rPr>
                    <w:t>′</w:t>
                  </w:r>
                  <w:r>
                    <w:rPr>
                      <w:rFonts w:hint="eastAsia"/>
                      <w:szCs w:val="21"/>
                      <w:highlight w:val="none"/>
                    </w:rPr>
                    <w:t>18</w:t>
                  </w:r>
                  <w:r>
                    <w:rPr>
                      <w:szCs w:val="21"/>
                      <w:highlight w:val="none"/>
                    </w:rPr>
                    <w:t>″</w:t>
                  </w:r>
                </w:p>
              </w:tc>
              <w:tc>
                <w:tcPr>
                  <w:tcW w:w="889" w:type="dxa"/>
                  <w:tcBorders>
                    <w:bottom w:val="single" w:color="auto" w:sz="4" w:space="0"/>
                  </w:tcBorders>
                  <w:vAlign w:val="center"/>
                </w:tcPr>
                <w:p>
                  <w:pPr>
                    <w:jc w:val="center"/>
                    <w:rPr>
                      <w:rFonts w:hint="eastAsia"/>
                      <w:szCs w:val="21"/>
                      <w:highlight w:val="none"/>
                    </w:rPr>
                  </w:pPr>
                  <w:r>
                    <w:rPr>
                      <w:rFonts w:hint="eastAsia"/>
                      <w:szCs w:val="21"/>
                      <w:highlight w:val="none"/>
                    </w:rPr>
                    <w:t>TSP、氮氧化物</w:t>
                  </w:r>
                </w:p>
              </w:tc>
              <w:tc>
                <w:tcPr>
                  <w:tcW w:w="1770" w:type="dxa"/>
                  <w:tcBorders>
                    <w:bottom w:val="single" w:color="auto" w:sz="4" w:space="0"/>
                  </w:tcBorders>
                  <w:vAlign w:val="center"/>
                </w:tcPr>
                <w:p>
                  <w:pPr>
                    <w:jc w:val="center"/>
                    <w:rPr>
                      <w:rFonts w:hint="eastAsia"/>
                      <w:szCs w:val="21"/>
                      <w:highlight w:val="none"/>
                    </w:rPr>
                  </w:pPr>
                  <w:r>
                    <w:rPr>
                      <w:rFonts w:hint="eastAsia"/>
                      <w:szCs w:val="21"/>
                      <w:highlight w:val="none"/>
                    </w:rPr>
                    <w:t>2026年1月22日</w:t>
                  </w:r>
                  <w:r>
                    <w:rPr>
                      <w:rFonts w:hint="eastAsia"/>
                      <w:szCs w:val="21"/>
                      <w:highlight w:val="none"/>
                      <w:lang w:eastAsia="zh-CN"/>
                    </w:rPr>
                    <w:t>—</w:t>
                  </w:r>
                  <w:r>
                    <w:rPr>
                      <w:rFonts w:hint="eastAsia"/>
                      <w:szCs w:val="21"/>
                      <w:highlight w:val="none"/>
                    </w:rPr>
                    <w:t>1月28日</w:t>
                  </w:r>
                </w:p>
              </w:tc>
              <w:tc>
                <w:tcPr>
                  <w:tcW w:w="780" w:type="dxa"/>
                  <w:tcBorders>
                    <w:bottom w:val="single" w:color="auto" w:sz="4" w:space="0"/>
                  </w:tcBorders>
                  <w:vAlign w:val="center"/>
                </w:tcPr>
                <w:p>
                  <w:pPr>
                    <w:jc w:val="center"/>
                    <w:rPr>
                      <w:szCs w:val="21"/>
                      <w:highlight w:val="none"/>
                    </w:rPr>
                  </w:pPr>
                  <w:r>
                    <w:rPr>
                      <w:rFonts w:hint="eastAsia"/>
                      <w:szCs w:val="21"/>
                      <w:highlight w:val="none"/>
                    </w:rPr>
                    <w:t>西南</w:t>
                  </w:r>
                </w:p>
              </w:tc>
              <w:tc>
                <w:tcPr>
                  <w:tcW w:w="1166" w:type="dxa"/>
                  <w:tcBorders>
                    <w:bottom w:val="single" w:color="auto" w:sz="4" w:space="0"/>
                  </w:tcBorders>
                  <w:vAlign w:val="center"/>
                </w:tcPr>
                <w:p>
                  <w:pPr>
                    <w:jc w:val="center"/>
                    <w:rPr>
                      <w:rFonts w:hint="default" w:eastAsia="宋体"/>
                      <w:szCs w:val="21"/>
                      <w:highlight w:val="none"/>
                      <w:lang w:val="en-US" w:eastAsia="zh-CN"/>
                    </w:rPr>
                  </w:pPr>
                  <w:r>
                    <w:rPr>
                      <w:rFonts w:hint="eastAsia"/>
                      <w:szCs w:val="21"/>
                      <w:highlight w:val="none"/>
                      <w:lang w:val="en-US" w:eastAsia="zh-CN"/>
                    </w:rPr>
                    <w:t>3900</w:t>
                  </w:r>
                </w:p>
              </w:tc>
            </w:tr>
          </w:tbl>
          <w:p>
            <w:pPr>
              <w:spacing w:before="120" w:beforeLines="50"/>
              <w:jc w:val="center"/>
              <w:rPr>
                <w:b/>
                <w:szCs w:val="21"/>
                <w:highlight w:val="none"/>
              </w:rPr>
            </w:pPr>
            <w:r>
              <w:rPr>
                <w:b/>
                <w:szCs w:val="21"/>
                <w:highlight w:val="none"/>
              </w:rPr>
              <w:t>表3-3  环境空气现状及评价结果表</w:t>
            </w:r>
          </w:p>
          <w:tbl>
            <w:tblPr>
              <w:tblStyle w:val="40"/>
              <w:tblW w:w="840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30"/>
              <w:gridCol w:w="804"/>
              <w:gridCol w:w="696"/>
              <w:gridCol w:w="875"/>
              <w:gridCol w:w="931"/>
              <w:gridCol w:w="1080"/>
              <w:gridCol w:w="909"/>
              <w:gridCol w:w="670"/>
              <w:gridCol w:w="7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监测</w:t>
                  </w:r>
                </w:p>
                <w:p>
                  <w:pPr>
                    <w:autoSpaceDE w:val="0"/>
                    <w:autoSpaceDN w:val="0"/>
                    <w:jc w:val="center"/>
                    <w:rPr>
                      <w:rFonts w:hAnsi="Calibri"/>
                      <w:b/>
                      <w:szCs w:val="21"/>
                      <w:highlight w:val="none"/>
                    </w:rPr>
                  </w:pPr>
                  <w:r>
                    <w:rPr>
                      <w:rFonts w:hAnsi="Calibri"/>
                      <w:b/>
                      <w:szCs w:val="21"/>
                      <w:highlight w:val="none"/>
                    </w:rPr>
                    <w:t>点位</w:t>
                  </w:r>
                </w:p>
              </w:tc>
              <w:tc>
                <w:tcPr>
                  <w:tcW w:w="1634" w:type="dxa"/>
                  <w:gridSpan w:val="2"/>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监测点坐标</w:t>
                  </w:r>
                </w:p>
                <w:p>
                  <w:pPr>
                    <w:autoSpaceDE w:val="0"/>
                    <w:autoSpaceDN w:val="0"/>
                    <w:jc w:val="center"/>
                    <w:rPr>
                      <w:rFonts w:hAnsi="Calibri"/>
                      <w:b/>
                      <w:szCs w:val="21"/>
                      <w:highlight w:val="none"/>
                    </w:rPr>
                  </w:pPr>
                  <w:r>
                    <w:rPr>
                      <w:rFonts w:hint="eastAsia" w:hAnsi="Calibri"/>
                      <w:b/>
                      <w:szCs w:val="21"/>
                      <w:highlight w:val="none"/>
                    </w:rPr>
                    <w:t>（经纬度）</w:t>
                  </w:r>
                </w:p>
              </w:tc>
              <w:tc>
                <w:tcPr>
                  <w:tcW w:w="696"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污染物</w:t>
                  </w:r>
                </w:p>
              </w:tc>
              <w:tc>
                <w:tcPr>
                  <w:tcW w:w="875"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平均时间</w:t>
                  </w:r>
                </w:p>
              </w:tc>
              <w:tc>
                <w:tcPr>
                  <w:tcW w:w="931"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评价标准</w:t>
                  </w:r>
                  <w:r>
                    <w:rPr>
                      <w:rFonts w:hint="eastAsia" w:hAnsi="Calibri"/>
                      <w:b/>
                      <w:szCs w:val="21"/>
                      <w:highlight w:val="none"/>
                      <w:lang w:val="en-US" w:eastAsia="zh-CN"/>
                    </w:rPr>
                    <w:t>/</w:t>
                  </w:r>
                  <w:r>
                    <w:rPr>
                      <w:rFonts w:hAnsi="Calibri"/>
                      <w:b/>
                      <w:szCs w:val="21"/>
                      <w:highlight w:val="none"/>
                    </w:rPr>
                    <w:t>μg/m</w:t>
                  </w:r>
                  <w:r>
                    <w:rPr>
                      <w:rFonts w:hAnsi="Calibri"/>
                      <w:b/>
                      <w:szCs w:val="21"/>
                      <w:highlight w:val="none"/>
                      <w:vertAlign w:val="superscript"/>
                    </w:rPr>
                    <w:t>3</w:t>
                  </w:r>
                </w:p>
              </w:tc>
              <w:tc>
                <w:tcPr>
                  <w:tcW w:w="1080"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监测浓度范围</w:t>
                  </w:r>
                </w:p>
                <w:p>
                  <w:pPr>
                    <w:autoSpaceDE w:val="0"/>
                    <w:autoSpaceDN w:val="0"/>
                    <w:jc w:val="center"/>
                    <w:rPr>
                      <w:rFonts w:hAnsi="Calibri"/>
                      <w:b/>
                      <w:szCs w:val="21"/>
                      <w:highlight w:val="none"/>
                    </w:rPr>
                  </w:pPr>
                  <w:r>
                    <w:rPr>
                      <w:rFonts w:hint="eastAsia" w:hAnsi="Calibri"/>
                      <w:b/>
                      <w:szCs w:val="21"/>
                      <w:highlight w:val="none"/>
                      <w:lang w:val="en-US" w:eastAsia="zh-CN"/>
                    </w:rPr>
                    <w:t>/</w:t>
                  </w:r>
                  <w:r>
                    <w:rPr>
                      <w:rFonts w:hAnsi="Calibri"/>
                      <w:b/>
                      <w:szCs w:val="21"/>
                      <w:highlight w:val="none"/>
                    </w:rPr>
                    <w:t>μg/m</w:t>
                  </w:r>
                  <w:r>
                    <w:rPr>
                      <w:rFonts w:hAnsi="Calibri"/>
                      <w:b/>
                      <w:szCs w:val="21"/>
                      <w:highlight w:val="none"/>
                      <w:vertAlign w:val="superscript"/>
                    </w:rPr>
                    <w:t>3</w:t>
                  </w:r>
                </w:p>
              </w:tc>
              <w:tc>
                <w:tcPr>
                  <w:tcW w:w="909"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最大浓度占标率</w:t>
                  </w:r>
                  <w:r>
                    <w:rPr>
                      <w:rFonts w:hint="eastAsia" w:hAnsi="Calibri"/>
                      <w:b/>
                      <w:szCs w:val="21"/>
                      <w:highlight w:val="none"/>
                      <w:lang w:val="en-US" w:eastAsia="zh-CN"/>
                    </w:rPr>
                    <w:t>/</w:t>
                  </w:r>
                  <w:r>
                    <w:rPr>
                      <w:rFonts w:hAnsi="Calibri"/>
                      <w:b/>
                      <w:szCs w:val="21"/>
                      <w:highlight w:val="none"/>
                    </w:rPr>
                    <w:t>%</w:t>
                  </w:r>
                </w:p>
              </w:tc>
              <w:tc>
                <w:tcPr>
                  <w:tcW w:w="670"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超标率</w:t>
                  </w:r>
                  <w:r>
                    <w:rPr>
                      <w:rFonts w:hint="eastAsia" w:hAnsi="Calibri"/>
                      <w:b/>
                      <w:szCs w:val="21"/>
                      <w:highlight w:val="none"/>
                      <w:lang w:val="en-US" w:eastAsia="zh-CN"/>
                    </w:rPr>
                    <w:t>/</w:t>
                  </w:r>
                  <w:r>
                    <w:rPr>
                      <w:rFonts w:hAnsi="Calibri"/>
                      <w:b/>
                      <w:szCs w:val="21"/>
                      <w:highlight w:val="none"/>
                    </w:rPr>
                    <w:t>%</w:t>
                  </w:r>
                </w:p>
              </w:tc>
              <w:tc>
                <w:tcPr>
                  <w:tcW w:w="737" w:type="dxa"/>
                  <w:vMerge w:val="restart"/>
                  <w:tcBorders>
                    <w:top w:val="single" w:color="auto" w:sz="4" w:space="0"/>
                  </w:tcBorders>
                  <w:vAlign w:val="center"/>
                </w:tcPr>
                <w:p>
                  <w:pPr>
                    <w:autoSpaceDE w:val="0"/>
                    <w:autoSpaceDN w:val="0"/>
                    <w:jc w:val="center"/>
                    <w:rPr>
                      <w:rFonts w:hAnsi="Calibri"/>
                      <w:b/>
                      <w:szCs w:val="21"/>
                      <w:highlight w:val="none"/>
                    </w:rPr>
                  </w:pPr>
                  <w:r>
                    <w:rPr>
                      <w:rFonts w:hAnsi="Calibri"/>
                      <w:b/>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dxa"/>
                  <w:vMerge w:val="continue"/>
                  <w:vAlign w:val="center"/>
                </w:tcPr>
                <w:p>
                  <w:pPr>
                    <w:autoSpaceDE w:val="0"/>
                    <w:autoSpaceDN w:val="0"/>
                    <w:jc w:val="center"/>
                    <w:rPr>
                      <w:rFonts w:hAnsi="Calibri"/>
                      <w:b/>
                      <w:szCs w:val="21"/>
                      <w:highlight w:val="none"/>
                    </w:rPr>
                  </w:pPr>
                </w:p>
              </w:tc>
              <w:tc>
                <w:tcPr>
                  <w:tcW w:w="830" w:type="dxa"/>
                  <w:vAlign w:val="center"/>
                </w:tcPr>
                <w:p>
                  <w:pPr>
                    <w:autoSpaceDE w:val="0"/>
                    <w:autoSpaceDN w:val="0"/>
                    <w:jc w:val="center"/>
                    <w:rPr>
                      <w:rFonts w:hAnsi="Calibri"/>
                      <w:b/>
                      <w:szCs w:val="21"/>
                      <w:highlight w:val="none"/>
                    </w:rPr>
                  </w:pPr>
                  <w:r>
                    <w:rPr>
                      <w:rFonts w:hAnsi="Calibri"/>
                      <w:b/>
                      <w:szCs w:val="21"/>
                      <w:highlight w:val="none"/>
                    </w:rPr>
                    <w:t>X</w:t>
                  </w:r>
                </w:p>
              </w:tc>
              <w:tc>
                <w:tcPr>
                  <w:tcW w:w="804" w:type="dxa"/>
                  <w:vAlign w:val="center"/>
                </w:tcPr>
                <w:p>
                  <w:pPr>
                    <w:autoSpaceDE w:val="0"/>
                    <w:autoSpaceDN w:val="0"/>
                    <w:jc w:val="center"/>
                    <w:rPr>
                      <w:rFonts w:hAnsi="Calibri"/>
                      <w:b/>
                      <w:szCs w:val="21"/>
                      <w:highlight w:val="none"/>
                    </w:rPr>
                  </w:pPr>
                  <w:r>
                    <w:rPr>
                      <w:rFonts w:hAnsi="Calibri"/>
                      <w:b/>
                      <w:szCs w:val="21"/>
                      <w:highlight w:val="none"/>
                    </w:rPr>
                    <w:t>Y</w:t>
                  </w:r>
                </w:p>
              </w:tc>
              <w:tc>
                <w:tcPr>
                  <w:tcW w:w="696" w:type="dxa"/>
                  <w:vMerge w:val="continue"/>
                  <w:vAlign w:val="center"/>
                </w:tcPr>
                <w:p>
                  <w:pPr>
                    <w:autoSpaceDE w:val="0"/>
                    <w:autoSpaceDN w:val="0"/>
                    <w:jc w:val="center"/>
                    <w:rPr>
                      <w:rFonts w:hAnsi="Calibri"/>
                      <w:b/>
                      <w:szCs w:val="21"/>
                      <w:highlight w:val="none"/>
                    </w:rPr>
                  </w:pPr>
                </w:p>
              </w:tc>
              <w:tc>
                <w:tcPr>
                  <w:tcW w:w="875" w:type="dxa"/>
                  <w:vMerge w:val="continue"/>
                  <w:vAlign w:val="center"/>
                </w:tcPr>
                <w:p>
                  <w:pPr>
                    <w:autoSpaceDE w:val="0"/>
                    <w:autoSpaceDN w:val="0"/>
                    <w:jc w:val="center"/>
                    <w:rPr>
                      <w:rFonts w:hAnsi="Calibri"/>
                      <w:b/>
                      <w:szCs w:val="21"/>
                      <w:highlight w:val="none"/>
                    </w:rPr>
                  </w:pPr>
                </w:p>
              </w:tc>
              <w:tc>
                <w:tcPr>
                  <w:tcW w:w="931" w:type="dxa"/>
                  <w:vMerge w:val="continue"/>
                  <w:vAlign w:val="center"/>
                </w:tcPr>
                <w:p>
                  <w:pPr>
                    <w:autoSpaceDE w:val="0"/>
                    <w:autoSpaceDN w:val="0"/>
                    <w:jc w:val="center"/>
                    <w:rPr>
                      <w:rFonts w:hAnsi="Calibri"/>
                      <w:b/>
                      <w:szCs w:val="21"/>
                      <w:highlight w:val="none"/>
                    </w:rPr>
                  </w:pPr>
                </w:p>
              </w:tc>
              <w:tc>
                <w:tcPr>
                  <w:tcW w:w="1080" w:type="dxa"/>
                  <w:vMerge w:val="continue"/>
                  <w:vAlign w:val="center"/>
                </w:tcPr>
                <w:p>
                  <w:pPr>
                    <w:autoSpaceDE w:val="0"/>
                    <w:autoSpaceDN w:val="0"/>
                    <w:jc w:val="center"/>
                    <w:rPr>
                      <w:rFonts w:hAnsi="Calibri"/>
                      <w:b/>
                      <w:szCs w:val="21"/>
                      <w:highlight w:val="none"/>
                    </w:rPr>
                  </w:pPr>
                </w:p>
              </w:tc>
              <w:tc>
                <w:tcPr>
                  <w:tcW w:w="909" w:type="dxa"/>
                  <w:vMerge w:val="continue"/>
                  <w:vAlign w:val="center"/>
                </w:tcPr>
                <w:p>
                  <w:pPr>
                    <w:autoSpaceDE w:val="0"/>
                    <w:autoSpaceDN w:val="0"/>
                    <w:jc w:val="center"/>
                    <w:rPr>
                      <w:rFonts w:hAnsi="Calibri"/>
                      <w:b/>
                      <w:szCs w:val="21"/>
                      <w:highlight w:val="none"/>
                    </w:rPr>
                  </w:pPr>
                </w:p>
              </w:tc>
              <w:tc>
                <w:tcPr>
                  <w:tcW w:w="670" w:type="dxa"/>
                  <w:vMerge w:val="continue"/>
                  <w:vAlign w:val="center"/>
                </w:tcPr>
                <w:p>
                  <w:pPr>
                    <w:autoSpaceDE w:val="0"/>
                    <w:autoSpaceDN w:val="0"/>
                    <w:jc w:val="center"/>
                    <w:rPr>
                      <w:rFonts w:hAnsi="Calibri"/>
                      <w:b/>
                      <w:szCs w:val="21"/>
                      <w:highlight w:val="none"/>
                    </w:rPr>
                  </w:pPr>
                </w:p>
              </w:tc>
              <w:tc>
                <w:tcPr>
                  <w:tcW w:w="737" w:type="dxa"/>
                  <w:vMerge w:val="continue"/>
                  <w:vAlign w:val="center"/>
                </w:tcPr>
                <w:p>
                  <w:pPr>
                    <w:autoSpaceDE w:val="0"/>
                    <w:autoSpaceDN w:val="0"/>
                    <w:jc w:val="center"/>
                    <w:rPr>
                      <w:rFonts w:hAnsi="Calibri"/>
                      <w:b/>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dxa"/>
                  <w:vMerge w:val="restart"/>
                  <w:vAlign w:val="center"/>
                </w:tcPr>
                <w:p>
                  <w:pPr>
                    <w:jc w:val="center"/>
                    <w:rPr>
                      <w:rFonts w:hAnsi="Calibri"/>
                      <w:bCs/>
                      <w:szCs w:val="21"/>
                      <w:highlight w:val="none"/>
                    </w:rPr>
                  </w:pPr>
                  <w:r>
                    <w:rPr>
                      <w:rFonts w:hint="eastAsia"/>
                      <w:szCs w:val="21"/>
                      <w:highlight w:val="none"/>
                    </w:rPr>
                    <w:t>蛟华产业园新屋于村</w:t>
                  </w:r>
                </w:p>
              </w:tc>
              <w:tc>
                <w:tcPr>
                  <w:tcW w:w="830" w:type="dxa"/>
                  <w:vMerge w:val="restart"/>
                  <w:vAlign w:val="center"/>
                </w:tcPr>
                <w:p>
                  <w:pPr>
                    <w:jc w:val="center"/>
                    <w:rPr>
                      <w:szCs w:val="21"/>
                      <w:highlight w:val="none"/>
                    </w:rPr>
                  </w:pPr>
                  <w:r>
                    <w:rPr>
                      <w:rFonts w:hint="eastAsia"/>
                      <w:szCs w:val="21"/>
                      <w:highlight w:val="none"/>
                    </w:rPr>
                    <w:t>E115</w:t>
                  </w:r>
                  <w:r>
                    <w:rPr>
                      <w:szCs w:val="21"/>
                      <w:highlight w:val="none"/>
                    </w:rPr>
                    <w:t>°</w:t>
                  </w:r>
                  <w:r>
                    <w:rPr>
                      <w:rFonts w:hint="eastAsia"/>
                      <w:szCs w:val="21"/>
                      <w:highlight w:val="none"/>
                    </w:rPr>
                    <w:t>54</w:t>
                  </w:r>
                  <w:r>
                    <w:rPr>
                      <w:szCs w:val="21"/>
                      <w:highlight w:val="none"/>
                    </w:rPr>
                    <w:t>′</w:t>
                  </w:r>
                  <w:r>
                    <w:rPr>
                      <w:rFonts w:hint="eastAsia"/>
                      <w:szCs w:val="21"/>
                      <w:highlight w:val="none"/>
                    </w:rPr>
                    <w:t>22</w:t>
                  </w:r>
                  <w:r>
                    <w:rPr>
                      <w:szCs w:val="21"/>
                      <w:highlight w:val="none"/>
                    </w:rPr>
                    <w:t>″</w:t>
                  </w:r>
                </w:p>
              </w:tc>
              <w:tc>
                <w:tcPr>
                  <w:tcW w:w="804" w:type="dxa"/>
                  <w:vMerge w:val="restart"/>
                  <w:vAlign w:val="center"/>
                </w:tcPr>
                <w:p>
                  <w:pPr>
                    <w:jc w:val="center"/>
                    <w:rPr>
                      <w:szCs w:val="21"/>
                      <w:highlight w:val="none"/>
                    </w:rPr>
                  </w:pPr>
                  <w:r>
                    <w:rPr>
                      <w:rFonts w:hint="eastAsia"/>
                      <w:szCs w:val="21"/>
                      <w:highlight w:val="none"/>
                    </w:rPr>
                    <w:t>N29</w:t>
                  </w:r>
                  <w:r>
                    <w:rPr>
                      <w:szCs w:val="21"/>
                      <w:highlight w:val="none"/>
                    </w:rPr>
                    <w:t>°</w:t>
                  </w:r>
                  <w:r>
                    <w:rPr>
                      <w:rFonts w:hint="eastAsia"/>
                      <w:szCs w:val="21"/>
                      <w:highlight w:val="none"/>
                    </w:rPr>
                    <w:t>19</w:t>
                  </w:r>
                  <w:r>
                    <w:rPr>
                      <w:szCs w:val="21"/>
                      <w:highlight w:val="none"/>
                    </w:rPr>
                    <w:t>′</w:t>
                  </w:r>
                  <w:r>
                    <w:rPr>
                      <w:rFonts w:hint="eastAsia"/>
                      <w:szCs w:val="21"/>
                      <w:highlight w:val="none"/>
                    </w:rPr>
                    <w:t>18</w:t>
                  </w:r>
                  <w:r>
                    <w:rPr>
                      <w:szCs w:val="21"/>
                      <w:highlight w:val="none"/>
                    </w:rPr>
                    <w:t>″</w:t>
                  </w:r>
                </w:p>
              </w:tc>
              <w:tc>
                <w:tcPr>
                  <w:tcW w:w="696" w:type="dxa"/>
                  <w:vAlign w:val="center"/>
                </w:tcPr>
                <w:p>
                  <w:pPr>
                    <w:jc w:val="center"/>
                    <w:rPr>
                      <w:bCs/>
                      <w:szCs w:val="21"/>
                      <w:highlight w:val="none"/>
                    </w:rPr>
                  </w:pPr>
                  <w:r>
                    <w:rPr>
                      <w:bCs/>
                      <w:szCs w:val="21"/>
                      <w:highlight w:val="none"/>
                    </w:rPr>
                    <w:t>TSP</w:t>
                  </w:r>
                </w:p>
              </w:tc>
              <w:tc>
                <w:tcPr>
                  <w:tcW w:w="875" w:type="dxa"/>
                  <w:vAlign w:val="center"/>
                </w:tcPr>
                <w:p>
                  <w:pPr>
                    <w:autoSpaceDE w:val="0"/>
                    <w:autoSpaceDN w:val="0"/>
                    <w:jc w:val="center"/>
                    <w:rPr>
                      <w:rFonts w:hAnsi="Calibri"/>
                      <w:bCs/>
                      <w:szCs w:val="21"/>
                      <w:highlight w:val="none"/>
                    </w:rPr>
                  </w:pPr>
                  <w:r>
                    <w:rPr>
                      <w:rFonts w:hint="eastAsia" w:hAnsi="Calibri"/>
                      <w:bCs/>
                      <w:szCs w:val="21"/>
                      <w:highlight w:val="none"/>
                    </w:rPr>
                    <w:t>日均值</w:t>
                  </w:r>
                </w:p>
              </w:tc>
              <w:tc>
                <w:tcPr>
                  <w:tcW w:w="931" w:type="dxa"/>
                  <w:vAlign w:val="center"/>
                </w:tcPr>
                <w:p>
                  <w:pPr>
                    <w:autoSpaceDE w:val="0"/>
                    <w:autoSpaceDN w:val="0"/>
                    <w:jc w:val="center"/>
                    <w:rPr>
                      <w:rFonts w:hAnsi="Calibri"/>
                      <w:bCs/>
                      <w:szCs w:val="21"/>
                      <w:highlight w:val="none"/>
                    </w:rPr>
                  </w:pPr>
                  <w:r>
                    <w:rPr>
                      <w:rFonts w:hint="eastAsia" w:hAnsi="Calibri"/>
                      <w:bCs/>
                      <w:szCs w:val="21"/>
                      <w:highlight w:val="none"/>
                    </w:rPr>
                    <w:t>300</w:t>
                  </w:r>
                </w:p>
              </w:tc>
              <w:tc>
                <w:tcPr>
                  <w:tcW w:w="1080" w:type="dxa"/>
                  <w:vAlign w:val="center"/>
                </w:tcPr>
                <w:p>
                  <w:pPr>
                    <w:widowControl/>
                    <w:adjustRightInd w:val="0"/>
                    <w:snapToGrid w:val="0"/>
                    <w:jc w:val="center"/>
                    <w:rPr>
                      <w:bCs/>
                      <w:szCs w:val="21"/>
                      <w:highlight w:val="none"/>
                    </w:rPr>
                  </w:pPr>
                  <w:r>
                    <w:rPr>
                      <w:rFonts w:hint="eastAsia"/>
                      <w:bCs/>
                      <w:szCs w:val="21"/>
                      <w:highlight w:val="none"/>
                    </w:rPr>
                    <w:t>107-122</w:t>
                  </w:r>
                </w:p>
              </w:tc>
              <w:tc>
                <w:tcPr>
                  <w:tcW w:w="909" w:type="dxa"/>
                  <w:vAlign w:val="center"/>
                </w:tcPr>
                <w:p>
                  <w:pPr>
                    <w:widowControl/>
                    <w:adjustRightInd w:val="0"/>
                    <w:snapToGrid w:val="0"/>
                    <w:jc w:val="center"/>
                    <w:rPr>
                      <w:bCs/>
                      <w:szCs w:val="21"/>
                      <w:highlight w:val="none"/>
                    </w:rPr>
                  </w:pPr>
                  <w:r>
                    <w:rPr>
                      <w:rFonts w:hint="eastAsia"/>
                      <w:bCs/>
                      <w:szCs w:val="21"/>
                      <w:highlight w:val="none"/>
                    </w:rPr>
                    <w:t>40.7</w:t>
                  </w:r>
                </w:p>
              </w:tc>
              <w:tc>
                <w:tcPr>
                  <w:tcW w:w="670" w:type="dxa"/>
                  <w:vAlign w:val="center"/>
                </w:tcPr>
                <w:p>
                  <w:pPr>
                    <w:autoSpaceDE w:val="0"/>
                    <w:autoSpaceDN w:val="0"/>
                    <w:jc w:val="center"/>
                    <w:rPr>
                      <w:rFonts w:hAnsi="Calibri"/>
                      <w:bCs/>
                      <w:szCs w:val="21"/>
                      <w:highlight w:val="none"/>
                    </w:rPr>
                  </w:pPr>
                  <w:r>
                    <w:rPr>
                      <w:rFonts w:hAnsi="Calibri"/>
                      <w:bCs/>
                      <w:szCs w:val="21"/>
                      <w:highlight w:val="none"/>
                    </w:rPr>
                    <w:t>0</w:t>
                  </w:r>
                </w:p>
              </w:tc>
              <w:tc>
                <w:tcPr>
                  <w:tcW w:w="737" w:type="dxa"/>
                  <w:vAlign w:val="center"/>
                </w:tcPr>
                <w:p>
                  <w:pPr>
                    <w:autoSpaceDE w:val="0"/>
                    <w:autoSpaceDN w:val="0"/>
                    <w:jc w:val="center"/>
                    <w:rPr>
                      <w:rFonts w:hAnsi="Calibri"/>
                      <w:bCs/>
                      <w:szCs w:val="21"/>
                      <w:highlight w:val="none"/>
                    </w:rPr>
                  </w:pPr>
                  <w:r>
                    <w:rPr>
                      <w:rFonts w:hAnsi="Calibri"/>
                      <w:bCs/>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dxa"/>
                  <w:vMerge w:val="continue"/>
                  <w:vAlign w:val="center"/>
                </w:tcPr>
                <w:p>
                  <w:pPr>
                    <w:jc w:val="center"/>
                    <w:rPr>
                      <w:rFonts w:hint="eastAsia"/>
                      <w:szCs w:val="21"/>
                      <w:highlight w:val="none"/>
                    </w:rPr>
                  </w:pPr>
                </w:p>
              </w:tc>
              <w:tc>
                <w:tcPr>
                  <w:tcW w:w="830" w:type="dxa"/>
                  <w:vMerge w:val="continue"/>
                  <w:vAlign w:val="center"/>
                </w:tcPr>
                <w:p>
                  <w:pPr>
                    <w:jc w:val="center"/>
                    <w:rPr>
                      <w:rFonts w:hint="eastAsia"/>
                      <w:szCs w:val="21"/>
                      <w:highlight w:val="none"/>
                    </w:rPr>
                  </w:pPr>
                </w:p>
              </w:tc>
              <w:tc>
                <w:tcPr>
                  <w:tcW w:w="804" w:type="dxa"/>
                  <w:vMerge w:val="continue"/>
                  <w:vAlign w:val="center"/>
                </w:tcPr>
                <w:p>
                  <w:pPr>
                    <w:jc w:val="center"/>
                    <w:rPr>
                      <w:rFonts w:hint="eastAsia"/>
                      <w:szCs w:val="21"/>
                      <w:highlight w:val="none"/>
                    </w:rPr>
                  </w:pPr>
                </w:p>
              </w:tc>
              <w:tc>
                <w:tcPr>
                  <w:tcW w:w="696" w:type="dxa"/>
                  <w:vMerge w:val="restart"/>
                  <w:vAlign w:val="center"/>
                </w:tcPr>
                <w:p>
                  <w:pPr>
                    <w:jc w:val="center"/>
                    <w:rPr>
                      <w:bCs/>
                      <w:color w:val="0000FF"/>
                      <w:szCs w:val="21"/>
                      <w:highlight w:val="none"/>
                    </w:rPr>
                  </w:pPr>
                  <w:r>
                    <w:rPr>
                      <w:rFonts w:hint="eastAsia" w:hAnsi="Calibri"/>
                      <w:bCs/>
                      <w:color w:val="0000FF"/>
                      <w:szCs w:val="21"/>
                      <w:highlight w:val="none"/>
                    </w:rPr>
                    <w:t>氮氧化物</w:t>
                  </w:r>
                </w:p>
              </w:tc>
              <w:tc>
                <w:tcPr>
                  <w:tcW w:w="875" w:type="dxa"/>
                  <w:vAlign w:val="center"/>
                </w:tcPr>
                <w:p>
                  <w:pPr>
                    <w:autoSpaceDE w:val="0"/>
                    <w:autoSpaceDN w:val="0"/>
                    <w:jc w:val="center"/>
                    <w:rPr>
                      <w:rFonts w:hint="eastAsia" w:hAnsi="Calibri" w:eastAsia="宋体"/>
                      <w:bCs/>
                      <w:color w:val="0000FF"/>
                      <w:szCs w:val="21"/>
                      <w:highlight w:val="none"/>
                      <w:lang w:val="en-US" w:eastAsia="zh-CN"/>
                    </w:rPr>
                  </w:pPr>
                  <w:r>
                    <w:rPr>
                      <w:rFonts w:hint="eastAsia" w:hAnsi="Calibri"/>
                      <w:bCs/>
                      <w:color w:val="0000FF"/>
                      <w:szCs w:val="21"/>
                      <w:highlight w:val="none"/>
                      <w:lang w:val="en-US" w:eastAsia="zh-CN"/>
                    </w:rPr>
                    <w:t>日均值</w:t>
                  </w:r>
                </w:p>
              </w:tc>
              <w:tc>
                <w:tcPr>
                  <w:tcW w:w="931" w:type="dxa"/>
                  <w:vAlign w:val="center"/>
                </w:tcPr>
                <w:p>
                  <w:pPr>
                    <w:autoSpaceDE w:val="0"/>
                    <w:autoSpaceDN w:val="0"/>
                    <w:jc w:val="center"/>
                    <w:rPr>
                      <w:rFonts w:hint="default" w:hAnsi="Calibri" w:eastAsia="宋体"/>
                      <w:bCs/>
                      <w:color w:val="0000FF"/>
                      <w:szCs w:val="21"/>
                      <w:highlight w:val="none"/>
                      <w:lang w:val="en-US" w:eastAsia="zh-CN"/>
                    </w:rPr>
                  </w:pPr>
                  <w:r>
                    <w:rPr>
                      <w:rFonts w:hint="eastAsia" w:hAnsi="Calibri"/>
                      <w:bCs/>
                      <w:color w:val="0000FF"/>
                      <w:szCs w:val="21"/>
                      <w:highlight w:val="none"/>
                      <w:lang w:val="en-US" w:eastAsia="zh-CN"/>
                    </w:rPr>
                    <w:t>100</w:t>
                  </w:r>
                </w:p>
              </w:tc>
              <w:tc>
                <w:tcPr>
                  <w:tcW w:w="1080" w:type="dxa"/>
                  <w:vAlign w:val="center"/>
                </w:tcPr>
                <w:p>
                  <w:pPr>
                    <w:widowControl/>
                    <w:adjustRightInd w:val="0"/>
                    <w:snapToGrid w:val="0"/>
                    <w:jc w:val="center"/>
                    <w:rPr>
                      <w:rFonts w:hint="default" w:eastAsia="宋体"/>
                      <w:bCs/>
                      <w:color w:val="0000FF"/>
                      <w:szCs w:val="21"/>
                      <w:highlight w:val="none"/>
                      <w:lang w:val="en-US" w:eastAsia="zh-CN"/>
                    </w:rPr>
                  </w:pPr>
                  <w:r>
                    <w:rPr>
                      <w:rFonts w:hint="eastAsia"/>
                      <w:bCs/>
                      <w:color w:val="0000FF"/>
                      <w:szCs w:val="21"/>
                      <w:highlight w:val="none"/>
                      <w:lang w:val="en-US" w:eastAsia="zh-CN"/>
                    </w:rPr>
                    <w:t>ND</w:t>
                  </w:r>
                </w:p>
              </w:tc>
              <w:tc>
                <w:tcPr>
                  <w:tcW w:w="909" w:type="dxa"/>
                  <w:vAlign w:val="center"/>
                </w:tcPr>
                <w:p>
                  <w:pPr>
                    <w:widowControl/>
                    <w:adjustRightInd w:val="0"/>
                    <w:snapToGrid w:val="0"/>
                    <w:jc w:val="center"/>
                    <w:rPr>
                      <w:rFonts w:hint="eastAsia" w:eastAsia="宋体"/>
                      <w:bCs/>
                      <w:color w:val="0000FF"/>
                      <w:szCs w:val="21"/>
                      <w:highlight w:val="none"/>
                      <w:lang w:val="en-US" w:eastAsia="zh-CN"/>
                    </w:rPr>
                  </w:pPr>
                  <w:r>
                    <w:rPr>
                      <w:rFonts w:hint="eastAsia"/>
                      <w:bCs/>
                      <w:color w:val="0000FF"/>
                      <w:szCs w:val="21"/>
                      <w:highlight w:val="none"/>
                      <w:lang w:val="en-US" w:eastAsia="zh-CN"/>
                    </w:rPr>
                    <w:t>/</w:t>
                  </w:r>
                </w:p>
              </w:tc>
              <w:tc>
                <w:tcPr>
                  <w:tcW w:w="670" w:type="dxa"/>
                  <w:vAlign w:val="center"/>
                </w:tcPr>
                <w:p>
                  <w:pPr>
                    <w:autoSpaceDE w:val="0"/>
                    <w:autoSpaceDN w:val="0"/>
                    <w:jc w:val="center"/>
                    <w:rPr>
                      <w:rFonts w:hint="eastAsia" w:hAnsi="Calibri" w:eastAsia="宋体"/>
                      <w:bCs/>
                      <w:color w:val="0000FF"/>
                      <w:szCs w:val="21"/>
                      <w:highlight w:val="none"/>
                      <w:lang w:val="en-US" w:eastAsia="zh-CN"/>
                    </w:rPr>
                  </w:pPr>
                  <w:r>
                    <w:rPr>
                      <w:rFonts w:hint="eastAsia" w:hAnsi="Calibri"/>
                      <w:bCs/>
                      <w:color w:val="0000FF"/>
                      <w:szCs w:val="21"/>
                      <w:highlight w:val="none"/>
                      <w:lang w:val="en-US" w:eastAsia="zh-CN"/>
                    </w:rPr>
                    <w:t>0</w:t>
                  </w:r>
                </w:p>
              </w:tc>
              <w:tc>
                <w:tcPr>
                  <w:tcW w:w="737" w:type="dxa"/>
                  <w:vAlign w:val="center"/>
                </w:tcPr>
                <w:p>
                  <w:pPr>
                    <w:autoSpaceDE w:val="0"/>
                    <w:autoSpaceDN w:val="0"/>
                    <w:jc w:val="center"/>
                    <w:rPr>
                      <w:rFonts w:hint="default" w:hAnsi="Calibri" w:eastAsia="宋体"/>
                      <w:bCs/>
                      <w:color w:val="0000FF"/>
                      <w:szCs w:val="21"/>
                      <w:highlight w:val="none"/>
                      <w:lang w:val="en-US" w:eastAsia="zh-CN"/>
                    </w:rPr>
                  </w:pPr>
                  <w:r>
                    <w:rPr>
                      <w:rFonts w:hint="eastAsia" w:hAnsi="Calibri"/>
                      <w:bCs/>
                      <w:color w:val="0000FF"/>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5" w:type="dxa"/>
                  <w:vMerge w:val="continue"/>
                  <w:tcBorders>
                    <w:bottom w:val="single" w:color="auto" w:sz="4" w:space="0"/>
                  </w:tcBorders>
                  <w:vAlign w:val="center"/>
                </w:tcPr>
                <w:p>
                  <w:pPr>
                    <w:jc w:val="center"/>
                    <w:rPr>
                      <w:szCs w:val="21"/>
                      <w:highlight w:val="none"/>
                    </w:rPr>
                  </w:pPr>
                </w:p>
              </w:tc>
              <w:tc>
                <w:tcPr>
                  <w:tcW w:w="830" w:type="dxa"/>
                  <w:vMerge w:val="continue"/>
                  <w:tcBorders>
                    <w:bottom w:val="single" w:color="auto" w:sz="4" w:space="0"/>
                  </w:tcBorders>
                  <w:vAlign w:val="center"/>
                </w:tcPr>
                <w:p>
                  <w:pPr>
                    <w:jc w:val="center"/>
                    <w:rPr>
                      <w:szCs w:val="21"/>
                      <w:highlight w:val="none"/>
                    </w:rPr>
                  </w:pPr>
                </w:p>
              </w:tc>
              <w:tc>
                <w:tcPr>
                  <w:tcW w:w="804" w:type="dxa"/>
                  <w:vMerge w:val="continue"/>
                  <w:tcBorders>
                    <w:bottom w:val="single" w:color="auto" w:sz="4" w:space="0"/>
                  </w:tcBorders>
                  <w:vAlign w:val="center"/>
                </w:tcPr>
                <w:p>
                  <w:pPr>
                    <w:jc w:val="center"/>
                    <w:rPr>
                      <w:szCs w:val="21"/>
                      <w:highlight w:val="none"/>
                    </w:rPr>
                  </w:pPr>
                </w:p>
              </w:tc>
              <w:tc>
                <w:tcPr>
                  <w:tcW w:w="696" w:type="dxa"/>
                  <w:vMerge w:val="continue"/>
                  <w:tcBorders>
                    <w:bottom w:val="single" w:color="auto" w:sz="4" w:space="0"/>
                  </w:tcBorders>
                  <w:vAlign w:val="center"/>
                </w:tcPr>
                <w:p>
                  <w:pPr>
                    <w:jc w:val="center"/>
                    <w:rPr>
                      <w:bCs/>
                      <w:color w:val="0000FF"/>
                      <w:szCs w:val="21"/>
                      <w:highlight w:val="none"/>
                    </w:rPr>
                  </w:pPr>
                </w:p>
              </w:tc>
              <w:tc>
                <w:tcPr>
                  <w:tcW w:w="875" w:type="dxa"/>
                  <w:tcBorders>
                    <w:bottom w:val="single" w:color="auto" w:sz="4" w:space="0"/>
                  </w:tcBorders>
                  <w:vAlign w:val="center"/>
                </w:tcPr>
                <w:p>
                  <w:pPr>
                    <w:autoSpaceDE w:val="0"/>
                    <w:autoSpaceDN w:val="0"/>
                    <w:jc w:val="center"/>
                    <w:rPr>
                      <w:rFonts w:hint="eastAsia" w:hAnsi="Calibri" w:eastAsia="宋体"/>
                      <w:bCs/>
                      <w:color w:val="0000FF"/>
                      <w:szCs w:val="21"/>
                      <w:highlight w:val="none"/>
                      <w:lang w:eastAsia="zh-CN"/>
                    </w:rPr>
                  </w:pPr>
                  <w:r>
                    <w:rPr>
                      <w:rFonts w:hint="eastAsia" w:hAnsi="Calibri"/>
                      <w:bCs/>
                      <w:color w:val="0000FF"/>
                      <w:szCs w:val="21"/>
                      <w:highlight w:val="none"/>
                      <w:lang w:val="en-US" w:eastAsia="zh-CN"/>
                    </w:rPr>
                    <w:t>小时值</w:t>
                  </w:r>
                </w:p>
              </w:tc>
              <w:tc>
                <w:tcPr>
                  <w:tcW w:w="931" w:type="dxa"/>
                  <w:tcBorders>
                    <w:bottom w:val="single" w:color="auto" w:sz="4" w:space="0"/>
                  </w:tcBorders>
                  <w:vAlign w:val="center"/>
                </w:tcPr>
                <w:p>
                  <w:pPr>
                    <w:autoSpaceDE w:val="0"/>
                    <w:autoSpaceDN w:val="0"/>
                    <w:jc w:val="center"/>
                    <w:rPr>
                      <w:rFonts w:hint="default" w:hAnsi="Calibri" w:eastAsia="宋体"/>
                      <w:bCs/>
                      <w:color w:val="0000FF"/>
                      <w:szCs w:val="21"/>
                      <w:highlight w:val="none"/>
                      <w:lang w:val="en-US" w:eastAsia="zh-CN"/>
                    </w:rPr>
                  </w:pPr>
                  <w:r>
                    <w:rPr>
                      <w:rFonts w:hint="eastAsia" w:hAnsi="Calibri"/>
                      <w:bCs/>
                      <w:color w:val="0000FF"/>
                      <w:szCs w:val="21"/>
                      <w:highlight w:val="none"/>
                      <w:lang w:val="en-US" w:eastAsia="zh-CN"/>
                    </w:rPr>
                    <w:t>250</w:t>
                  </w:r>
                </w:p>
              </w:tc>
              <w:tc>
                <w:tcPr>
                  <w:tcW w:w="1080" w:type="dxa"/>
                  <w:tcBorders>
                    <w:bottom w:val="single" w:color="auto" w:sz="4" w:space="0"/>
                  </w:tcBorders>
                  <w:vAlign w:val="center"/>
                </w:tcPr>
                <w:p>
                  <w:pPr>
                    <w:widowControl/>
                    <w:adjustRightInd w:val="0"/>
                    <w:snapToGrid w:val="0"/>
                    <w:jc w:val="center"/>
                    <w:rPr>
                      <w:bCs/>
                      <w:color w:val="0000FF"/>
                      <w:szCs w:val="21"/>
                      <w:highlight w:val="none"/>
                    </w:rPr>
                  </w:pPr>
                  <w:r>
                    <w:rPr>
                      <w:rFonts w:hint="eastAsia"/>
                      <w:bCs/>
                      <w:color w:val="0000FF"/>
                      <w:szCs w:val="21"/>
                      <w:highlight w:val="none"/>
                    </w:rPr>
                    <w:t>ND</w:t>
                  </w:r>
                </w:p>
              </w:tc>
              <w:tc>
                <w:tcPr>
                  <w:tcW w:w="909" w:type="dxa"/>
                  <w:tcBorders>
                    <w:bottom w:val="single" w:color="auto" w:sz="4" w:space="0"/>
                  </w:tcBorders>
                  <w:vAlign w:val="center"/>
                </w:tcPr>
                <w:p>
                  <w:pPr>
                    <w:widowControl/>
                    <w:adjustRightInd w:val="0"/>
                    <w:snapToGrid w:val="0"/>
                    <w:jc w:val="center"/>
                    <w:rPr>
                      <w:bCs/>
                      <w:color w:val="0000FF"/>
                      <w:szCs w:val="21"/>
                      <w:highlight w:val="none"/>
                    </w:rPr>
                  </w:pPr>
                  <w:r>
                    <w:rPr>
                      <w:rFonts w:hint="eastAsia"/>
                      <w:bCs/>
                      <w:color w:val="0000FF"/>
                      <w:szCs w:val="21"/>
                      <w:highlight w:val="none"/>
                    </w:rPr>
                    <w:t>/</w:t>
                  </w:r>
                </w:p>
              </w:tc>
              <w:tc>
                <w:tcPr>
                  <w:tcW w:w="670" w:type="dxa"/>
                  <w:tcBorders>
                    <w:bottom w:val="single" w:color="auto" w:sz="4" w:space="0"/>
                  </w:tcBorders>
                  <w:vAlign w:val="center"/>
                </w:tcPr>
                <w:p>
                  <w:pPr>
                    <w:autoSpaceDE w:val="0"/>
                    <w:autoSpaceDN w:val="0"/>
                    <w:jc w:val="center"/>
                    <w:rPr>
                      <w:rFonts w:hAnsi="Calibri"/>
                      <w:bCs/>
                      <w:color w:val="0000FF"/>
                      <w:szCs w:val="21"/>
                      <w:highlight w:val="none"/>
                    </w:rPr>
                  </w:pPr>
                  <w:r>
                    <w:rPr>
                      <w:rFonts w:hint="eastAsia" w:hAnsi="Calibri"/>
                      <w:bCs/>
                      <w:color w:val="0000FF"/>
                      <w:szCs w:val="21"/>
                      <w:highlight w:val="none"/>
                    </w:rPr>
                    <w:t>0</w:t>
                  </w:r>
                </w:p>
              </w:tc>
              <w:tc>
                <w:tcPr>
                  <w:tcW w:w="737" w:type="dxa"/>
                  <w:tcBorders>
                    <w:bottom w:val="single" w:color="auto" w:sz="4" w:space="0"/>
                  </w:tcBorders>
                  <w:vAlign w:val="center"/>
                </w:tcPr>
                <w:p>
                  <w:pPr>
                    <w:autoSpaceDE w:val="0"/>
                    <w:autoSpaceDN w:val="0"/>
                    <w:jc w:val="center"/>
                    <w:rPr>
                      <w:rFonts w:hAnsi="Calibri"/>
                      <w:bCs/>
                      <w:color w:val="0000FF"/>
                      <w:szCs w:val="21"/>
                      <w:highlight w:val="none"/>
                    </w:rPr>
                  </w:pPr>
                  <w:r>
                    <w:rPr>
                      <w:rFonts w:hAnsi="Calibri"/>
                      <w:bCs/>
                      <w:color w:val="0000FF"/>
                      <w:szCs w:val="21"/>
                      <w:highlight w:val="none"/>
                    </w:rPr>
                    <w:t>达标</w:t>
                  </w:r>
                </w:p>
              </w:tc>
            </w:tr>
          </w:tbl>
          <w:p>
            <w:pPr>
              <w:spacing w:line="360" w:lineRule="auto"/>
              <w:ind w:firstLine="360" w:firstLineChars="200"/>
              <w:rPr>
                <w:bCs/>
                <w:sz w:val="18"/>
                <w:szCs w:val="18"/>
                <w:highlight w:val="none"/>
              </w:rPr>
            </w:pPr>
            <w:r>
              <w:rPr>
                <w:rFonts w:hint="eastAsia"/>
                <w:bCs/>
                <w:sz w:val="18"/>
                <w:szCs w:val="18"/>
                <w:highlight w:val="none"/>
              </w:rPr>
              <w:t>注：“ND”表示检测结果小于检出限。</w:t>
            </w:r>
          </w:p>
          <w:p>
            <w:pPr>
              <w:spacing w:line="360" w:lineRule="auto"/>
              <w:ind w:firstLine="480" w:firstLineChars="200"/>
              <w:rPr>
                <w:bCs/>
                <w:sz w:val="24"/>
                <w:highlight w:val="none"/>
              </w:rPr>
            </w:pPr>
            <w:r>
              <w:rPr>
                <w:bCs/>
                <w:sz w:val="24"/>
                <w:highlight w:val="none"/>
              </w:rPr>
              <w:t>从表3-3的数据中可以看出，本项目</w:t>
            </w:r>
            <w:r>
              <w:rPr>
                <w:rFonts w:hint="eastAsia"/>
                <w:bCs/>
                <w:sz w:val="24"/>
                <w:highlight w:val="none"/>
              </w:rPr>
              <w:t>周边范围</w:t>
            </w:r>
            <w:r>
              <w:rPr>
                <w:bCs/>
                <w:sz w:val="24"/>
                <w:highlight w:val="none"/>
              </w:rPr>
              <w:t>特征因子</w:t>
            </w:r>
            <w:r>
              <w:rPr>
                <w:rFonts w:hint="eastAsia"/>
                <w:bCs/>
                <w:sz w:val="24"/>
                <w:highlight w:val="none"/>
              </w:rPr>
              <w:t>TSP、氮氧化物</w:t>
            </w:r>
            <w:r>
              <w:rPr>
                <w:bCs/>
                <w:sz w:val="24"/>
                <w:highlight w:val="none"/>
              </w:rPr>
              <w:t>满足</w:t>
            </w:r>
            <w:r>
              <w:rPr>
                <w:rFonts w:hint="eastAsia"/>
                <w:sz w:val="24"/>
                <w:highlight w:val="none"/>
              </w:rPr>
              <w:t>《环境空气质量标准》（GB3095-2026）二级过渡阶段浓度限值</w:t>
            </w:r>
            <w:r>
              <w:rPr>
                <w:bCs/>
                <w:sz w:val="24"/>
                <w:highlight w:val="none"/>
              </w:rPr>
              <w:t>。</w:t>
            </w:r>
          </w:p>
          <w:p>
            <w:pPr>
              <w:spacing w:line="360" w:lineRule="auto"/>
              <w:ind w:firstLine="481" w:firstLineChars="200"/>
              <w:rPr>
                <w:b/>
                <w:sz w:val="24"/>
                <w:highlight w:val="none"/>
              </w:rPr>
            </w:pPr>
            <w:r>
              <w:rPr>
                <w:rFonts w:hint="eastAsia"/>
                <w:b/>
                <w:sz w:val="24"/>
                <w:highlight w:val="none"/>
              </w:rPr>
              <w:t>2</w:t>
            </w:r>
            <w:r>
              <w:rPr>
                <w:b/>
                <w:sz w:val="24"/>
                <w:highlight w:val="none"/>
              </w:rPr>
              <w:t>、地表水环境质量</w:t>
            </w:r>
          </w:p>
          <w:p>
            <w:pPr>
              <w:pStyle w:val="150"/>
              <w:ind w:firstLine="480"/>
              <w:rPr>
                <w:rFonts w:hint="eastAsia"/>
                <w:highlight w:val="none"/>
              </w:rPr>
            </w:pPr>
            <w:r>
              <w:rPr>
                <w:highlight w:val="none"/>
              </w:rPr>
              <w:t>为了解项目所在区域地表水</w:t>
            </w:r>
            <w:r>
              <w:rPr>
                <w:rFonts w:hint="eastAsia"/>
                <w:highlight w:val="none"/>
              </w:rPr>
              <w:t>蓼花池和鄱阳湖</w:t>
            </w:r>
            <w:r>
              <w:rPr>
                <w:highlight w:val="none"/>
              </w:rPr>
              <w:t>环境现状</w:t>
            </w:r>
            <w:r>
              <w:rPr>
                <w:rFonts w:hint="eastAsia"/>
                <w:highlight w:val="none"/>
              </w:rPr>
              <w:t>，</w:t>
            </w:r>
            <w:r>
              <w:rPr>
                <w:kern w:val="2"/>
                <w:highlight w:val="none"/>
              </w:rPr>
              <w:t>本次评价引用</w:t>
            </w:r>
            <w:r>
              <w:rPr>
                <w:rFonts w:hint="eastAsia" w:cs="宋体"/>
                <w:highlight w:val="none"/>
              </w:rPr>
              <w:t>庐山市生态环境保护委员会公布的2025年1月</w:t>
            </w:r>
            <w:r>
              <w:rPr>
                <w:rFonts w:hint="eastAsia" w:cs="宋体"/>
                <w:highlight w:val="none"/>
                <w:lang w:eastAsia="zh-CN"/>
              </w:rPr>
              <w:t>—</w:t>
            </w:r>
            <w:r>
              <w:rPr>
                <w:rFonts w:hint="eastAsia" w:cs="宋体"/>
                <w:highlight w:val="none"/>
              </w:rPr>
              <w:t>2025年7月蚌湖断面周边水系中三八港（入蓼花池）断面数据及</w:t>
            </w:r>
            <w:r>
              <w:rPr>
                <w:rFonts w:hint="eastAsia"/>
                <w:kern w:val="2"/>
                <w:highlight w:val="none"/>
              </w:rPr>
              <w:t>九江市生态环境局发布的</w:t>
            </w:r>
            <w:r>
              <w:rPr>
                <w:rFonts w:cs="宋体"/>
                <w:highlight w:val="none"/>
              </w:rPr>
              <w:t>九江</w:t>
            </w:r>
            <w:r>
              <w:rPr>
                <w:rFonts w:hint="eastAsia" w:cs="宋体"/>
                <w:highlight w:val="none"/>
              </w:rPr>
              <w:t>市水</w:t>
            </w:r>
            <w:r>
              <w:rPr>
                <w:rFonts w:cs="宋体"/>
                <w:highlight w:val="none"/>
              </w:rPr>
              <w:t>生态环境质量月报（</w:t>
            </w:r>
            <w:r>
              <w:rPr>
                <w:rFonts w:hint="eastAsia" w:cs="宋体"/>
                <w:highlight w:val="none"/>
              </w:rPr>
              <w:t>2025年1月—2025年12月</w:t>
            </w:r>
            <w:r>
              <w:rPr>
                <w:rFonts w:cs="宋体"/>
                <w:highlight w:val="none"/>
              </w:rPr>
              <w:t>）</w:t>
            </w:r>
            <w:r>
              <w:rPr>
                <w:rFonts w:hint="eastAsia" w:cs="宋体"/>
                <w:highlight w:val="none"/>
              </w:rPr>
              <w:t>鄱阳湖蚌湖断面数据进行评价，具体见表3-4、表3-5。</w:t>
            </w:r>
          </w:p>
          <w:p>
            <w:pPr>
              <w:pStyle w:val="141"/>
              <w:rPr>
                <w:rFonts w:eastAsia="Times New Roman"/>
                <w:szCs w:val="24"/>
                <w:highlight w:val="none"/>
              </w:rPr>
            </w:pPr>
            <w:r>
              <w:rPr>
                <w:rFonts w:hint="eastAsia"/>
                <w:highlight w:val="none"/>
              </w:rPr>
              <w:t xml:space="preserve">表3-4  </w:t>
            </w:r>
            <w:r>
              <w:rPr>
                <w:rFonts w:hint="eastAsia" w:cs="宋体"/>
                <w:highlight w:val="none"/>
              </w:rPr>
              <w:t>三八港（入蓼花池）</w:t>
            </w:r>
            <w:r>
              <w:rPr>
                <w:rFonts w:hint="eastAsia"/>
                <w:highlight w:val="none"/>
              </w:rPr>
              <w:t>断面</w:t>
            </w:r>
            <w:r>
              <w:rPr>
                <w:highlight w:val="none"/>
              </w:rPr>
              <w:t>水质</w:t>
            </w:r>
            <w:r>
              <w:rPr>
                <w:rFonts w:hint="eastAsia"/>
                <w:highlight w:val="none"/>
              </w:rPr>
              <w:t>统计表</w:t>
            </w:r>
          </w:p>
          <w:tbl>
            <w:tblPr>
              <w:tblStyle w:val="105"/>
              <w:tblW w:w="8635" w:type="dxa"/>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755"/>
              <w:gridCol w:w="846"/>
              <w:gridCol w:w="639"/>
              <w:gridCol w:w="884"/>
              <w:gridCol w:w="663"/>
              <w:gridCol w:w="917"/>
              <w:gridCol w:w="662"/>
              <w:gridCol w:w="840"/>
              <w:gridCol w:w="856"/>
              <w:gridCol w:w="921"/>
              <w:gridCol w:w="652"/>
            </w:tblGrid>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restart"/>
                  <w:tcBorders>
                    <w:tl2br w:val="nil"/>
                    <w:tr2bl w:val="nil"/>
                  </w:tcBorders>
                  <w:vAlign w:val="center"/>
                </w:tcPr>
                <w:p>
                  <w:pPr>
                    <w:pStyle w:val="102"/>
                    <w:rPr>
                      <w:highlight w:val="none"/>
                    </w:rPr>
                  </w:pPr>
                  <w:r>
                    <w:rPr>
                      <w:highlight w:val="none"/>
                    </w:rPr>
                    <w:t>点位名称</w:t>
                  </w:r>
                </w:p>
              </w:tc>
              <w:tc>
                <w:tcPr>
                  <w:tcW w:w="846" w:type="dxa"/>
                  <w:vMerge w:val="restart"/>
                  <w:tcBorders>
                    <w:tl2br w:val="nil"/>
                    <w:tr2bl w:val="nil"/>
                  </w:tcBorders>
                  <w:vAlign w:val="center"/>
                </w:tcPr>
                <w:p>
                  <w:pPr>
                    <w:pStyle w:val="102"/>
                    <w:rPr>
                      <w:highlight w:val="none"/>
                    </w:rPr>
                  </w:pPr>
                  <w:r>
                    <w:rPr>
                      <w:highlight w:val="none"/>
                    </w:rPr>
                    <w:t>监测时间</w:t>
                  </w:r>
                </w:p>
              </w:tc>
              <w:tc>
                <w:tcPr>
                  <w:tcW w:w="6382" w:type="dxa"/>
                  <w:gridSpan w:val="8"/>
                  <w:tcBorders>
                    <w:tl2br w:val="nil"/>
                    <w:tr2bl w:val="nil"/>
                  </w:tcBorders>
                  <w:vAlign w:val="center"/>
                </w:tcPr>
                <w:p>
                  <w:pPr>
                    <w:pStyle w:val="102"/>
                    <w:rPr>
                      <w:highlight w:val="none"/>
                    </w:rPr>
                  </w:pPr>
                  <w:r>
                    <w:rPr>
                      <w:highlight w:val="none"/>
                    </w:rPr>
                    <w:t>监测</w:t>
                  </w:r>
                  <w:r>
                    <w:rPr>
                      <w:rFonts w:hint="eastAsia"/>
                      <w:highlight w:val="none"/>
                    </w:rPr>
                    <w:t>结果及评价</w:t>
                  </w:r>
                  <w:r>
                    <w:rPr>
                      <w:highlight w:val="none"/>
                    </w:rPr>
                    <w:t>（单位：mg/L，pH无量纲）</w:t>
                  </w:r>
                </w:p>
              </w:tc>
              <w:tc>
                <w:tcPr>
                  <w:tcW w:w="652" w:type="dxa"/>
                  <w:vMerge w:val="restart"/>
                  <w:tcBorders>
                    <w:tl2br w:val="nil"/>
                    <w:tr2bl w:val="nil"/>
                  </w:tcBorders>
                  <w:vAlign w:val="center"/>
                </w:tcPr>
                <w:p>
                  <w:pPr>
                    <w:pStyle w:val="102"/>
                    <w:rPr>
                      <w:highlight w:val="none"/>
                    </w:rPr>
                  </w:pPr>
                  <w:r>
                    <w:rPr>
                      <w:highlight w:val="none"/>
                    </w:rPr>
                    <w:t>水质</w:t>
                  </w:r>
                </w:p>
                <w:p>
                  <w:pPr>
                    <w:pStyle w:val="102"/>
                    <w:rPr>
                      <w:highlight w:val="none"/>
                    </w:rPr>
                  </w:pPr>
                  <w:r>
                    <w:rPr>
                      <w:highlight w:val="none"/>
                    </w:rPr>
                    <w:t>类别</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continue"/>
                  <w:tcBorders>
                    <w:tl2br w:val="nil"/>
                    <w:tr2bl w:val="nil"/>
                  </w:tcBorders>
                  <w:vAlign w:val="center"/>
                </w:tcPr>
                <w:p>
                  <w:pPr>
                    <w:pStyle w:val="102"/>
                    <w:rPr>
                      <w:highlight w:val="none"/>
                    </w:rPr>
                  </w:pPr>
                </w:p>
              </w:tc>
              <w:tc>
                <w:tcPr>
                  <w:tcW w:w="846" w:type="dxa"/>
                  <w:vMerge w:val="continue"/>
                  <w:tcBorders>
                    <w:tl2br w:val="nil"/>
                    <w:tr2bl w:val="nil"/>
                  </w:tcBorders>
                  <w:vAlign w:val="center"/>
                </w:tcPr>
                <w:p>
                  <w:pPr>
                    <w:pStyle w:val="102"/>
                    <w:rPr>
                      <w:highlight w:val="none"/>
                    </w:rPr>
                  </w:pPr>
                </w:p>
              </w:tc>
              <w:tc>
                <w:tcPr>
                  <w:tcW w:w="639" w:type="dxa"/>
                  <w:tcBorders>
                    <w:tl2br w:val="nil"/>
                    <w:tr2bl w:val="nil"/>
                  </w:tcBorders>
                  <w:vAlign w:val="center"/>
                </w:tcPr>
                <w:p>
                  <w:pPr>
                    <w:pStyle w:val="102"/>
                    <w:rPr>
                      <w:highlight w:val="none"/>
                    </w:rPr>
                  </w:pPr>
                  <w:r>
                    <w:rPr>
                      <w:highlight w:val="none"/>
                    </w:rPr>
                    <w:t>pH</w:t>
                  </w:r>
                </w:p>
              </w:tc>
              <w:tc>
                <w:tcPr>
                  <w:tcW w:w="884" w:type="dxa"/>
                  <w:tcBorders>
                    <w:tl2br w:val="nil"/>
                    <w:tr2bl w:val="nil"/>
                  </w:tcBorders>
                  <w:vAlign w:val="center"/>
                </w:tcPr>
                <w:p>
                  <w:pPr>
                    <w:pStyle w:val="102"/>
                    <w:rPr>
                      <w:highlight w:val="none"/>
                    </w:rPr>
                  </w:pPr>
                  <w:r>
                    <w:rPr>
                      <w:rFonts w:hint="eastAsia"/>
                      <w:highlight w:val="none"/>
                    </w:rPr>
                    <w:t>标准指数</w:t>
                  </w:r>
                </w:p>
              </w:tc>
              <w:tc>
                <w:tcPr>
                  <w:tcW w:w="663" w:type="dxa"/>
                  <w:tcBorders>
                    <w:tl2br w:val="nil"/>
                    <w:tr2bl w:val="nil"/>
                  </w:tcBorders>
                  <w:vAlign w:val="center"/>
                </w:tcPr>
                <w:p>
                  <w:pPr>
                    <w:pStyle w:val="102"/>
                    <w:rPr>
                      <w:highlight w:val="none"/>
                    </w:rPr>
                  </w:pPr>
                  <w:r>
                    <w:rPr>
                      <w:highlight w:val="none"/>
                    </w:rPr>
                    <w:t>COD</w:t>
                  </w:r>
                </w:p>
              </w:tc>
              <w:tc>
                <w:tcPr>
                  <w:tcW w:w="917" w:type="dxa"/>
                  <w:tcBorders>
                    <w:tl2br w:val="nil"/>
                    <w:tr2bl w:val="nil"/>
                  </w:tcBorders>
                  <w:vAlign w:val="center"/>
                </w:tcPr>
                <w:p>
                  <w:pPr>
                    <w:pStyle w:val="102"/>
                    <w:rPr>
                      <w:highlight w:val="none"/>
                    </w:rPr>
                  </w:pPr>
                  <w:r>
                    <w:rPr>
                      <w:rFonts w:hint="eastAsia"/>
                      <w:highlight w:val="none"/>
                    </w:rPr>
                    <w:t>标准指数</w:t>
                  </w:r>
                </w:p>
              </w:tc>
              <w:tc>
                <w:tcPr>
                  <w:tcW w:w="662" w:type="dxa"/>
                  <w:tcBorders>
                    <w:tl2br w:val="nil"/>
                    <w:tr2bl w:val="nil"/>
                  </w:tcBorders>
                  <w:vAlign w:val="center"/>
                </w:tcPr>
                <w:p>
                  <w:pPr>
                    <w:pStyle w:val="102"/>
                    <w:rPr>
                      <w:highlight w:val="none"/>
                    </w:rPr>
                  </w:pPr>
                  <w:r>
                    <w:rPr>
                      <w:highlight w:val="none"/>
                    </w:rPr>
                    <w:t>NH3-N</w:t>
                  </w:r>
                </w:p>
              </w:tc>
              <w:tc>
                <w:tcPr>
                  <w:tcW w:w="840" w:type="dxa"/>
                  <w:tcBorders>
                    <w:tl2br w:val="nil"/>
                    <w:tr2bl w:val="nil"/>
                  </w:tcBorders>
                  <w:vAlign w:val="center"/>
                </w:tcPr>
                <w:p>
                  <w:pPr>
                    <w:pStyle w:val="102"/>
                    <w:rPr>
                      <w:highlight w:val="none"/>
                    </w:rPr>
                  </w:pPr>
                  <w:r>
                    <w:rPr>
                      <w:rFonts w:hint="eastAsia"/>
                      <w:highlight w:val="none"/>
                    </w:rPr>
                    <w:t>标准指数</w:t>
                  </w:r>
                </w:p>
              </w:tc>
              <w:tc>
                <w:tcPr>
                  <w:tcW w:w="856" w:type="dxa"/>
                  <w:tcBorders>
                    <w:tl2br w:val="nil"/>
                    <w:tr2bl w:val="nil"/>
                  </w:tcBorders>
                  <w:vAlign w:val="center"/>
                </w:tcPr>
                <w:p>
                  <w:pPr>
                    <w:pStyle w:val="102"/>
                    <w:rPr>
                      <w:highlight w:val="none"/>
                    </w:rPr>
                  </w:pPr>
                  <w:r>
                    <w:rPr>
                      <w:highlight w:val="none"/>
                    </w:rPr>
                    <w:t>TP</w:t>
                  </w:r>
                </w:p>
              </w:tc>
              <w:tc>
                <w:tcPr>
                  <w:tcW w:w="921" w:type="dxa"/>
                  <w:tcBorders>
                    <w:tl2br w:val="nil"/>
                    <w:tr2bl w:val="nil"/>
                  </w:tcBorders>
                  <w:vAlign w:val="center"/>
                </w:tcPr>
                <w:p>
                  <w:pPr>
                    <w:pStyle w:val="102"/>
                    <w:rPr>
                      <w:highlight w:val="none"/>
                    </w:rPr>
                  </w:pPr>
                  <w:r>
                    <w:rPr>
                      <w:rFonts w:hint="eastAsia"/>
                      <w:highlight w:val="none"/>
                    </w:rPr>
                    <w:t>标准指数</w:t>
                  </w:r>
                </w:p>
              </w:tc>
              <w:tc>
                <w:tcPr>
                  <w:tcW w:w="652" w:type="dxa"/>
                  <w:vMerge w:val="continue"/>
                  <w:tcBorders>
                    <w:tl2br w:val="nil"/>
                    <w:tr2bl w:val="nil"/>
                  </w:tcBorders>
                  <w:vAlign w:val="center"/>
                </w:tcPr>
                <w:p>
                  <w:pPr>
                    <w:pStyle w:val="102"/>
                    <w:rPr>
                      <w:highlight w:val="none"/>
                    </w:rPr>
                  </w:pP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restart"/>
                  <w:tcBorders>
                    <w:tl2br w:val="nil"/>
                    <w:tr2bl w:val="nil"/>
                  </w:tcBorders>
                  <w:vAlign w:val="center"/>
                </w:tcPr>
                <w:p>
                  <w:pPr>
                    <w:pStyle w:val="102"/>
                    <w:rPr>
                      <w:highlight w:val="none"/>
                    </w:rPr>
                  </w:pPr>
                  <w:r>
                    <w:rPr>
                      <w:rFonts w:hint="eastAsia"/>
                      <w:highlight w:val="none"/>
                    </w:rPr>
                    <w:t>三八港</w:t>
                  </w:r>
                </w:p>
                <w:p>
                  <w:pPr>
                    <w:pStyle w:val="102"/>
                    <w:rPr>
                      <w:highlight w:val="none"/>
                    </w:rPr>
                  </w:pPr>
                  <w:r>
                    <w:rPr>
                      <w:rFonts w:hint="eastAsia"/>
                      <w:highlight w:val="none"/>
                    </w:rPr>
                    <w:t>（入蓼花池）</w:t>
                  </w:r>
                </w:p>
              </w:tc>
              <w:tc>
                <w:tcPr>
                  <w:tcW w:w="846" w:type="dxa"/>
                  <w:tcBorders>
                    <w:tl2br w:val="nil"/>
                    <w:tr2bl w:val="nil"/>
                  </w:tcBorders>
                  <w:vAlign w:val="center"/>
                </w:tcPr>
                <w:p>
                  <w:pPr>
                    <w:pStyle w:val="102"/>
                    <w:rPr>
                      <w:highlight w:val="none"/>
                    </w:rPr>
                  </w:pPr>
                  <w:r>
                    <w:rPr>
                      <w:rFonts w:hint="eastAsia"/>
                      <w:highlight w:val="none"/>
                    </w:rPr>
                    <w:t>2025.01</w:t>
                  </w:r>
                </w:p>
              </w:tc>
              <w:tc>
                <w:tcPr>
                  <w:tcW w:w="639" w:type="dxa"/>
                  <w:tcBorders>
                    <w:tl2br w:val="nil"/>
                    <w:tr2bl w:val="nil"/>
                  </w:tcBorders>
                  <w:vAlign w:val="center"/>
                </w:tcPr>
                <w:p>
                  <w:pPr>
                    <w:pStyle w:val="102"/>
                    <w:rPr>
                      <w:highlight w:val="none"/>
                    </w:rPr>
                  </w:pPr>
                  <w:r>
                    <w:rPr>
                      <w:rFonts w:hint="eastAsia"/>
                      <w:highlight w:val="none"/>
                    </w:rPr>
                    <w:t>7.4</w:t>
                  </w:r>
                </w:p>
              </w:tc>
              <w:tc>
                <w:tcPr>
                  <w:tcW w:w="884" w:type="dxa"/>
                  <w:tcBorders>
                    <w:tl2br w:val="nil"/>
                    <w:tr2bl w:val="nil"/>
                  </w:tcBorders>
                  <w:vAlign w:val="center"/>
                </w:tcPr>
                <w:p>
                  <w:pPr>
                    <w:pStyle w:val="102"/>
                    <w:rPr>
                      <w:highlight w:val="none"/>
                    </w:rPr>
                  </w:pPr>
                  <w:r>
                    <w:rPr>
                      <w:rFonts w:hint="eastAsia"/>
                      <w:highlight w:val="none"/>
                    </w:rPr>
                    <w:t xml:space="preserve">0.20 </w:t>
                  </w:r>
                </w:p>
              </w:tc>
              <w:tc>
                <w:tcPr>
                  <w:tcW w:w="663" w:type="dxa"/>
                  <w:tcBorders>
                    <w:tl2br w:val="nil"/>
                    <w:tr2bl w:val="nil"/>
                  </w:tcBorders>
                  <w:vAlign w:val="center"/>
                </w:tcPr>
                <w:p>
                  <w:pPr>
                    <w:pStyle w:val="102"/>
                    <w:rPr>
                      <w:highlight w:val="none"/>
                    </w:rPr>
                  </w:pPr>
                  <w:r>
                    <w:rPr>
                      <w:highlight w:val="none"/>
                    </w:rPr>
                    <w:t>16</w:t>
                  </w:r>
                </w:p>
              </w:tc>
              <w:tc>
                <w:tcPr>
                  <w:tcW w:w="917" w:type="dxa"/>
                  <w:tcBorders>
                    <w:tl2br w:val="nil"/>
                    <w:tr2bl w:val="nil"/>
                  </w:tcBorders>
                  <w:vAlign w:val="center"/>
                </w:tcPr>
                <w:p>
                  <w:pPr>
                    <w:pStyle w:val="102"/>
                    <w:rPr>
                      <w:highlight w:val="none"/>
                    </w:rPr>
                  </w:pPr>
                  <w:r>
                    <w:rPr>
                      <w:highlight w:val="none"/>
                    </w:rPr>
                    <w:t xml:space="preserve">0.80 </w:t>
                  </w:r>
                </w:p>
              </w:tc>
              <w:tc>
                <w:tcPr>
                  <w:tcW w:w="662" w:type="dxa"/>
                  <w:tcBorders>
                    <w:tl2br w:val="nil"/>
                    <w:tr2bl w:val="nil"/>
                  </w:tcBorders>
                  <w:vAlign w:val="center"/>
                </w:tcPr>
                <w:p>
                  <w:pPr>
                    <w:pStyle w:val="102"/>
                    <w:rPr>
                      <w:highlight w:val="none"/>
                    </w:rPr>
                  </w:pPr>
                  <w:r>
                    <w:rPr>
                      <w:rFonts w:hint="eastAsia"/>
                      <w:highlight w:val="none"/>
                    </w:rPr>
                    <w:t>0.953</w:t>
                  </w:r>
                </w:p>
              </w:tc>
              <w:tc>
                <w:tcPr>
                  <w:tcW w:w="840" w:type="dxa"/>
                  <w:tcBorders>
                    <w:tl2br w:val="nil"/>
                    <w:tr2bl w:val="nil"/>
                  </w:tcBorders>
                  <w:vAlign w:val="center"/>
                </w:tcPr>
                <w:p>
                  <w:pPr>
                    <w:pStyle w:val="102"/>
                    <w:rPr>
                      <w:highlight w:val="none"/>
                    </w:rPr>
                  </w:pPr>
                  <w:r>
                    <w:rPr>
                      <w:rFonts w:hint="eastAsia"/>
                      <w:highlight w:val="none"/>
                    </w:rPr>
                    <w:t xml:space="preserve">0.95 </w:t>
                  </w:r>
                </w:p>
              </w:tc>
              <w:tc>
                <w:tcPr>
                  <w:tcW w:w="856" w:type="dxa"/>
                  <w:tcBorders>
                    <w:tl2br w:val="nil"/>
                    <w:tr2bl w:val="nil"/>
                  </w:tcBorders>
                  <w:vAlign w:val="center"/>
                </w:tcPr>
                <w:p>
                  <w:pPr>
                    <w:pStyle w:val="102"/>
                    <w:rPr>
                      <w:highlight w:val="none"/>
                    </w:rPr>
                  </w:pPr>
                  <w:r>
                    <w:rPr>
                      <w:rFonts w:hint="eastAsia"/>
                      <w:highlight w:val="none"/>
                    </w:rPr>
                    <w:t>0.05</w:t>
                  </w:r>
                </w:p>
                <w:p>
                  <w:pPr>
                    <w:pStyle w:val="102"/>
                    <w:rPr>
                      <w:highlight w:val="none"/>
                    </w:rPr>
                  </w:pPr>
                  <w:r>
                    <w:rPr>
                      <w:rFonts w:hint="eastAsia"/>
                      <w:highlight w:val="none"/>
                    </w:rPr>
                    <w:t>（河流）</w:t>
                  </w:r>
                </w:p>
              </w:tc>
              <w:tc>
                <w:tcPr>
                  <w:tcW w:w="921" w:type="dxa"/>
                  <w:tcBorders>
                    <w:tl2br w:val="nil"/>
                    <w:tr2bl w:val="nil"/>
                  </w:tcBorders>
                  <w:vAlign w:val="center"/>
                </w:tcPr>
                <w:p>
                  <w:pPr>
                    <w:pStyle w:val="102"/>
                    <w:rPr>
                      <w:highlight w:val="none"/>
                    </w:rPr>
                  </w:pPr>
                  <w:r>
                    <w:rPr>
                      <w:rFonts w:hint="eastAsia"/>
                      <w:highlight w:val="none"/>
                    </w:rPr>
                    <w:t xml:space="preserve">0.25 </w:t>
                  </w:r>
                </w:p>
              </w:tc>
              <w:tc>
                <w:tcPr>
                  <w:tcW w:w="652" w:type="dxa"/>
                  <w:tcBorders>
                    <w:tl2br w:val="nil"/>
                    <w:tr2bl w:val="nil"/>
                  </w:tcBorders>
                  <w:vAlign w:val="center"/>
                </w:tcPr>
                <w:p>
                  <w:pPr>
                    <w:pStyle w:val="102"/>
                    <w:rPr>
                      <w:highlight w:val="none"/>
                    </w:rPr>
                  </w:pPr>
                  <w:r>
                    <w:rPr>
                      <w:highlight w:val="none"/>
                    </w:rPr>
                    <w:t>Ⅲ类</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continue"/>
                  <w:tcBorders>
                    <w:tl2br w:val="nil"/>
                    <w:tr2bl w:val="nil"/>
                  </w:tcBorders>
                  <w:vAlign w:val="center"/>
                </w:tcPr>
                <w:p>
                  <w:pPr>
                    <w:pStyle w:val="102"/>
                    <w:rPr>
                      <w:highlight w:val="none"/>
                    </w:rPr>
                  </w:pPr>
                </w:p>
              </w:tc>
              <w:tc>
                <w:tcPr>
                  <w:tcW w:w="846" w:type="dxa"/>
                  <w:tcBorders>
                    <w:tl2br w:val="nil"/>
                    <w:tr2bl w:val="nil"/>
                  </w:tcBorders>
                  <w:vAlign w:val="center"/>
                </w:tcPr>
                <w:p>
                  <w:pPr>
                    <w:pStyle w:val="102"/>
                    <w:rPr>
                      <w:highlight w:val="none"/>
                    </w:rPr>
                  </w:pPr>
                  <w:r>
                    <w:rPr>
                      <w:rFonts w:hint="eastAsia"/>
                      <w:highlight w:val="none"/>
                    </w:rPr>
                    <w:t>2025.02</w:t>
                  </w:r>
                </w:p>
              </w:tc>
              <w:tc>
                <w:tcPr>
                  <w:tcW w:w="639" w:type="dxa"/>
                  <w:tcBorders>
                    <w:tl2br w:val="nil"/>
                    <w:tr2bl w:val="nil"/>
                  </w:tcBorders>
                  <w:vAlign w:val="center"/>
                </w:tcPr>
                <w:p>
                  <w:pPr>
                    <w:pStyle w:val="102"/>
                    <w:rPr>
                      <w:highlight w:val="none"/>
                    </w:rPr>
                  </w:pPr>
                  <w:r>
                    <w:rPr>
                      <w:rFonts w:hint="eastAsia"/>
                      <w:highlight w:val="none"/>
                    </w:rPr>
                    <w:t>7.4</w:t>
                  </w:r>
                </w:p>
              </w:tc>
              <w:tc>
                <w:tcPr>
                  <w:tcW w:w="884" w:type="dxa"/>
                  <w:tcBorders>
                    <w:tl2br w:val="nil"/>
                    <w:tr2bl w:val="nil"/>
                  </w:tcBorders>
                  <w:vAlign w:val="center"/>
                </w:tcPr>
                <w:p>
                  <w:pPr>
                    <w:pStyle w:val="102"/>
                    <w:rPr>
                      <w:highlight w:val="none"/>
                    </w:rPr>
                  </w:pPr>
                  <w:r>
                    <w:rPr>
                      <w:rFonts w:hint="eastAsia"/>
                      <w:highlight w:val="none"/>
                    </w:rPr>
                    <w:t xml:space="preserve">0.20 </w:t>
                  </w:r>
                </w:p>
              </w:tc>
              <w:tc>
                <w:tcPr>
                  <w:tcW w:w="663" w:type="dxa"/>
                  <w:tcBorders>
                    <w:tl2br w:val="nil"/>
                    <w:tr2bl w:val="nil"/>
                  </w:tcBorders>
                  <w:vAlign w:val="center"/>
                </w:tcPr>
                <w:p>
                  <w:pPr>
                    <w:pStyle w:val="102"/>
                    <w:rPr>
                      <w:highlight w:val="none"/>
                    </w:rPr>
                  </w:pPr>
                  <w:r>
                    <w:rPr>
                      <w:rFonts w:hint="eastAsia"/>
                      <w:highlight w:val="none"/>
                    </w:rPr>
                    <w:t>13</w:t>
                  </w:r>
                </w:p>
              </w:tc>
              <w:tc>
                <w:tcPr>
                  <w:tcW w:w="917" w:type="dxa"/>
                  <w:tcBorders>
                    <w:tl2br w:val="nil"/>
                    <w:tr2bl w:val="nil"/>
                  </w:tcBorders>
                  <w:vAlign w:val="center"/>
                </w:tcPr>
                <w:p>
                  <w:pPr>
                    <w:pStyle w:val="102"/>
                    <w:rPr>
                      <w:highlight w:val="none"/>
                    </w:rPr>
                  </w:pPr>
                  <w:r>
                    <w:rPr>
                      <w:highlight w:val="none"/>
                    </w:rPr>
                    <w:t xml:space="preserve">0.65 </w:t>
                  </w:r>
                </w:p>
              </w:tc>
              <w:tc>
                <w:tcPr>
                  <w:tcW w:w="662" w:type="dxa"/>
                  <w:tcBorders>
                    <w:tl2br w:val="nil"/>
                    <w:tr2bl w:val="nil"/>
                  </w:tcBorders>
                  <w:vAlign w:val="center"/>
                </w:tcPr>
                <w:p>
                  <w:pPr>
                    <w:pStyle w:val="102"/>
                    <w:rPr>
                      <w:highlight w:val="none"/>
                    </w:rPr>
                  </w:pPr>
                  <w:r>
                    <w:rPr>
                      <w:rFonts w:hint="eastAsia"/>
                      <w:highlight w:val="none"/>
                    </w:rPr>
                    <w:t>0.593</w:t>
                  </w:r>
                </w:p>
              </w:tc>
              <w:tc>
                <w:tcPr>
                  <w:tcW w:w="840" w:type="dxa"/>
                  <w:tcBorders>
                    <w:tl2br w:val="nil"/>
                    <w:tr2bl w:val="nil"/>
                  </w:tcBorders>
                  <w:vAlign w:val="center"/>
                </w:tcPr>
                <w:p>
                  <w:pPr>
                    <w:pStyle w:val="102"/>
                    <w:rPr>
                      <w:highlight w:val="none"/>
                    </w:rPr>
                  </w:pPr>
                  <w:r>
                    <w:rPr>
                      <w:rFonts w:hint="eastAsia"/>
                      <w:highlight w:val="none"/>
                    </w:rPr>
                    <w:t xml:space="preserve">0.59 </w:t>
                  </w:r>
                </w:p>
              </w:tc>
              <w:tc>
                <w:tcPr>
                  <w:tcW w:w="856" w:type="dxa"/>
                  <w:tcBorders>
                    <w:tl2br w:val="nil"/>
                    <w:tr2bl w:val="nil"/>
                  </w:tcBorders>
                  <w:vAlign w:val="center"/>
                </w:tcPr>
                <w:p>
                  <w:pPr>
                    <w:pStyle w:val="102"/>
                    <w:rPr>
                      <w:highlight w:val="none"/>
                    </w:rPr>
                  </w:pPr>
                  <w:r>
                    <w:rPr>
                      <w:rFonts w:hint="eastAsia"/>
                      <w:highlight w:val="none"/>
                    </w:rPr>
                    <w:t>0.07</w:t>
                  </w:r>
                </w:p>
                <w:p>
                  <w:pPr>
                    <w:pStyle w:val="102"/>
                    <w:rPr>
                      <w:highlight w:val="none"/>
                    </w:rPr>
                  </w:pPr>
                  <w:r>
                    <w:rPr>
                      <w:rFonts w:hint="eastAsia"/>
                      <w:highlight w:val="none"/>
                    </w:rPr>
                    <w:t>（河流）</w:t>
                  </w:r>
                </w:p>
              </w:tc>
              <w:tc>
                <w:tcPr>
                  <w:tcW w:w="921" w:type="dxa"/>
                  <w:tcBorders>
                    <w:tl2br w:val="nil"/>
                    <w:tr2bl w:val="nil"/>
                  </w:tcBorders>
                  <w:vAlign w:val="center"/>
                </w:tcPr>
                <w:p>
                  <w:pPr>
                    <w:pStyle w:val="102"/>
                    <w:rPr>
                      <w:highlight w:val="none"/>
                    </w:rPr>
                  </w:pPr>
                  <w:r>
                    <w:rPr>
                      <w:rFonts w:hint="eastAsia"/>
                      <w:highlight w:val="none"/>
                    </w:rPr>
                    <w:t xml:space="preserve">0.35 </w:t>
                  </w:r>
                </w:p>
              </w:tc>
              <w:tc>
                <w:tcPr>
                  <w:tcW w:w="652" w:type="dxa"/>
                  <w:tcBorders>
                    <w:tl2br w:val="nil"/>
                    <w:tr2bl w:val="nil"/>
                  </w:tcBorders>
                  <w:vAlign w:val="center"/>
                </w:tcPr>
                <w:p>
                  <w:pPr>
                    <w:pStyle w:val="102"/>
                    <w:rPr>
                      <w:highlight w:val="none"/>
                    </w:rPr>
                  </w:pPr>
                  <w:r>
                    <w:rPr>
                      <w:highlight w:val="none"/>
                    </w:rPr>
                    <w:t>Ⅲ类</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continue"/>
                  <w:tcBorders>
                    <w:tl2br w:val="nil"/>
                    <w:tr2bl w:val="nil"/>
                  </w:tcBorders>
                  <w:vAlign w:val="center"/>
                </w:tcPr>
                <w:p>
                  <w:pPr>
                    <w:pStyle w:val="102"/>
                    <w:rPr>
                      <w:highlight w:val="none"/>
                    </w:rPr>
                  </w:pPr>
                </w:p>
              </w:tc>
              <w:tc>
                <w:tcPr>
                  <w:tcW w:w="846" w:type="dxa"/>
                  <w:tcBorders>
                    <w:tl2br w:val="nil"/>
                    <w:tr2bl w:val="nil"/>
                  </w:tcBorders>
                  <w:vAlign w:val="center"/>
                </w:tcPr>
                <w:p>
                  <w:pPr>
                    <w:pStyle w:val="102"/>
                    <w:rPr>
                      <w:highlight w:val="none"/>
                    </w:rPr>
                  </w:pPr>
                  <w:r>
                    <w:rPr>
                      <w:rFonts w:hint="eastAsia"/>
                      <w:highlight w:val="none"/>
                    </w:rPr>
                    <w:t>2025.03</w:t>
                  </w:r>
                </w:p>
              </w:tc>
              <w:tc>
                <w:tcPr>
                  <w:tcW w:w="639" w:type="dxa"/>
                  <w:tcBorders>
                    <w:tl2br w:val="nil"/>
                    <w:tr2bl w:val="nil"/>
                  </w:tcBorders>
                  <w:vAlign w:val="center"/>
                </w:tcPr>
                <w:p>
                  <w:pPr>
                    <w:pStyle w:val="102"/>
                    <w:rPr>
                      <w:highlight w:val="none"/>
                    </w:rPr>
                  </w:pPr>
                  <w:r>
                    <w:rPr>
                      <w:rFonts w:hint="eastAsia"/>
                      <w:highlight w:val="none"/>
                    </w:rPr>
                    <w:t>6.8</w:t>
                  </w:r>
                </w:p>
              </w:tc>
              <w:tc>
                <w:tcPr>
                  <w:tcW w:w="884" w:type="dxa"/>
                  <w:tcBorders>
                    <w:tl2br w:val="nil"/>
                    <w:tr2bl w:val="nil"/>
                  </w:tcBorders>
                  <w:vAlign w:val="center"/>
                </w:tcPr>
                <w:p>
                  <w:pPr>
                    <w:pStyle w:val="102"/>
                    <w:rPr>
                      <w:highlight w:val="none"/>
                    </w:rPr>
                  </w:pPr>
                  <w:r>
                    <w:rPr>
                      <w:rFonts w:hint="eastAsia"/>
                      <w:highlight w:val="none"/>
                    </w:rPr>
                    <w:t xml:space="preserve">0.20 </w:t>
                  </w:r>
                </w:p>
              </w:tc>
              <w:tc>
                <w:tcPr>
                  <w:tcW w:w="663" w:type="dxa"/>
                  <w:tcBorders>
                    <w:tl2br w:val="nil"/>
                    <w:tr2bl w:val="nil"/>
                  </w:tcBorders>
                  <w:vAlign w:val="center"/>
                </w:tcPr>
                <w:p>
                  <w:pPr>
                    <w:pStyle w:val="102"/>
                    <w:rPr>
                      <w:highlight w:val="none"/>
                    </w:rPr>
                  </w:pPr>
                  <w:r>
                    <w:rPr>
                      <w:rFonts w:hint="eastAsia"/>
                      <w:highlight w:val="none"/>
                    </w:rPr>
                    <w:t>19</w:t>
                  </w:r>
                </w:p>
              </w:tc>
              <w:tc>
                <w:tcPr>
                  <w:tcW w:w="917" w:type="dxa"/>
                  <w:tcBorders>
                    <w:tl2br w:val="nil"/>
                    <w:tr2bl w:val="nil"/>
                  </w:tcBorders>
                  <w:vAlign w:val="center"/>
                </w:tcPr>
                <w:p>
                  <w:pPr>
                    <w:pStyle w:val="102"/>
                    <w:rPr>
                      <w:highlight w:val="none"/>
                    </w:rPr>
                  </w:pPr>
                  <w:r>
                    <w:rPr>
                      <w:highlight w:val="none"/>
                    </w:rPr>
                    <w:t xml:space="preserve">0.95 </w:t>
                  </w:r>
                </w:p>
              </w:tc>
              <w:tc>
                <w:tcPr>
                  <w:tcW w:w="662" w:type="dxa"/>
                  <w:tcBorders>
                    <w:tl2br w:val="nil"/>
                    <w:tr2bl w:val="nil"/>
                  </w:tcBorders>
                  <w:vAlign w:val="center"/>
                </w:tcPr>
                <w:p>
                  <w:pPr>
                    <w:pStyle w:val="102"/>
                    <w:rPr>
                      <w:highlight w:val="none"/>
                    </w:rPr>
                  </w:pPr>
                  <w:r>
                    <w:rPr>
                      <w:rFonts w:hint="eastAsia"/>
                      <w:highlight w:val="none"/>
                    </w:rPr>
                    <w:t>0.304</w:t>
                  </w:r>
                </w:p>
              </w:tc>
              <w:tc>
                <w:tcPr>
                  <w:tcW w:w="840" w:type="dxa"/>
                  <w:tcBorders>
                    <w:tl2br w:val="nil"/>
                    <w:tr2bl w:val="nil"/>
                  </w:tcBorders>
                  <w:vAlign w:val="center"/>
                </w:tcPr>
                <w:p>
                  <w:pPr>
                    <w:pStyle w:val="102"/>
                    <w:rPr>
                      <w:highlight w:val="none"/>
                    </w:rPr>
                  </w:pPr>
                  <w:r>
                    <w:rPr>
                      <w:rFonts w:hint="eastAsia"/>
                      <w:highlight w:val="none"/>
                    </w:rPr>
                    <w:t xml:space="preserve">0.30 </w:t>
                  </w:r>
                </w:p>
              </w:tc>
              <w:tc>
                <w:tcPr>
                  <w:tcW w:w="856" w:type="dxa"/>
                  <w:tcBorders>
                    <w:tl2br w:val="nil"/>
                    <w:tr2bl w:val="nil"/>
                  </w:tcBorders>
                  <w:vAlign w:val="center"/>
                </w:tcPr>
                <w:p>
                  <w:pPr>
                    <w:pStyle w:val="102"/>
                    <w:rPr>
                      <w:highlight w:val="none"/>
                    </w:rPr>
                  </w:pPr>
                  <w:r>
                    <w:rPr>
                      <w:rFonts w:hint="eastAsia"/>
                      <w:highlight w:val="none"/>
                    </w:rPr>
                    <w:t>0.06</w:t>
                  </w:r>
                </w:p>
                <w:p>
                  <w:pPr>
                    <w:pStyle w:val="102"/>
                    <w:rPr>
                      <w:highlight w:val="none"/>
                    </w:rPr>
                  </w:pPr>
                  <w:r>
                    <w:rPr>
                      <w:rFonts w:hint="eastAsia"/>
                      <w:highlight w:val="none"/>
                    </w:rPr>
                    <w:t>（河流）</w:t>
                  </w:r>
                </w:p>
              </w:tc>
              <w:tc>
                <w:tcPr>
                  <w:tcW w:w="921" w:type="dxa"/>
                  <w:tcBorders>
                    <w:tl2br w:val="nil"/>
                    <w:tr2bl w:val="nil"/>
                  </w:tcBorders>
                  <w:vAlign w:val="center"/>
                </w:tcPr>
                <w:p>
                  <w:pPr>
                    <w:pStyle w:val="102"/>
                    <w:rPr>
                      <w:highlight w:val="none"/>
                    </w:rPr>
                  </w:pPr>
                  <w:r>
                    <w:rPr>
                      <w:rFonts w:hint="eastAsia"/>
                      <w:highlight w:val="none"/>
                    </w:rPr>
                    <w:t xml:space="preserve">0.30 </w:t>
                  </w:r>
                </w:p>
              </w:tc>
              <w:tc>
                <w:tcPr>
                  <w:tcW w:w="652" w:type="dxa"/>
                  <w:tcBorders>
                    <w:tl2br w:val="nil"/>
                    <w:tr2bl w:val="nil"/>
                  </w:tcBorders>
                  <w:vAlign w:val="center"/>
                </w:tcPr>
                <w:p>
                  <w:pPr>
                    <w:pStyle w:val="102"/>
                    <w:rPr>
                      <w:highlight w:val="none"/>
                    </w:rPr>
                  </w:pPr>
                  <w:r>
                    <w:rPr>
                      <w:highlight w:val="none"/>
                    </w:rPr>
                    <w:t>Ⅲ类</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24" w:hRule="atLeast"/>
                <w:jc w:val="center"/>
              </w:trPr>
              <w:tc>
                <w:tcPr>
                  <w:tcW w:w="755" w:type="dxa"/>
                  <w:vMerge w:val="continue"/>
                  <w:tcBorders>
                    <w:tl2br w:val="nil"/>
                    <w:tr2bl w:val="nil"/>
                  </w:tcBorders>
                  <w:vAlign w:val="center"/>
                </w:tcPr>
                <w:p>
                  <w:pPr>
                    <w:pStyle w:val="102"/>
                    <w:rPr>
                      <w:highlight w:val="none"/>
                    </w:rPr>
                  </w:pPr>
                </w:p>
              </w:tc>
              <w:tc>
                <w:tcPr>
                  <w:tcW w:w="846" w:type="dxa"/>
                  <w:tcBorders>
                    <w:tl2br w:val="nil"/>
                    <w:tr2bl w:val="nil"/>
                  </w:tcBorders>
                  <w:vAlign w:val="center"/>
                </w:tcPr>
                <w:p>
                  <w:pPr>
                    <w:pStyle w:val="102"/>
                    <w:rPr>
                      <w:highlight w:val="none"/>
                    </w:rPr>
                  </w:pPr>
                  <w:r>
                    <w:rPr>
                      <w:rFonts w:hint="eastAsia"/>
                      <w:highlight w:val="none"/>
                    </w:rPr>
                    <w:t>2025.04</w:t>
                  </w:r>
                </w:p>
              </w:tc>
              <w:tc>
                <w:tcPr>
                  <w:tcW w:w="639" w:type="dxa"/>
                  <w:tcBorders>
                    <w:tl2br w:val="nil"/>
                    <w:tr2bl w:val="nil"/>
                  </w:tcBorders>
                  <w:vAlign w:val="center"/>
                </w:tcPr>
                <w:p>
                  <w:pPr>
                    <w:pStyle w:val="102"/>
                    <w:rPr>
                      <w:highlight w:val="none"/>
                    </w:rPr>
                  </w:pPr>
                  <w:r>
                    <w:rPr>
                      <w:rFonts w:hint="eastAsia"/>
                      <w:highlight w:val="none"/>
                    </w:rPr>
                    <w:t>7.2</w:t>
                  </w:r>
                </w:p>
              </w:tc>
              <w:tc>
                <w:tcPr>
                  <w:tcW w:w="884" w:type="dxa"/>
                  <w:tcBorders>
                    <w:tl2br w:val="nil"/>
                    <w:tr2bl w:val="nil"/>
                  </w:tcBorders>
                  <w:vAlign w:val="center"/>
                </w:tcPr>
                <w:p>
                  <w:pPr>
                    <w:pStyle w:val="102"/>
                    <w:rPr>
                      <w:highlight w:val="none"/>
                    </w:rPr>
                  </w:pPr>
                  <w:r>
                    <w:rPr>
                      <w:rFonts w:hint="eastAsia"/>
                      <w:highlight w:val="none"/>
                    </w:rPr>
                    <w:t xml:space="preserve">0.10 </w:t>
                  </w:r>
                </w:p>
              </w:tc>
              <w:tc>
                <w:tcPr>
                  <w:tcW w:w="663" w:type="dxa"/>
                  <w:tcBorders>
                    <w:tl2br w:val="nil"/>
                    <w:tr2bl w:val="nil"/>
                  </w:tcBorders>
                  <w:vAlign w:val="center"/>
                </w:tcPr>
                <w:p>
                  <w:pPr>
                    <w:pStyle w:val="102"/>
                    <w:rPr>
                      <w:highlight w:val="none"/>
                    </w:rPr>
                  </w:pPr>
                  <w:r>
                    <w:rPr>
                      <w:rFonts w:hint="eastAsia"/>
                      <w:highlight w:val="none"/>
                    </w:rPr>
                    <w:t>18</w:t>
                  </w:r>
                </w:p>
              </w:tc>
              <w:tc>
                <w:tcPr>
                  <w:tcW w:w="917" w:type="dxa"/>
                  <w:tcBorders>
                    <w:tl2br w:val="nil"/>
                    <w:tr2bl w:val="nil"/>
                  </w:tcBorders>
                  <w:vAlign w:val="center"/>
                </w:tcPr>
                <w:p>
                  <w:pPr>
                    <w:pStyle w:val="102"/>
                    <w:rPr>
                      <w:highlight w:val="none"/>
                    </w:rPr>
                  </w:pPr>
                  <w:r>
                    <w:rPr>
                      <w:highlight w:val="none"/>
                    </w:rPr>
                    <w:t xml:space="preserve">0.90 </w:t>
                  </w:r>
                </w:p>
              </w:tc>
              <w:tc>
                <w:tcPr>
                  <w:tcW w:w="662" w:type="dxa"/>
                  <w:tcBorders>
                    <w:tl2br w:val="nil"/>
                    <w:tr2bl w:val="nil"/>
                  </w:tcBorders>
                  <w:vAlign w:val="center"/>
                </w:tcPr>
                <w:p>
                  <w:pPr>
                    <w:pStyle w:val="102"/>
                    <w:rPr>
                      <w:highlight w:val="none"/>
                    </w:rPr>
                  </w:pPr>
                  <w:r>
                    <w:rPr>
                      <w:rFonts w:hint="eastAsia"/>
                      <w:highlight w:val="none"/>
                    </w:rPr>
                    <w:t>0.401</w:t>
                  </w:r>
                </w:p>
              </w:tc>
              <w:tc>
                <w:tcPr>
                  <w:tcW w:w="840" w:type="dxa"/>
                  <w:tcBorders>
                    <w:tl2br w:val="nil"/>
                    <w:tr2bl w:val="nil"/>
                  </w:tcBorders>
                  <w:vAlign w:val="center"/>
                </w:tcPr>
                <w:p>
                  <w:pPr>
                    <w:pStyle w:val="102"/>
                    <w:rPr>
                      <w:highlight w:val="none"/>
                    </w:rPr>
                  </w:pPr>
                  <w:r>
                    <w:rPr>
                      <w:rFonts w:hint="eastAsia"/>
                      <w:highlight w:val="none"/>
                    </w:rPr>
                    <w:t xml:space="preserve">0.40 </w:t>
                  </w:r>
                </w:p>
              </w:tc>
              <w:tc>
                <w:tcPr>
                  <w:tcW w:w="856" w:type="dxa"/>
                  <w:tcBorders>
                    <w:tl2br w:val="nil"/>
                    <w:tr2bl w:val="nil"/>
                  </w:tcBorders>
                  <w:vAlign w:val="center"/>
                </w:tcPr>
                <w:p>
                  <w:pPr>
                    <w:pStyle w:val="102"/>
                    <w:rPr>
                      <w:highlight w:val="none"/>
                    </w:rPr>
                  </w:pPr>
                  <w:r>
                    <w:rPr>
                      <w:rFonts w:hint="eastAsia"/>
                      <w:highlight w:val="none"/>
                    </w:rPr>
                    <w:t>0.10</w:t>
                  </w:r>
                </w:p>
                <w:p>
                  <w:pPr>
                    <w:pStyle w:val="102"/>
                    <w:rPr>
                      <w:highlight w:val="none"/>
                    </w:rPr>
                  </w:pPr>
                  <w:r>
                    <w:rPr>
                      <w:rFonts w:hint="eastAsia"/>
                      <w:highlight w:val="none"/>
                    </w:rPr>
                    <w:t>（河流）</w:t>
                  </w:r>
                </w:p>
              </w:tc>
              <w:tc>
                <w:tcPr>
                  <w:tcW w:w="921" w:type="dxa"/>
                  <w:tcBorders>
                    <w:tl2br w:val="nil"/>
                    <w:tr2bl w:val="nil"/>
                  </w:tcBorders>
                  <w:vAlign w:val="center"/>
                </w:tcPr>
                <w:p>
                  <w:pPr>
                    <w:pStyle w:val="102"/>
                    <w:rPr>
                      <w:highlight w:val="none"/>
                    </w:rPr>
                  </w:pPr>
                  <w:r>
                    <w:rPr>
                      <w:rFonts w:hint="eastAsia"/>
                      <w:highlight w:val="none"/>
                    </w:rPr>
                    <w:t xml:space="preserve">0.50 </w:t>
                  </w:r>
                </w:p>
              </w:tc>
              <w:tc>
                <w:tcPr>
                  <w:tcW w:w="652" w:type="dxa"/>
                  <w:tcBorders>
                    <w:tl2br w:val="nil"/>
                    <w:tr2bl w:val="nil"/>
                  </w:tcBorders>
                  <w:vAlign w:val="center"/>
                </w:tcPr>
                <w:p>
                  <w:pPr>
                    <w:pStyle w:val="102"/>
                    <w:rPr>
                      <w:highlight w:val="none"/>
                    </w:rPr>
                  </w:pPr>
                  <w:r>
                    <w:rPr>
                      <w:highlight w:val="none"/>
                    </w:rPr>
                    <w:t>Ⅲ类</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continue"/>
                  <w:tcBorders>
                    <w:tl2br w:val="nil"/>
                    <w:tr2bl w:val="nil"/>
                  </w:tcBorders>
                  <w:vAlign w:val="center"/>
                </w:tcPr>
                <w:p>
                  <w:pPr>
                    <w:pStyle w:val="102"/>
                    <w:rPr>
                      <w:highlight w:val="none"/>
                    </w:rPr>
                  </w:pPr>
                </w:p>
              </w:tc>
              <w:tc>
                <w:tcPr>
                  <w:tcW w:w="846" w:type="dxa"/>
                  <w:tcBorders>
                    <w:tl2br w:val="nil"/>
                    <w:tr2bl w:val="nil"/>
                  </w:tcBorders>
                  <w:vAlign w:val="center"/>
                </w:tcPr>
                <w:p>
                  <w:pPr>
                    <w:pStyle w:val="102"/>
                    <w:rPr>
                      <w:highlight w:val="none"/>
                    </w:rPr>
                  </w:pPr>
                  <w:r>
                    <w:rPr>
                      <w:rFonts w:hint="eastAsia"/>
                      <w:highlight w:val="none"/>
                    </w:rPr>
                    <w:t>2025.05</w:t>
                  </w:r>
                </w:p>
              </w:tc>
              <w:tc>
                <w:tcPr>
                  <w:tcW w:w="639" w:type="dxa"/>
                  <w:tcBorders>
                    <w:tl2br w:val="nil"/>
                    <w:tr2bl w:val="nil"/>
                  </w:tcBorders>
                  <w:vAlign w:val="center"/>
                </w:tcPr>
                <w:p>
                  <w:pPr>
                    <w:pStyle w:val="102"/>
                    <w:rPr>
                      <w:highlight w:val="none"/>
                    </w:rPr>
                  </w:pPr>
                  <w:r>
                    <w:rPr>
                      <w:rFonts w:hint="eastAsia"/>
                      <w:highlight w:val="none"/>
                    </w:rPr>
                    <w:t>7.2</w:t>
                  </w:r>
                </w:p>
              </w:tc>
              <w:tc>
                <w:tcPr>
                  <w:tcW w:w="884" w:type="dxa"/>
                  <w:tcBorders>
                    <w:tl2br w:val="nil"/>
                    <w:tr2bl w:val="nil"/>
                  </w:tcBorders>
                  <w:vAlign w:val="center"/>
                </w:tcPr>
                <w:p>
                  <w:pPr>
                    <w:pStyle w:val="102"/>
                    <w:rPr>
                      <w:highlight w:val="none"/>
                    </w:rPr>
                  </w:pPr>
                  <w:r>
                    <w:rPr>
                      <w:rFonts w:hint="eastAsia"/>
                      <w:highlight w:val="none"/>
                    </w:rPr>
                    <w:t xml:space="preserve">0.10 </w:t>
                  </w:r>
                </w:p>
              </w:tc>
              <w:tc>
                <w:tcPr>
                  <w:tcW w:w="663" w:type="dxa"/>
                  <w:tcBorders>
                    <w:tl2br w:val="nil"/>
                    <w:tr2bl w:val="nil"/>
                  </w:tcBorders>
                  <w:vAlign w:val="center"/>
                </w:tcPr>
                <w:p>
                  <w:pPr>
                    <w:pStyle w:val="102"/>
                    <w:rPr>
                      <w:highlight w:val="none"/>
                    </w:rPr>
                  </w:pPr>
                  <w:r>
                    <w:rPr>
                      <w:rFonts w:hint="eastAsia"/>
                      <w:highlight w:val="none"/>
                    </w:rPr>
                    <w:t>16</w:t>
                  </w:r>
                </w:p>
              </w:tc>
              <w:tc>
                <w:tcPr>
                  <w:tcW w:w="917" w:type="dxa"/>
                  <w:tcBorders>
                    <w:tl2br w:val="nil"/>
                    <w:tr2bl w:val="nil"/>
                  </w:tcBorders>
                  <w:vAlign w:val="center"/>
                </w:tcPr>
                <w:p>
                  <w:pPr>
                    <w:pStyle w:val="102"/>
                    <w:rPr>
                      <w:highlight w:val="none"/>
                    </w:rPr>
                  </w:pPr>
                  <w:r>
                    <w:rPr>
                      <w:highlight w:val="none"/>
                    </w:rPr>
                    <w:t xml:space="preserve">0.80 </w:t>
                  </w:r>
                </w:p>
              </w:tc>
              <w:tc>
                <w:tcPr>
                  <w:tcW w:w="662" w:type="dxa"/>
                  <w:tcBorders>
                    <w:tl2br w:val="nil"/>
                    <w:tr2bl w:val="nil"/>
                  </w:tcBorders>
                  <w:vAlign w:val="center"/>
                </w:tcPr>
                <w:p>
                  <w:pPr>
                    <w:pStyle w:val="102"/>
                    <w:rPr>
                      <w:highlight w:val="none"/>
                    </w:rPr>
                  </w:pPr>
                  <w:r>
                    <w:rPr>
                      <w:rFonts w:hint="eastAsia"/>
                      <w:highlight w:val="none"/>
                    </w:rPr>
                    <w:t>0.390</w:t>
                  </w:r>
                </w:p>
              </w:tc>
              <w:tc>
                <w:tcPr>
                  <w:tcW w:w="840" w:type="dxa"/>
                  <w:tcBorders>
                    <w:tl2br w:val="nil"/>
                    <w:tr2bl w:val="nil"/>
                  </w:tcBorders>
                  <w:vAlign w:val="center"/>
                </w:tcPr>
                <w:p>
                  <w:pPr>
                    <w:pStyle w:val="102"/>
                    <w:rPr>
                      <w:highlight w:val="none"/>
                    </w:rPr>
                  </w:pPr>
                  <w:r>
                    <w:rPr>
                      <w:rFonts w:hint="eastAsia"/>
                      <w:highlight w:val="none"/>
                    </w:rPr>
                    <w:t xml:space="preserve">0.39 </w:t>
                  </w:r>
                </w:p>
              </w:tc>
              <w:tc>
                <w:tcPr>
                  <w:tcW w:w="856" w:type="dxa"/>
                  <w:tcBorders>
                    <w:tl2br w:val="nil"/>
                    <w:tr2bl w:val="nil"/>
                  </w:tcBorders>
                  <w:vAlign w:val="center"/>
                </w:tcPr>
                <w:p>
                  <w:pPr>
                    <w:pStyle w:val="102"/>
                    <w:rPr>
                      <w:highlight w:val="none"/>
                    </w:rPr>
                  </w:pPr>
                  <w:r>
                    <w:rPr>
                      <w:rFonts w:hint="eastAsia"/>
                      <w:highlight w:val="none"/>
                    </w:rPr>
                    <w:t>0.04</w:t>
                  </w:r>
                </w:p>
                <w:p>
                  <w:pPr>
                    <w:pStyle w:val="102"/>
                    <w:rPr>
                      <w:highlight w:val="none"/>
                    </w:rPr>
                  </w:pPr>
                  <w:r>
                    <w:rPr>
                      <w:rFonts w:hint="eastAsia"/>
                      <w:highlight w:val="none"/>
                    </w:rPr>
                    <w:t>（河流）</w:t>
                  </w:r>
                </w:p>
              </w:tc>
              <w:tc>
                <w:tcPr>
                  <w:tcW w:w="921" w:type="dxa"/>
                  <w:tcBorders>
                    <w:tl2br w:val="nil"/>
                    <w:tr2bl w:val="nil"/>
                  </w:tcBorders>
                  <w:vAlign w:val="center"/>
                </w:tcPr>
                <w:p>
                  <w:pPr>
                    <w:pStyle w:val="102"/>
                    <w:rPr>
                      <w:highlight w:val="none"/>
                    </w:rPr>
                  </w:pPr>
                  <w:r>
                    <w:rPr>
                      <w:rFonts w:hint="eastAsia"/>
                      <w:highlight w:val="none"/>
                    </w:rPr>
                    <w:t xml:space="preserve">0.20 </w:t>
                  </w:r>
                </w:p>
              </w:tc>
              <w:tc>
                <w:tcPr>
                  <w:tcW w:w="652" w:type="dxa"/>
                  <w:tcBorders>
                    <w:tl2br w:val="nil"/>
                    <w:tr2bl w:val="nil"/>
                  </w:tcBorders>
                  <w:vAlign w:val="center"/>
                </w:tcPr>
                <w:p>
                  <w:pPr>
                    <w:pStyle w:val="102"/>
                    <w:rPr>
                      <w:highlight w:val="none"/>
                    </w:rPr>
                  </w:pPr>
                  <w:r>
                    <w:rPr>
                      <w:highlight w:val="none"/>
                    </w:rPr>
                    <w:t>Ⅲ类</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 w:type="dxa"/>
                  <w:vMerge w:val="continue"/>
                  <w:tcBorders>
                    <w:tl2br w:val="nil"/>
                    <w:tr2bl w:val="nil"/>
                  </w:tcBorders>
                  <w:vAlign w:val="center"/>
                </w:tcPr>
                <w:p>
                  <w:pPr>
                    <w:pStyle w:val="102"/>
                    <w:rPr>
                      <w:highlight w:val="none"/>
                    </w:rPr>
                  </w:pPr>
                </w:p>
              </w:tc>
              <w:tc>
                <w:tcPr>
                  <w:tcW w:w="846" w:type="dxa"/>
                  <w:tcBorders>
                    <w:tl2br w:val="nil"/>
                    <w:tr2bl w:val="nil"/>
                  </w:tcBorders>
                  <w:vAlign w:val="center"/>
                </w:tcPr>
                <w:p>
                  <w:pPr>
                    <w:pStyle w:val="102"/>
                    <w:rPr>
                      <w:highlight w:val="none"/>
                    </w:rPr>
                  </w:pPr>
                  <w:r>
                    <w:rPr>
                      <w:rFonts w:hint="eastAsia"/>
                      <w:highlight w:val="none"/>
                    </w:rPr>
                    <w:t>2025.06</w:t>
                  </w:r>
                </w:p>
              </w:tc>
              <w:tc>
                <w:tcPr>
                  <w:tcW w:w="639" w:type="dxa"/>
                  <w:tcBorders>
                    <w:tl2br w:val="nil"/>
                    <w:tr2bl w:val="nil"/>
                  </w:tcBorders>
                  <w:vAlign w:val="center"/>
                </w:tcPr>
                <w:p>
                  <w:pPr>
                    <w:pStyle w:val="102"/>
                    <w:rPr>
                      <w:highlight w:val="none"/>
                    </w:rPr>
                  </w:pPr>
                  <w:r>
                    <w:rPr>
                      <w:rFonts w:hint="eastAsia"/>
                      <w:highlight w:val="none"/>
                    </w:rPr>
                    <w:t>7.3</w:t>
                  </w:r>
                </w:p>
              </w:tc>
              <w:tc>
                <w:tcPr>
                  <w:tcW w:w="884" w:type="dxa"/>
                  <w:tcBorders>
                    <w:tl2br w:val="nil"/>
                    <w:tr2bl w:val="nil"/>
                  </w:tcBorders>
                  <w:vAlign w:val="center"/>
                </w:tcPr>
                <w:p>
                  <w:pPr>
                    <w:pStyle w:val="102"/>
                    <w:rPr>
                      <w:highlight w:val="none"/>
                    </w:rPr>
                  </w:pPr>
                  <w:r>
                    <w:rPr>
                      <w:rFonts w:hint="eastAsia"/>
                      <w:highlight w:val="none"/>
                    </w:rPr>
                    <w:t xml:space="preserve">0.15 </w:t>
                  </w:r>
                </w:p>
              </w:tc>
              <w:tc>
                <w:tcPr>
                  <w:tcW w:w="663" w:type="dxa"/>
                  <w:tcBorders>
                    <w:tl2br w:val="nil"/>
                    <w:tr2bl w:val="nil"/>
                  </w:tcBorders>
                  <w:vAlign w:val="center"/>
                </w:tcPr>
                <w:p>
                  <w:pPr>
                    <w:pStyle w:val="102"/>
                    <w:rPr>
                      <w:highlight w:val="none"/>
                    </w:rPr>
                  </w:pPr>
                  <w:r>
                    <w:rPr>
                      <w:rFonts w:hint="eastAsia"/>
                      <w:highlight w:val="none"/>
                    </w:rPr>
                    <w:t>13</w:t>
                  </w:r>
                </w:p>
              </w:tc>
              <w:tc>
                <w:tcPr>
                  <w:tcW w:w="917" w:type="dxa"/>
                  <w:tcBorders>
                    <w:tl2br w:val="nil"/>
                    <w:tr2bl w:val="nil"/>
                  </w:tcBorders>
                  <w:vAlign w:val="center"/>
                </w:tcPr>
                <w:p>
                  <w:pPr>
                    <w:pStyle w:val="102"/>
                    <w:rPr>
                      <w:highlight w:val="none"/>
                    </w:rPr>
                  </w:pPr>
                  <w:r>
                    <w:rPr>
                      <w:highlight w:val="none"/>
                    </w:rPr>
                    <w:t xml:space="preserve">0.65 </w:t>
                  </w:r>
                </w:p>
              </w:tc>
              <w:tc>
                <w:tcPr>
                  <w:tcW w:w="662" w:type="dxa"/>
                  <w:tcBorders>
                    <w:tl2br w:val="nil"/>
                    <w:tr2bl w:val="nil"/>
                  </w:tcBorders>
                  <w:vAlign w:val="center"/>
                </w:tcPr>
                <w:p>
                  <w:pPr>
                    <w:pStyle w:val="102"/>
                    <w:rPr>
                      <w:highlight w:val="none"/>
                    </w:rPr>
                  </w:pPr>
                  <w:r>
                    <w:rPr>
                      <w:rFonts w:hint="eastAsia"/>
                      <w:highlight w:val="none"/>
                    </w:rPr>
                    <w:t>0.250</w:t>
                  </w:r>
                </w:p>
              </w:tc>
              <w:tc>
                <w:tcPr>
                  <w:tcW w:w="840" w:type="dxa"/>
                  <w:tcBorders>
                    <w:tl2br w:val="nil"/>
                    <w:tr2bl w:val="nil"/>
                  </w:tcBorders>
                  <w:vAlign w:val="center"/>
                </w:tcPr>
                <w:p>
                  <w:pPr>
                    <w:pStyle w:val="102"/>
                    <w:rPr>
                      <w:highlight w:val="none"/>
                    </w:rPr>
                  </w:pPr>
                  <w:r>
                    <w:rPr>
                      <w:rFonts w:hint="eastAsia"/>
                      <w:highlight w:val="none"/>
                    </w:rPr>
                    <w:t xml:space="preserve">0.25 </w:t>
                  </w:r>
                </w:p>
              </w:tc>
              <w:tc>
                <w:tcPr>
                  <w:tcW w:w="856" w:type="dxa"/>
                  <w:tcBorders>
                    <w:tl2br w:val="nil"/>
                    <w:tr2bl w:val="nil"/>
                  </w:tcBorders>
                  <w:vAlign w:val="center"/>
                </w:tcPr>
                <w:p>
                  <w:pPr>
                    <w:pStyle w:val="102"/>
                    <w:rPr>
                      <w:highlight w:val="none"/>
                    </w:rPr>
                  </w:pPr>
                  <w:r>
                    <w:rPr>
                      <w:rFonts w:hint="eastAsia"/>
                      <w:highlight w:val="none"/>
                    </w:rPr>
                    <w:t>0.10</w:t>
                  </w:r>
                </w:p>
                <w:p>
                  <w:pPr>
                    <w:pStyle w:val="102"/>
                    <w:rPr>
                      <w:highlight w:val="none"/>
                    </w:rPr>
                  </w:pPr>
                  <w:r>
                    <w:rPr>
                      <w:rFonts w:hint="eastAsia"/>
                      <w:highlight w:val="none"/>
                    </w:rPr>
                    <w:t>（河流）</w:t>
                  </w:r>
                </w:p>
              </w:tc>
              <w:tc>
                <w:tcPr>
                  <w:tcW w:w="921" w:type="dxa"/>
                  <w:tcBorders>
                    <w:tl2br w:val="nil"/>
                    <w:tr2bl w:val="nil"/>
                  </w:tcBorders>
                  <w:vAlign w:val="center"/>
                </w:tcPr>
                <w:p>
                  <w:pPr>
                    <w:pStyle w:val="102"/>
                    <w:rPr>
                      <w:highlight w:val="none"/>
                    </w:rPr>
                  </w:pPr>
                  <w:r>
                    <w:rPr>
                      <w:rFonts w:hint="eastAsia"/>
                      <w:highlight w:val="none"/>
                    </w:rPr>
                    <w:t xml:space="preserve">0.50 </w:t>
                  </w:r>
                </w:p>
              </w:tc>
              <w:tc>
                <w:tcPr>
                  <w:tcW w:w="652" w:type="dxa"/>
                  <w:tcBorders>
                    <w:tl2br w:val="nil"/>
                    <w:tr2bl w:val="nil"/>
                  </w:tcBorders>
                  <w:vAlign w:val="center"/>
                </w:tcPr>
                <w:p>
                  <w:pPr>
                    <w:pStyle w:val="102"/>
                    <w:rPr>
                      <w:highlight w:val="none"/>
                    </w:rPr>
                  </w:pPr>
                  <w:r>
                    <w:rPr>
                      <w:highlight w:val="none"/>
                    </w:rPr>
                    <w:t>Ⅱ类</w:t>
                  </w:r>
                </w:p>
              </w:tc>
            </w:tr>
          </w:tbl>
          <w:p>
            <w:pPr>
              <w:pStyle w:val="150"/>
              <w:ind w:firstLine="480"/>
              <w:jc w:val="left"/>
              <w:rPr>
                <w:highlight w:val="none"/>
              </w:rPr>
            </w:pPr>
            <w:r>
              <w:rPr>
                <w:rFonts w:hint="eastAsia"/>
                <w:highlight w:val="none"/>
              </w:rPr>
              <w:t>由以上水质统计结果分析可知，2025年三八港（入蓼花池）断面水质能够达到《地表水环境质量标准》（GB3838-2002）Ⅲ类水质。</w:t>
            </w:r>
          </w:p>
          <w:p>
            <w:pPr>
              <w:pStyle w:val="141"/>
              <w:rPr>
                <w:highlight w:val="none"/>
              </w:rPr>
            </w:pPr>
            <w:r>
              <w:rPr>
                <w:rFonts w:hint="eastAsia"/>
                <w:highlight w:val="none"/>
              </w:rPr>
              <w:t>表3-5 2025年鄱阳湖蚌湖断面水质统计表</w:t>
            </w:r>
          </w:p>
          <w:tbl>
            <w:tblPr>
              <w:tblStyle w:val="105"/>
              <w:tblW w:w="8506"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1777"/>
              <w:gridCol w:w="1794"/>
              <w:gridCol w:w="1620"/>
              <w:gridCol w:w="192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4" w:hRule="atLeast"/>
                <w:tblHeader/>
                <w:jc w:val="center"/>
              </w:trPr>
              <w:tc>
                <w:tcPr>
                  <w:tcW w:w="1394" w:type="dxa"/>
                  <w:tcBorders>
                    <w:tl2br w:val="nil"/>
                    <w:tr2bl w:val="nil"/>
                  </w:tcBorders>
                  <w:vAlign w:val="center"/>
                </w:tcPr>
                <w:p>
                  <w:pPr>
                    <w:pStyle w:val="102"/>
                    <w:rPr>
                      <w:highlight w:val="none"/>
                    </w:rPr>
                  </w:pPr>
                  <w:r>
                    <w:rPr>
                      <w:highlight w:val="none"/>
                    </w:rPr>
                    <w:t>点位名称</w:t>
                  </w:r>
                </w:p>
              </w:tc>
              <w:tc>
                <w:tcPr>
                  <w:tcW w:w="1777" w:type="dxa"/>
                  <w:tcBorders>
                    <w:tl2br w:val="nil"/>
                    <w:tr2bl w:val="nil"/>
                  </w:tcBorders>
                  <w:vAlign w:val="center"/>
                </w:tcPr>
                <w:p>
                  <w:pPr>
                    <w:pStyle w:val="102"/>
                    <w:rPr>
                      <w:highlight w:val="none"/>
                    </w:rPr>
                  </w:pPr>
                  <w:r>
                    <w:rPr>
                      <w:highlight w:val="none"/>
                    </w:rPr>
                    <w:t>监测时间</w:t>
                  </w:r>
                </w:p>
              </w:tc>
              <w:tc>
                <w:tcPr>
                  <w:tcW w:w="1794" w:type="dxa"/>
                  <w:tcBorders>
                    <w:tl2br w:val="nil"/>
                    <w:tr2bl w:val="nil"/>
                  </w:tcBorders>
                  <w:vAlign w:val="center"/>
                </w:tcPr>
                <w:p>
                  <w:pPr>
                    <w:pStyle w:val="102"/>
                    <w:rPr>
                      <w:highlight w:val="none"/>
                    </w:rPr>
                  </w:pPr>
                  <w:r>
                    <w:rPr>
                      <w:highlight w:val="none"/>
                    </w:rPr>
                    <w:t>水质类别</w:t>
                  </w:r>
                </w:p>
              </w:tc>
              <w:tc>
                <w:tcPr>
                  <w:tcW w:w="1620" w:type="dxa"/>
                  <w:tcBorders>
                    <w:tl2br w:val="nil"/>
                    <w:tr2bl w:val="nil"/>
                  </w:tcBorders>
                  <w:vAlign w:val="center"/>
                </w:tcPr>
                <w:p>
                  <w:pPr>
                    <w:pStyle w:val="102"/>
                    <w:rPr>
                      <w:highlight w:val="none"/>
                    </w:rPr>
                  </w:pPr>
                  <w:r>
                    <w:rPr>
                      <w:highlight w:val="none"/>
                    </w:rPr>
                    <w:t>超标污染物</w:t>
                  </w:r>
                </w:p>
              </w:tc>
              <w:tc>
                <w:tcPr>
                  <w:tcW w:w="1921" w:type="dxa"/>
                  <w:tcBorders>
                    <w:tl2br w:val="nil"/>
                    <w:tr2bl w:val="nil"/>
                  </w:tcBorders>
                  <w:vAlign w:val="center"/>
                </w:tcPr>
                <w:p>
                  <w:pPr>
                    <w:pStyle w:val="102"/>
                    <w:rPr>
                      <w:highlight w:val="none"/>
                    </w:rPr>
                  </w:pPr>
                  <w:r>
                    <w:rPr>
                      <w:highlight w:val="none"/>
                    </w:rPr>
                    <w:t>超标倍数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restart"/>
                  <w:tcBorders>
                    <w:tl2br w:val="nil"/>
                    <w:tr2bl w:val="nil"/>
                  </w:tcBorders>
                  <w:vAlign w:val="center"/>
                </w:tcPr>
                <w:p>
                  <w:pPr>
                    <w:pStyle w:val="102"/>
                    <w:rPr>
                      <w:highlight w:val="none"/>
                    </w:rPr>
                  </w:pPr>
                  <w:r>
                    <w:rPr>
                      <w:highlight w:val="none"/>
                    </w:rPr>
                    <w:t>鄱阳湖蚌湖断面</w:t>
                  </w:r>
                </w:p>
              </w:tc>
              <w:tc>
                <w:tcPr>
                  <w:tcW w:w="1777" w:type="dxa"/>
                  <w:tcBorders>
                    <w:tl2br w:val="nil"/>
                    <w:tr2bl w:val="nil"/>
                  </w:tcBorders>
                  <w:vAlign w:val="center"/>
                </w:tcPr>
                <w:p>
                  <w:pPr>
                    <w:pStyle w:val="102"/>
                    <w:rPr>
                      <w:highlight w:val="none"/>
                    </w:rPr>
                  </w:pPr>
                  <w:r>
                    <w:rPr>
                      <w:rFonts w:hint="eastAsia"/>
                      <w:highlight w:val="none"/>
                    </w:rPr>
                    <w:t>2025.01</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2025.02</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2025.03</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24"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2025.04</w:t>
                  </w:r>
                </w:p>
              </w:tc>
              <w:tc>
                <w:tcPr>
                  <w:tcW w:w="1794" w:type="dxa"/>
                  <w:tcBorders>
                    <w:tl2br w:val="nil"/>
                    <w:tr2bl w:val="nil"/>
                  </w:tcBorders>
                  <w:vAlign w:val="center"/>
                </w:tcPr>
                <w:p>
                  <w:pPr>
                    <w:pStyle w:val="102"/>
                    <w:rPr>
                      <w:highlight w:val="none"/>
                    </w:rPr>
                  </w:pPr>
                  <w:r>
                    <w:rPr>
                      <w:highlight w:val="none"/>
                    </w:rPr>
                    <w:t>Ⅳ类</w:t>
                  </w:r>
                </w:p>
              </w:tc>
              <w:tc>
                <w:tcPr>
                  <w:tcW w:w="1620" w:type="dxa"/>
                  <w:tcBorders>
                    <w:tl2br w:val="nil"/>
                    <w:tr2bl w:val="nil"/>
                  </w:tcBorders>
                  <w:vAlign w:val="center"/>
                </w:tcPr>
                <w:p>
                  <w:pPr>
                    <w:pStyle w:val="102"/>
                    <w:rPr>
                      <w:highlight w:val="none"/>
                    </w:rPr>
                  </w:pPr>
                  <w:r>
                    <w:rPr>
                      <w:highlight w:val="none"/>
                    </w:rPr>
                    <w:t>TP</w:t>
                  </w:r>
                </w:p>
              </w:tc>
              <w:tc>
                <w:tcPr>
                  <w:tcW w:w="1921" w:type="dxa"/>
                  <w:tcBorders>
                    <w:tl2br w:val="nil"/>
                    <w:tr2bl w:val="nil"/>
                  </w:tcBorders>
                  <w:vAlign w:val="center"/>
                </w:tcPr>
                <w:p>
                  <w:pPr>
                    <w:pStyle w:val="102"/>
                    <w:rPr>
                      <w:highlight w:val="none"/>
                    </w:rPr>
                  </w:pPr>
                  <w:r>
                    <w:rPr>
                      <w:rFonts w:hint="eastAsia"/>
                      <w:highlight w:val="none"/>
                    </w:rPr>
                    <w:t>0.60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2025.05</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2025.06</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2025.07</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2025.08</w:t>
                  </w:r>
                </w:p>
              </w:tc>
              <w:tc>
                <w:tcPr>
                  <w:tcW w:w="1794" w:type="dxa"/>
                  <w:tcBorders>
                    <w:tl2br w:val="nil"/>
                    <w:tr2bl w:val="nil"/>
                  </w:tcBorders>
                  <w:vAlign w:val="center"/>
                </w:tcPr>
                <w:p>
                  <w:pPr>
                    <w:pStyle w:val="102"/>
                    <w:rPr>
                      <w:highlight w:val="none"/>
                    </w:rPr>
                  </w:pPr>
                  <w:r>
                    <w:rPr>
                      <w:highlight w:val="none"/>
                    </w:rPr>
                    <w:t>Ⅳ类</w:t>
                  </w:r>
                </w:p>
              </w:tc>
              <w:tc>
                <w:tcPr>
                  <w:tcW w:w="1620" w:type="dxa"/>
                  <w:tcBorders>
                    <w:tl2br w:val="nil"/>
                    <w:tr2bl w:val="nil"/>
                  </w:tcBorders>
                  <w:vAlign w:val="center"/>
                </w:tcPr>
                <w:p>
                  <w:pPr>
                    <w:pStyle w:val="102"/>
                    <w:rPr>
                      <w:highlight w:val="none"/>
                    </w:rPr>
                  </w:pPr>
                  <w:r>
                    <w:rPr>
                      <w:highlight w:val="none"/>
                    </w:rPr>
                    <w:t>TP</w:t>
                  </w:r>
                </w:p>
              </w:tc>
              <w:tc>
                <w:tcPr>
                  <w:tcW w:w="1921" w:type="dxa"/>
                  <w:tcBorders>
                    <w:tl2br w:val="nil"/>
                    <w:tr2bl w:val="nil"/>
                  </w:tcBorders>
                  <w:vAlign w:val="center"/>
                </w:tcPr>
                <w:p>
                  <w:pPr>
                    <w:pStyle w:val="102"/>
                    <w:rPr>
                      <w:highlight w:val="none"/>
                    </w:rPr>
                  </w:pPr>
                  <w:r>
                    <w:rPr>
                      <w:rFonts w:hint="eastAsia"/>
                      <w:highlight w:val="none"/>
                    </w:rPr>
                    <w:t>0.20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2025.09</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2025.10</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2025.11</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7" w:hRule="atLeast"/>
                <w:jc w:val="center"/>
              </w:trPr>
              <w:tc>
                <w:tcPr>
                  <w:tcW w:w="1394" w:type="dxa"/>
                  <w:vMerge w:val="continue"/>
                  <w:tcBorders>
                    <w:tl2br w:val="nil"/>
                    <w:tr2bl w:val="nil"/>
                  </w:tcBorders>
                  <w:vAlign w:val="center"/>
                </w:tcPr>
                <w:p>
                  <w:pPr>
                    <w:pStyle w:val="102"/>
                    <w:rPr>
                      <w:highlight w:val="none"/>
                    </w:rPr>
                  </w:pPr>
                </w:p>
              </w:tc>
              <w:tc>
                <w:tcPr>
                  <w:tcW w:w="1777" w:type="dxa"/>
                  <w:tcBorders>
                    <w:tl2br w:val="nil"/>
                    <w:tr2bl w:val="nil"/>
                  </w:tcBorders>
                  <w:vAlign w:val="center"/>
                </w:tcPr>
                <w:p>
                  <w:pPr>
                    <w:pStyle w:val="102"/>
                    <w:rPr>
                      <w:highlight w:val="none"/>
                    </w:rPr>
                  </w:pPr>
                  <w:r>
                    <w:rPr>
                      <w:rFonts w:hint="eastAsia"/>
                      <w:highlight w:val="none"/>
                    </w:rPr>
                    <w:t>2025.12</w:t>
                  </w:r>
                </w:p>
              </w:tc>
              <w:tc>
                <w:tcPr>
                  <w:tcW w:w="1794" w:type="dxa"/>
                  <w:tcBorders>
                    <w:tl2br w:val="nil"/>
                    <w:tr2bl w:val="nil"/>
                  </w:tcBorders>
                  <w:vAlign w:val="center"/>
                </w:tcPr>
                <w:p>
                  <w:pPr>
                    <w:pStyle w:val="102"/>
                    <w:rPr>
                      <w:highlight w:val="none"/>
                    </w:rPr>
                  </w:pPr>
                  <w:r>
                    <w:rPr>
                      <w:highlight w:val="none"/>
                    </w:rPr>
                    <w:t>Ⅲ类</w:t>
                  </w:r>
                </w:p>
              </w:tc>
              <w:tc>
                <w:tcPr>
                  <w:tcW w:w="1620" w:type="dxa"/>
                  <w:tcBorders>
                    <w:tl2br w:val="nil"/>
                    <w:tr2bl w:val="nil"/>
                  </w:tcBorders>
                  <w:vAlign w:val="center"/>
                </w:tcPr>
                <w:p>
                  <w:pPr>
                    <w:pStyle w:val="102"/>
                    <w:rPr>
                      <w:highlight w:val="none"/>
                    </w:rPr>
                  </w:pPr>
                  <w:r>
                    <w:rPr>
                      <w:highlight w:val="none"/>
                    </w:rPr>
                    <w:t>—</w:t>
                  </w:r>
                </w:p>
              </w:tc>
              <w:tc>
                <w:tcPr>
                  <w:tcW w:w="1921" w:type="dxa"/>
                  <w:tcBorders>
                    <w:tl2br w:val="nil"/>
                    <w:tr2bl w:val="nil"/>
                  </w:tcBorders>
                  <w:vAlign w:val="center"/>
                </w:tcPr>
                <w:p>
                  <w:pPr>
                    <w:pStyle w:val="102"/>
                    <w:rPr>
                      <w:highlight w:val="none"/>
                    </w:rPr>
                  </w:pPr>
                  <w:r>
                    <w:rPr>
                      <w:highlight w:val="none"/>
                    </w:rPr>
                    <w:t>—</w:t>
                  </w:r>
                </w:p>
              </w:tc>
            </w:tr>
          </w:tbl>
          <w:p>
            <w:pPr>
              <w:pStyle w:val="96"/>
              <w:ind w:firstLine="480"/>
              <w:rPr>
                <w:highlight w:val="none"/>
              </w:rPr>
            </w:pPr>
            <w:r>
              <w:rPr>
                <w:rFonts w:hint="eastAsia"/>
                <w:highlight w:val="none"/>
              </w:rPr>
              <w:t>根据以上监测结果统计分析，鄱阳湖蚌湖断面水质2025年4月、8月水质为Ⅳ类，主要超标污染物为总磷，区域地表水环境质量不能稳定满足水功能区</w:t>
            </w:r>
            <w:r>
              <w:rPr>
                <w:rFonts w:hint="eastAsia"/>
                <w:highlight w:val="none"/>
                <w:lang w:eastAsia="zh-CN"/>
              </w:rPr>
              <w:t>Ⅲ类</w:t>
            </w:r>
            <w:r>
              <w:rPr>
                <w:rFonts w:hint="eastAsia"/>
                <w:highlight w:val="none"/>
              </w:rPr>
              <w:t>水质目标要求。</w:t>
            </w:r>
          </w:p>
          <w:p>
            <w:pPr>
              <w:pStyle w:val="96"/>
              <w:ind w:firstLine="480"/>
              <w:rPr>
                <w:highlight w:val="none"/>
              </w:rPr>
            </w:pPr>
            <w:r>
              <w:rPr>
                <w:rFonts w:hint="eastAsia"/>
                <w:highlight w:val="none"/>
              </w:rPr>
              <w:t>目前，庐山市正在实施庐山市龙溪湖水生态环境综合治理项目、庐山市蓼花池水生态环境综合治理等工程，通过这些项目的实施，将有效改善蚌湖周边水系蓼花池、龙溪湖的水质状况，提升区域水生态功能，进一步消减蚌湖断面总磷污染负荷，推动蚌湖断面水质稳定达标，为鄱阳湖水质安全提供有力保障。</w:t>
            </w:r>
          </w:p>
          <w:p>
            <w:pPr>
              <w:pStyle w:val="96"/>
              <w:ind w:firstLine="480"/>
              <w:rPr>
                <w:highlight w:val="none"/>
              </w:rPr>
            </w:pPr>
            <w:r>
              <w:rPr>
                <w:rFonts w:hint="eastAsia"/>
                <w:highlight w:val="none"/>
              </w:rPr>
              <w:t>本项目废水经厂内污水处理设施深度处理后，水质可达到《城镇污水处理厂污染物排放标准》（GB18918-2002）表1中一级A标准、《鄱阳湖生态经济区水污染物排放标准》（DB36/852-2015）中滨湖控制开发带标准及《农田灌溉水质标准》（GB5084-2021）表1水田作物限值中较严值。处理后的废水部分回用于厂区绿化，其余外排至厂区周边池塘暂存后用于农田灌溉，实现废水零排放。项目不新设排污口，不增加区域地表水体的污染负荷。</w:t>
            </w:r>
          </w:p>
          <w:p>
            <w:pPr>
              <w:pStyle w:val="96"/>
              <w:ind w:firstLine="480"/>
              <w:rPr>
                <w:highlight w:val="none"/>
              </w:rPr>
            </w:pPr>
            <w:r>
              <w:rPr>
                <w:rFonts w:hint="eastAsia"/>
                <w:highlight w:val="none"/>
              </w:rPr>
              <w:t>综上所述，本项目建设对地表水环境的影响可以接受。</w:t>
            </w:r>
          </w:p>
          <w:p>
            <w:pPr>
              <w:spacing w:line="360" w:lineRule="auto"/>
              <w:ind w:firstLine="481" w:firstLineChars="200"/>
              <w:rPr>
                <w:b/>
                <w:sz w:val="24"/>
                <w:highlight w:val="none"/>
              </w:rPr>
            </w:pPr>
            <w:r>
              <w:rPr>
                <w:rFonts w:hint="eastAsia"/>
                <w:b/>
                <w:sz w:val="24"/>
                <w:highlight w:val="none"/>
              </w:rPr>
              <w:t>3</w:t>
            </w:r>
            <w:r>
              <w:rPr>
                <w:b/>
                <w:sz w:val="24"/>
                <w:highlight w:val="none"/>
              </w:rPr>
              <w:t>、声环境质量</w:t>
            </w:r>
          </w:p>
          <w:p>
            <w:pPr>
              <w:adjustRightInd w:val="0"/>
              <w:snapToGrid w:val="0"/>
              <w:spacing w:line="360" w:lineRule="auto"/>
              <w:ind w:firstLine="480" w:firstLineChars="200"/>
              <w:rPr>
                <w:rFonts w:hAnsi="宋体"/>
                <w:sz w:val="24"/>
                <w:highlight w:val="none"/>
              </w:rPr>
            </w:pPr>
            <w:r>
              <w:rPr>
                <w:rFonts w:hint="eastAsia"/>
                <w:snapToGrid w:val="0"/>
                <w:kern w:val="0"/>
                <w:sz w:val="24"/>
                <w:highlight w:val="none"/>
              </w:rPr>
              <w:t>根据《建设项目环境影响报告表编制技术指南（污染影响类）（试行）》，厂界外周边50米范围内存在声环境保护目标的建设项目，应监测保护目标声环境质量现状并评价达标情况。本项目厂界外周边50米范围内无声环境保护目标，</w:t>
            </w:r>
            <w:r>
              <w:rPr>
                <w:sz w:val="24"/>
                <w:highlight w:val="none"/>
              </w:rPr>
              <w:t>可不进行声</w:t>
            </w:r>
            <w:r>
              <w:rPr>
                <w:rFonts w:hint="eastAsia"/>
                <w:sz w:val="24"/>
                <w:highlight w:val="none"/>
              </w:rPr>
              <w:t>环境</w:t>
            </w:r>
            <w:r>
              <w:rPr>
                <w:sz w:val="24"/>
                <w:highlight w:val="none"/>
              </w:rPr>
              <w:t>现状监测</w:t>
            </w:r>
            <w:r>
              <w:rPr>
                <w:snapToGrid w:val="0"/>
                <w:kern w:val="0"/>
                <w:sz w:val="24"/>
                <w:highlight w:val="none"/>
              </w:rPr>
              <w:t>。</w:t>
            </w:r>
          </w:p>
          <w:p>
            <w:pPr>
              <w:spacing w:line="360" w:lineRule="auto"/>
              <w:ind w:firstLine="481" w:firstLineChars="200"/>
              <w:rPr>
                <w:b/>
                <w:color w:val="0000FF"/>
                <w:sz w:val="24"/>
                <w:highlight w:val="none"/>
              </w:rPr>
            </w:pPr>
            <w:r>
              <w:rPr>
                <w:rFonts w:hint="eastAsia"/>
                <w:b/>
                <w:color w:val="0000FF"/>
                <w:sz w:val="24"/>
                <w:highlight w:val="none"/>
              </w:rPr>
              <w:t>4、</w:t>
            </w:r>
            <w:r>
              <w:rPr>
                <w:b/>
                <w:color w:val="0000FF"/>
                <w:sz w:val="24"/>
                <w:highlight w:val="none"/>
              </w:rPr>
              <w:t>生态环境</w:t>
            </w:r>
          </w:p>
          <w:p>
            <w:pPr>
              <w:adjustRightInd w:val="0"/>
              <w:snapToGrid w:val="0"/>
              <w:spacing w:line="360" w:lineRule="auto"/>
              <w:ind w:firstLine="480" w:firstLineChars="200"/>
              <w:rPr>
                <w:color w:val="0000FF"/>
                <w:sz w:val="24"/>
                <w:highlight w:val="none"/>
              </w:rPr>
            </w:pPr>
            <w:r>
              <w:rPr>
                <w:rFonts w:hint="default" w:ascii="Times New Roman" w:hAnsi="Times New Roman" w:eastAsia="宋体" w:cs="Times New Roman"/>
                <w:color w:val="0000FF"/>
                <w:sz w:val="24"/>
                <w:szCs w:val="24"/>
                <w:highlight w:val="none"/>
                <w:lang w:val="en-US" w:eastAsia="zh-CN"/>
              </w:rPr>
              <w:t>根据</w:t>
            </w:r>
            <w:r>
              <w:rPr>
                <w:rFonts w:hint="default" w:ascii="Times New Roman" w:hAnsi="Times New Roman" w:eastAsia="宋体" w:cs="Times New Roman"/>
                <w:color w:val="0000FF"/>
                <w:sz w:val="24"/>
                <w:szCs w:val="24"/>
                <w:highlight w:val="none"/>
                <w:lang w:eastAsia="zh-CN"/>
              </w:rPr>
              <w:t>《建设项目环境影响报告表编制技术指南（污染影响类）》（试行）</w:t>
            </w:r>
            <w:r>
              <w:rPr>
                <w:rFonts w:hint="default" w:ascii="Times New Roman" w:hAnsi="Times New Roman" w:eastAsia="宋体" w:cs="Times New Roman"/>
                <w:color w:val="0000FF"/>
                <w:sz w:val="24"/>
                <w:szCs w:val="24"/>
                <w:highlight w:val="none"/>
                <w:lang w:val="en-US" w:eastAsia="zh-CN"/>
              </w:rPr>
              <w:t>的相关规定</w:t>
            </w:r>
            <w:r>
              <w:rPr>
                <w:rFonts w:hint="default" w:ascii="Times New Roman" w:hAnsi="Times New Roman" w:eastAsia="宋体" w:cs="Times New Roman"/>
                <w:color w:val="0000FF"/>
                <w:sz w:val="24"/>
                <w:szCs w:val="24"/>
                <w:highlight w:val="none"/>
                <w:lang w:eastAsia="zh-CN"/>
              </w:rPr>
              <w:t>：产业园区外建设项目新增用地且用地范围内含有生态环境保护目标时，应进行生态现状调查。</w:t>
            </w:r>
            <w:r>
              <w:rPr>
                <w:rFonts w:hint="eastAsia"/>
                <w:snapToGrid w:val="0"/>
                <w:color w:val="0000FF"/>
                <w:kern w:val="0"/>
                <w:sz w:val="24"/>
                <w:highlight w:val="none"/>
              </w:rPr>
              <w:t>本项目</w:t>
            </w:r>
            <w:r>
              <w:rPr>
                <w:snapToGrid w:val="0"/>
                <w:color w:val="0000FF"/>
                <w:kern w:val="0"/>
                <w:sz w:val="24"/>
                <w:highlight w:val="none"/>
              </w:rPr>
              <w:t>位于</w:t>
            </w:r>
            <w:r>
              <w:rPr>
                <w:rFonts w:hint="eastAsia"/>
                <w:snapToGrid w:val="0"/>
                <w:color w:val="0000FF"/>
                <w:kern w:val="0"/>
                <w:sz w:val="24"/>
                <w:highlight w:val="none"/>
              </w:rPr>
              <w:t>庐山市华林镇吉山村</w:t>
            </w:r>
            <w:r>
              <w:rPr>
                <w:rFonts w:hint="eastAsia"/>
                <w:color w:val="0000FF"/>
                <w:sz w:val="24"/>
                <w:highlight w:val="none"/>
              </w:rPr>
              <w:t>，利用华林镇吉山村华林板岩加工园二期现有工业用地建设，不涉及新增用地，用地范围内无自然保护区、名胜古迹、风景区、重要的文物景观和珍稀动物保护区等生态环境保护目标，项目所在地生态环境质量现状一般，生态系统敏感程度低。故本项目无需进行生态现状调查。</w:t>
            </w:r>
          </w:p>
          <w:p>
            <w:pPr>
              <w:spacing w:line="360" w:lineRule="auto"/>
              <w:ind w:firstLine="481" w:firstLineChars="200"/>
              <w:rPr>
                <w:b/>
                <w:sz w:val="24"/>
                <w:highlight w:val="none"/>
              </w:rPr>
            </w:pPr>
            <w:r>
              <w:rPr>
                <w:rFonts w:hint="eastAsia"/>
                <w:b/>
                <w:sz w:val="24"/>
                <w:highlight w:val="none"/>
              </w:rPr>
              <w:t>5、电磁辐射</w:t>
            </w:r>
          </w:p>
          <w:p>
            <w:pPr>
              <w:spacing w:line="360" w:lineRule="auto"/>
              <w:ind w:firstLine="480" w:firstLineChars="200"/>
              <w:rPr>
                <w:snapToGrid w:val="0"/>
                <w:kern w:val="0"/>
                <w:sz w:val="24"/>
                <w:highlight w:val="none"/>
              </w:rPr>
            </w:pPr>
            <w:r>
              <w:rPr>
                <w:rFonts w:hint="eastAsia"/>
                <w:snapToGrid w:val="0"/>
                <w:kern w:val="0"/>
                <w:sz w:val="24"/>
                <w:highlight w:val="none"/>
              </w:rPr>
              <w:t>本项目不涉及新建或改建、扩建广播电台、差转台、电视塔台、卫星地球上行站、雷达等电磁辐射类项目，因此无需进行电测辐射现状监测与评价。</w:t>
            </w:r>
          </w:p>
          <w:p>
            <w:pPr>
              <w:spacing w:line="360" w:lineRule="auto"/>
              <w:ind w:firstLine="481" w:firstLineChars="200"/>
              <w:rPr>
                <w:b/>
                <w:sz w:val="24"/>
                <w:highlight w:val="none"/>
              </w:rPr>
            </w:pPr>
            <w:r>
              <w:rPr>
                <w:rFonts w:hint="eastAsia"/>
                <w:b/>
                <w:sz w:val="24"/>
                <w:highlight w:val="none"/>
              </w:rPr>
              <w:t>6、地下水、土壤环境</w:t>
            </w:r>
          </w:p>
          <w:p>
            <w:pPr>
              <w:adjustRightInd w:val="0"/>
              <w:snapToGrid w:val="0"/>
              <w:spacing w:line="360" w:lineRule="auto"/>
              <w:ind w:firstLine="480" w:firstLineChars="200"/>
              <w:rPr>
                <w:kern w:val="0"/>
                <w:szCs w:val="21"/>
                <w:highlight w:val="none"/>
              </w:rPr>
            </w:pPr>
            <w:r>
              <w:rPr>
                <w:rFonts w:hint="eastAsia"/>
                <w:snapToGrid w:val="0"/>
                <w:kern w:val="0"/>
                <w:sz w:val="24"/>
                <w:highlight w:val="none"/>
              </w:rPr>
              <w:t>根据《建设项目环境影响报告表编制技术指南（污染影响类）（试行）》，原则上不开展地下水、土壤质量现状调查。本项目原材料中无有毒有害物质且对生产车间、危废间等厂区地面进行了分区防渗处理，不会对土壤、地下水环境产生明显影响，因此无需进行地下水、土壤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环境</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保护</w:t>
            </w:r>
          </w:p>
          <w:p>
            <w:pPr>
              <w:adjustRightInd w:val="0"/>
              <w:snapToGrid w:val="0"/>
              <w:jc w:val="center"/>
              <w:rPr>
                <w:rFonts w:ascii="宋体" w:hAnsi="宋体" w:cs="宋体"/>
                <w:kern w:val="0"/>
                <w:szCs w:val="21"/>
                <w:highlight w:val="none"/>
              </w:rPr>
            </w:pPr>
            <w:r>
              <w:rPr>
                <w:rFonts w:hint="eastAsia" w:ascii="宋体" w:hAnsi="宋体" w:cs="宋体"/>
                <w:b/>
                <w:bCs/>
                <w:kern w:val="0"/>
                <w:sz w:val="24"/>
                <w:highlight w:val="none"/>
              </w:rPr>
              <w:t>目标</w:t>
            </w:r>
          </w:p>
        </w:tc>
        <w:tc>
          <w:tcPr>
            <w:tcW w:w="8619" w:type="dxa"/>
            <w:vAlign w:val="center"/>
          </w:tcPr>
          <w:p>
            <w:pPr>
              <w:spacing w:line="360" w:lineRule="auto"/>
              <w:ind w:firstLine="481" w:firstLineChars="200"/>
              <w:rPr>
                <w:b/>
                <w:bCs/>
                <w:kern w:val="0"/>
                <w:sz w:val="24"/>
                <w:szCs w:val="20"/>
                <w:highlight w:val="none"/>
              </w:rPr>
            </w:pPr>
            <w:r>
              <w:rPr>
                <w:b/>
                <w:bCs/>
                <w:kern w:val="0"/>
                <w:sz w:val="24"/>
                <w:szCs w:val="20"/>
                <w:highlight w:val="none"/>
              </w:rPr>
              <w:t>主要环境保护目标</w:t>
            </w:r>
          </w:p>
          <w:p>
            <w:pPr>
              <w:spacing w:line="360" w:lineRule="auto"/>
              <w:ind w:firstLine="480" w:firstLineChars="200"/>
              <w:rPr>
                <w:sz w:val="24"/>
                <w:highlight w:val="none"/>
              </w:rPr>
            </w:pPr>
            <w:r>
              <w:rPr>
                <w:rFonts w:hint="eastAsia"/>
                <w:sz w:val="24"/>
                <w:highlight w:val="none"/>
              </w:rPr>
              <w:t>本项目评价范围内不涉及风景名胜区、自然保护区、珍稀动植物、饮用水源保护区等需要特殊保护的环境敏感目标。根据项目性质及地理位置，确定本项目评价范围内的环境敏感点，主要环境保护目标见表3-4。</w:t>
            </w:r>
          </w:p>
          <w:p>
            <w:pPr>
              <w:adjustRightInd w:val="0"/>
              <w:jc w:val="center"/>
              <w:textAlignment w:val="baseline"/>
              <w:rPr>
                <w:bCs/>
                <w:szCs w:val="21"/>
                <w:highlight w:val="none"/>
              </w:rPr>
            </w:pPr>
            <w:r>
              <w:rPr>
                <w:b/>
                <w:szCs w:val="21"/>
                <w:highlight w:val="none"/>
              </w:rPr>
              <w:t>表3-</w:t>
            </w:r>
            <w:r>
              <w:rPr>
                <w:rFonts w:hint="eastAsia"/>
                <w:b/>
                <w:szCs w:val="21"/>
                <w:highlight w:val="none"/>
              </w:rPr>
              <w:t xml:space="preserve">4 </w:t>
            </w:r>
            <w:r>
              <w:rPr>
                <w:b/>
                <w:szCs w:val="21"/>
                <w:highlight w:val="none"/>
              </w:rPr>
              <w:t xml:space="preserve"> 项目主要环境保护目标</w:t>
            </w:r>
          </w:p>
          <w:tbl>
            <w:tblPr>
              <w:tblStyle w:val="39"/>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16"/>
              <w:gridCol w:w="648"/>
              <w:gridCol w:w="653"/>
              <w:gridCol w:w="978"/>
              <w:gridCol w:w="1229"/>
              <w:gridCol w:w="1171"/>
              <w:gridCol w:w="1062"/>
              <w:gridCol w:w="84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restart"/>
                  <w:tcBorders>
                    <w:top w:val="single" w:color="auto" w:sz="4" w:space="0"/>
                    <w:bottom w:val="single" w:color="auto" w:sz="4" w:space="0"/>
                  </w:tcBorders>
                  <w:vAlign w:val="center"/>
                </w:tcPr>
                <w:p>
                  <w:pPr>
                    <w:jc w:val="center"/>
                    <w:rPr>
                      <w:b/>
                      <w:bCs/>
                      <w:szCs w:val="16"/>
                      <w:highlight w:val="none"/>
                    </w:rPr>
                  </w:pPr>
                  <w:r>
                    <w:rPr>
                      <w:b/>
                      <w:bCs/>
                      <w:szCs w:val="16"/>
                      <w:highlight w:val="none"/>
                    </w:rPr>
                    <w:t>环境</w:t>
                  </w:r>
                </w:p>
                <w:p>
                  <w:pPr>
                    <w:jc w:val="center"/>
                    <w:rPr>
                      <w:b/>
                      <w:bCs/>
                      <w:szCs w:val="16"/>
                      <w:highlight w:val="none"/>
                    </w:rPr>
                  </w:pPr>
                  <w:r>
                    <w:rPr>
                      <w:b/>
                      <w:bCs/>
                      <w:szCs w:val="16"/>
                      <w:highlight w:val="none"/>
                    </w:rPr>
                    <w:t>要素</w:t>
                  </w:r>
                </w:p>
              </w:tc>
              <w:tc>
                <w:tcPr>
                  <w:tcW w:w="545" w:type="pct"/>
                  <w:vMerge w:val="restart"/>
                  <w:tcBorders>
                    <w:top w:val="single" w:color="auto" w:sz="4" w:space="0"/>
                    <w:bottom w:val="single" w:color="auto" w:sz="4" w:space="0"/>
                  </w:tcBorders>
                  <w:vAlign w:val="center"/>
                </w:tcPr>
                <w:p>
                  <w:pPr>
                    <w:jc w:val="center"/>
                    <w:rPr>
                      <w:b/>
                      <w:bCs/>
                      <w:szCs w:val="16"/>
                      <w:highlight w:val="none"/>
                    </w:rPr>
                  </w:pPr>
                  <w:r>
                    <w:rPr>
                      <w:b/>
                      <w:bCs/>
                      <w:szCs w:val="16"/>
                      <w:highlight w:val="none"/>
                    </w:rPr>
                    <w:t>环境保护对象名称</w:t>
                  </w:r>
                </w:p>
              </w:tc>
              <w:tc>
                <w:tcPr>
                  <w:tcW w:w="774" w:type="pct"/>
                  <w:gridSpan w:val="2"/>
                  <w:tcBorders>
                    <w:top w:val="single" w:color="auto" w:sz="4" w:space="0"/>
                    <w:bottom w:val="single" w:color="auto" w:sz="4" w:space="0"/>
                  </w:tcBorders>
                  <w:vAlign w:val="center"/>
                </w:tcPr>
                <w:p>
                  <w:pPr>
                    <w:jc w:val="center"/>
                    <w:rPr>
                      <w:b/>
                      <w:bCs/>
                      <w:szCs w:val="16"/>
                      <w:highlight w:val="none"/>
                    </w:rPr>
                  </w:pPr>
                  <w:r>
                    <w:rPr>
                      <w:b/>
                      <w:bCs/>
                      <w:szCs w:val="16"/>
                      <w:highlight w:val="none"/>
                    </w:rPr>
                    <w:t>坐标/m</w:t>
                  </w:r>
                </w:p>
              </w:tc>
              <w:tc>
                <w:tcPr>
                  <w:tcW w:w="582" w:type="pct"/>
                  <w:vMerge w:val="restart"/>
                  <w:tcBorders>
                    <w:top w:val="single" w:color="auto" w:sz="4" w:space="0"/>
                    <w:bottom w:val="single" w:color="auto" w:sz="4" w:space="0"/>
                  </w:tcBorders>
                  <w:vAlign w:val="center"/>
                </w:tcPr>
                <w:p>
                  <w:pPr>
                    <w:jc w:val="center"/>
                    <w:rPr>
                      <w:b/>
                      <w:bCs/>
                      <w:szCs w:val="16"/>
                      <w:highlight w:val="none"/>
                    </w:rPr>
                  </w:pPr>
                  <w:r>
                    <w:rPr>
                      <w:b/>
                      <w:bCs/>
                      <w:szCs w:val="16"/>
                      <w:highlight w:val="none"/>
                    </w:rPr>
                    <w:t>保护</w:t>
                  </w:r>
                </w:p>
                <w:p>
                  <w:pPr>
                    <w:jc w:val="center"/>
                    <w:rPr>
                      <w:b/>
                      <w:bCs/>
                      <w:szCs w:val="16"/>
                      <w:highlight w:val="none"/>
                    </w:rPr>
                  </w:pPr>
                  <w:r>
                    <w:rPr>
                      <w:b/>
                      <w:bCs/>
                      <w:szCs w:val="16"/>
                      <w:highlight w:val="none"/>
                    </w:rPr>
                    <w:t>对象</w:t>
                  </w:r>
                </w:p>
              </w:tc>
              <w:tc>
                <w:tcPr>
                  <w:tcW w:w="731" w:type="pct"/>
                  <w:vMerge w:val="restart"/>
                  <w:tcBorders>
                    <w:top w:val="single" w:color="auto" w:sz="4" w:space="0"/>
                  </w:tcBorders>
                  <w:vAlign w:val="center"/>
                </w:tcPr>
                <w:p>
                  <w:pPr>
                    <w:jc w:val="center"/>
                    <w:rPr>
                      <w:b/>
                      <w:bCs/>
                      <w:szCs w:val="16"/>
                      <w:highlight w:val="none"/>
                    </w:rPr>
                  </w:pPr>
                  <w:r>
                    <w:rPr>
                      <w:b/>
                      <w:bCs/>
                      <w:szCs w:val="16"/>
                      <w:highlight w:val="none"/>
                    </w:rPr>
                    <w:t>相对厂界距离</w:t>
                  </w:r>
                  <w:r>
                    <w:rPr>
                      <w:rFonts w:hint="eastAsia"/>
                      <w:b/>
                      <w:bCs/>
                      <w:szCs w:val="16"/>
                      <w:highlight w:val="none"/>
                    </w:rPr>
                    <w:t>（m）</w:t>
                  </w:r>
                </w:p>
              </w:tc>
              <w:tc>
                <w:tcPr>
                  <w:tcW w:w="697" w:type="pct"/>
                  <w:vMerge w:val="restart"/>
                  <w:tcBorders>
                    <w:top w:val="single" w:color="auto" w:sz="4" w:space="0"/>
                  </w:tcBorders>
                  <w:vAlign w:val="center"/>
                </w:tcPr>
                <w:p>
                  <w:pPr>
                    <w:jc w:val="center"/>
                    <w:rPr>
                      <w:b/>
                      <w:bCs/>
                      <w:szCs w:val="16"/>
                      <w:highlight w:val="none"/>
                    </w:rPr>
                  </w:pPr>
                  <w:r>
                    <w:rPr>
                      <w:b/>
                      <w:bCs/>
                      <w:szCs w:val="16"/>
                      <w:highlight w:val="none"/>
                    </w:rPr>
                    <w:t>相对厂址方位</w:t>
                  </w:r>
                </w:p>
              </w:tc>
              <w:tc>
                <w:tcPr>
                  <w:tcW w:w="632" w:type="pct"/>
                  <w:vMerge w:val="restart"/>
                  <w:tcBorders>
                    <w:top w:val="single" w:color="auto" w:sz="4" w:space="0"/>
                    <w:bottom w:val="single" w:color="auto" w:sz="4" w:space="0"/>
                  </w:tcBorders>
                  <w:vAlign w:val="center"/>
                </w:tcPr>
                <w:p>
                  <w:pPr>
                    <w:jc w:val="center"/>
                    <w:rPr>
                      <w:b/>
                      <w:bCs/>
                      <w:szCs w:val="16"/>
                      <w:highlight w:val="none"/>
                    </w:rPr>
                  </w:pPr>
                  <w:r>
                    <w:rPr>
                      <w:b/>
                      <w:bCs/>
                      <w:szCs w:val="16"/>
                      <w:highlight w:val="none"/>
                    </w:rPr>
                    <w:t>规模</w:t>
                  </w:r>
                </w:p>
              </w:tc>
              <w:tc>
                <w:tcPr>
                  <w:tcW w:w="500" w:type="pct"/>
                  <w:vMerge w:val="restart"/>
                  <w:tcBorders>
                    <w:top w:val="single" w:color="auto" w:sz="4" w:space="0"/>
                    <w:bottom w:val="single" w:color="auto" w:sz="4" w:space="0"/>
                  </w:tcBorders>
                  <w:vAlign w:val="center"/>
                </w:tcPr>
                <w:p>
                  <w:pPr>
                    <w:jc w:val="center"/>
                    <w:rPr>
                      <w:b/>
                      <w:bCs/>
                      <w:szCs w:val="16"/>
                      <w:highlight w:val="none"/>
                    </w:rPr>
                  </w:pPr>
                  <w:r>
                    <w:rPr>
                      <w:b/>
                      <w:bCs/>
                      <w:szCs w:val="16"/>
                      <w:highlight w:val="none"/>
                    </w:rPr>
                    <w:t>质量标准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tcBorders>
                    <w:top w:val="single" w:color="auto" w:sz="4" w:space="0"/>
                    <w:bottom w:val="single" w:color="auto" w:sz="4" w:space="0"/>
                  </w:tcBorders>
                  <w:vAlign w:val="center"/>
                </w:tcPr>
                <w:p>
                  <w:pPr>
                    <w:jc w:val="center"/>
                    <w:rPr>
                      <w:szCs w:val="16"/>
                      <w:highlight w:val="none"/>
                    </w:rPr>
                  </w:pPr>
                </w:p>
              </w:tc>
              <w:tc>
                <w:tcPr>
                  <w:tcW w:w="545" w:type="pct"/>
                  <w:vMerge w:val="continue"/>
                  <w:tcBorders>
                    <w:top w:val="single" w:color="auto" w:sz="4" w:space="0"/>
                    <w:bottom w:val="single" w:color="auto" w:sz="4" w:space="0"/>
                  </w:tcBorders>
                  <w:vAlign w:val="center"/>
                </w:tcPr>
                <w:p>
                  <w:pPr>
                    <w:jc w:val="center"/>
                    <w:rPr>
                      <w:szCs w:val="16"/>
                      <w:highlight w:val="none"/>
                    </w:rPr>
                  </w:pPr>
                </w:p>
              </w:tc>
              <w:tc>
                <w:tcPr>
                  <w:tcW w:w="385" w:type="pct"/>
                  <w:tcBorders>
                    <w:top w:val="single" w:color="auto" w:sz="4" w:space="0"/>
                    <w:bottom w:val="single" w:color="auto" w:sz="4" w:space="0"/>
                  </w:tcBorders>
                  <w:vAlign w:val="center"/>
                </w:tcPr>
                <w:p>
                  <w:pPr>
                    <w:jc w:val="center"/>
                    <w:rPr>
                      <w:b/>
                      <w:bCs/>
                      <w:szCs w:val="16"/>
                      <w:highlight w:val="none"/>
                    </w:rPr>
                  </w:pPr>
                  <w:r>
                    <w:rPr>
                      <w:b/>
                      <w:bCs/>
                      <w:szCs w:val="16"/>
                      <w:highlight w:val="none"/>
                    </w:rPr>
                    <w:t>X</w:t>
                  </w:r>
                </w:p>
              </w:tc>
              <w:tc>
                <w:tcPr>
                  <w:tcW w:w="388" w:type="pct"/>
                  <w:tcBorders>
                    <w:top w:val="single" w:color="auto" w:sz="4" w:space="0"/>
                    <w:bottom w:val="single" w:color="auto" w:sz="4" w:space="0"/>
                  </w:tcBorders>
                  <w:vAlign w:val="center"/>
                </w:tcPr>
                <w:p>
                  <w:pPr>
                    <w:jc w:val="center"/>
                    <w:rPr>
                      <w:b/>
                      <w:bCs/>
                      <w:szCs w:val="16"/>
                      <w:highlight w:val="none"/>
                    </w:rPr>
                  </w:pPr>
                  <w:r>
                    <w:rPr>
                      <w:b/>
                      <w:bCs/>
                      <w:szCs w:val="16"/>
                      <w:highlight w:val="none"/>
                    </w:rPr>
                    <w:t>Y</w:t>
                  </w:r>
                </w:p>
              </w:tc>
              <w:tc>
                <w:tcPr>
                  <w:tcW w:w="582" w:type="pct"/>
                  <w:vMerge w:val="continue"/>
                  <w:tcBorders>
                    <w:top w:val="single" w:color="auto" w:sz="4" w:space="0"/>
                    <w:bottom w:val="single" w:color="auto" w:sz="4" w:space="0"/>
                  </w:tcBorders>
                  <w:vAlign w:val="center"/>
                </w:tcPr>
                <w:p>
                  <w:pPr>
                    <w:jc w:val="center"/>
                    <w:rPr>
                      <w:szCs w:val="16"/>
                      <w:highlight w:val="none"/>
                    </w:rPr>
                  </w:pPr>
                </w:p>
              </w:tc>
              <w:tc>
                <w:tcPr>
                  <w:tcW w:w="731" w:type="pct"/>
                  <w:vMerge w:val="continue"/>
                  <w:tcBorders>
                    <w:bottom w:val="single" w:color="auto" w:sz="4" w:space="0"/>
                  </w:tcBorders>
                  <w:vAlign w:val="center"/>
                </w:tcPr>
                <w:p>
                  <w:pPr>
                    <w:jc w:val="center"/>
                    <w:rPr>
                      <w:szCs w:val="16"/>
                      <w:highlight w:val="none"/>
                    </w:rPr>
                  </w:pPr>
                </w:p>
              </w:tc>
              <w:tc>
                <w:tcPr>
                  <w:tcW w:w="697" w:type="pct"/>
                  <w:vMerge w:val="continue"/>
                  <w:tcBorders>
                    <w:bottom w:val="single" w:color="auto" w:sz="4" w:space="0"/>
                  </w:tcBorders>
                  <w:vAlign w:val="center"/>
                </w:tcPr>
                <w:p>
                  <w:pPr>
                    <w:jc w:val="center"/>
                    <w:rPr>
                      <w:szCs w:val="16"/>
                      <w:highlight w:val="none"/>
                    </w:rPr>
                  </w:pPr>
                </w:p>
              </w:tc>
              <w:tc>
                <w:tcPr>
                  <w:tcW w:w="632" w:type="pct"/>
                  <w:vMerge w:val="continue"/>
                  <w:tcBorders>
                    <w:top w:val="single" w:color="auto" w:sz="4" w:space="0"/>
                    <w:bottom w:val="single" w:color="auto" w:sz="4" w:space="0"/>
                  </w:tcBorders>
                  <w:vAlign w:val="center"/>
                </w:tcPr>
                <w:p>
                  <w:pPr>
                    <w:jc w:val="center"/>
                    <w:rPr>
                      <w:szCs w:val="16"/>
                      <w:highlight w:val="none"/>
                    </w:rPr>
                  </w:pPr>
                </w:p>
              </w:tc>
              <w:tc>
                <w:tcPr>
                  <w:tcW w:w="500" w:type="pct"/>
                  <w:vMerge w:val="continue"/>
                  <w:tcBorders>
                    <w:top w:val="single" w:color="auto" w:sz="4" w:space="0"/>
                    <w:bottom w:val="single" w:color="auto" w:sz="4" w:space="0"/>
                  </w:tcBorders>
                  <w:vAlign w:val="center"/>
                </w:tcPr>
                <w:p>
                  <w:pPr>
                    <w:jc w:val="center"/>
                    <w:rPr>
                      <w:szCs w:val="16"/>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restart"/>
                  <w:tcBorders>
                    <w:top w:val="single" w:color="auto" w:sz="4" w:space="0"/>
                  </w:tcBorders>
                  <w:vAlign w:val="center"/>
                </w:tcPr>
                <w:p>
                  <w:pPr>
                    <w:jc w:val="center"/>
                    <w:rPr>
                      <w:szCs w:val="16"/>
                      <w:highlight w:val="none"/>
                    </w:rPr>
                  </w:pPr>
                  <w:r>
                    <w:rPr>
                      <w:szCs w:val="16"/>
                      <w:highlight w:val="none"/>
                    </w:rPr>
                    <w:t>环境</w:t>
                  </w:r>
                </w:p>
                <w:p>
                  <w:pPr>
                    <w:jc w:val="center"/>
                    <w:rPr>
                      <w:szCs w:val="16"/>
                      <w:highlight w:val="none"/>
                    </w:rPr>
                  </w:pPr>
                  <w:r>
                    <w:rPr>
                      <w:szCs w:val="16"/>
                      <w:highlight w:val="none"/>
                    </w:rPr>
                    <w:t>空气</w:t>
                  </w:r>
                </w:p>
              </w:tc>
              <w:tc>
                <w:tcPr>
                  <w:tcW w:w="545"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上头张</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0</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-200</w:t>
                  </w:r>
                </w:p>
              </w:tc>
              <w:tc>
                <w:tcPr>
                  <w:tcW w:w="582" w:type="pct"/>
                  <w:tcBorders>
                    <w:top w:val="single" w:color="auto" w:sz="4" w:space="0"/>
                    <w:bottom w:val="single" w:color="auto" w:sz="4" w:space="0"/>
                  </w:tcBorders>
                  <w:vAlign w:val="center"/>
                </w:tcPr>
                <w:p>
                  <w:pPr>
                    <w:jc w:val="center"/>
                    <w:rPr>
                      <w:szCs w:val="16"/>
                      <w:highlight w:val="none"/>
                    </w:rPr>
                  </w:pPr>
                  <w:r>
                    <w:rPr>
                      <w:szCs w:val="16"/>
                      <w:highlight w:val="none"/>
                    </w:rPr>
                    <w:t>居住区</w:t>
                  </w:r>
                </w:p>
              </w:tc>
              <w:tc>
                <w:tcPr>
                  <w:tcW w:w="731" w:type="pct"/>
                  <w:tcBorders>
                    <w:top w:val="single" w:color="auto" w:sz="4" w:space="0"/>
                    <w:bottom w:val="single" w:color="auto" w:sz="4" w:space="0"/>
                  </w:tcBorders>
                  <w:vAlign w:val="center"/>
                </w:tcPr>
                <w:p>
                  <w:pPr>
                    <w:adjustRightInd w:val="0"/>
                    <w:snapToGrid w:val="0"/>
                    <w:jc w:val="center"/>
                    <w:rPr>
                      <w:rFonts w:hint="default" w:eastAsia="宋体"/>
                      <w:color w:val="0000FF"/>
                      <w:highlight w:val="none"/>
                      <w:lang w:val="en-US" w:eastAsia="zh-CN"/>
                    </w:rPr>
                  </w:pPr>
                  <w:r>
                    <w:rPr>
                      <w:rFonts w:hint="eastAsia"/>
                      <w:color w:val="0000FF"/>
                      <w:highlight w:val="none"/>
                      <w:lang w:val="en-US" w:eastAsia="zh-CN"/>
                    </w:rPr>
                    <w:t>70</w:t>
                  </w:r>
                </w:p>
              </w:tc>
              <w:tc>
                <w:tcPr>
                  <w:tcW w:w="697"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南</w:t>
                  </w:r>
                </w:p>
              </w:tc>
              <w:tc>
                <w:tcPr>
                  <w:tcW w:w="632" w:type="pct"/>
                  <w:tcBorders>
                    <w:top w:val="single" w:color="auto" w:sz="4" w:space="0"/>
                    <w:bottom w:val="single" w:color="auto" w:sz="4" w:space="0"/>
                  </w:tcBorders>
                  <w:vAlign w:val="center"/>
                </w:tcPr>
                <w:p>
                  <w:pPr>
                    <w:jc w:val="center"/>
                    <w:rPr>
                      <w:szCs w:val="16"/>
                      <w:highlight w:val="none"/>
                    </w:rPr>
                  </w:pPr>
                  <w:r>
                    <w:rPr>
                      <w:szCs w:val="16"/>
                      <w:highlight w:val="none"/>
                    </w:rPr>
                    <w:t>约</w:t>
                  </w:r>
                  <w:r>
                    <w:rPr>
                      <w:rFonts w:hint="eastAsia"/>
                      <w:szCs w:val="16"/>
                      <w:highlight w:val="none"/>
                    </w:rPr>
                    <w:t>40</w:t>
                  </w:r>
                  <w:r>
                    <w:rPr>
                      <w:szCs w:val="16"/>
                      <w:highlight w:val="none"/>
                    </w:rPr>
                    <w:t>人</w:t>
                  </w:r>
                </w:p>
              </w:tc>
              <w:tc>
                <w:tcPr>
                  <w:tcW w:w="500" w:type="pct"/>
                  <w:vMerge w:val="restart"/>
                  <w:tcBorders>
                    <w:top w:val="single" w:color="auto" w:sz="4" w:space="0"/>
                  </w:tcBorders>
                  <w:tcMar>
                    <w:left w:w="57" w:type="dxa"/>
                    <w:right w:w="57" w:type="dxa"/>
                  </w:tcMar>
                  <w:vAlign w:val="center"/>
                </w:tcPr>
                <w:p>
                  <w:pPr>
                    <w:jc w:val="center"/>
                    <w:rPr>
                      <w:szCs w:val="16"/>
                      <w:highlight w:val="none"/>
                    </w:rPr>
                  </w:pPr>
                  <w:r>
                    <w:rPr>
                      <w:szCs w:val="16"/>
                      <w:highlight w:val="none"/>
                    </w:rPr>
                    <w:t>二类区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vAlign w:val="center"/>
                </w:tcPr>
                <w:p>
                  <w:pPr>
                    <w:jc w:val="center"/>
                    <w:rPr>
                      <w:szCs w:val="16"/>
                      <w:highlight w:val="none"/>
                    </w:rPr>
                  </w:pPr>
                </w:p>
              </w:tc>
              <w:tc>
                <w:tcPr>
                  <w:tcW w:w="545"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下头张</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240</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5</w:t>
                  </w:r>
                </w:p>
              </w:tc>
              <w:tc>
                <w:tcPr>
                  <w:tcW w:w="582" w:type="pct"/>
                  <w:tcBorders>
                    <w:top w:val="single" w:color="auto" w:sz="4" w:space="0"/>
                    <w:bottom w:val="single" w:color="auto" w:sz="4" w:space="0"/>
                  </w:tcBorders>
                  <w:vAlign w:val="center"/>
                </w:tcPr>
                <w:p>
                  <w:pPr>
                    <w:jc w:val="center"/>
                    <w:rPr>
                      <w:szCs w:val="16"/>
                      <w:highlight w:val="none"/>
                    </w:rPr>
                  </w:pPr>
                  <w:r>
                    <w:rPr>
                      <w:szCs w:val="16"/>
                      <w:highlight w:val="none"/>
                    </w:rPr>
                    <w:t>居住区</w:t>
                  </w:r>
                </w:p>
              </w:tc>
              <w:tc>
                <w:tcPr>
                  <w:tcW w:w="731" w:type="pct"/>
                  <w:tcBorders>
                    <w:top w:val="single" w:color="auto" w:sz="4" w:space="0"/>
                    <w:bottom w:val="single" w:color="auto" w:sz="4" w:space="0"/>
                  </w:tcBorders>
                  <w:vAlign w:val="center"/>
                </w:tcPr>
                <w:p>
                  <w:pPr>
                    <w:adjustRightInd w:val="0"/>
                    <w:snapToGrid w:val="0"/>
                    <w:jc w:val="center"/>
                    <w:rPr>
                      <w:rFonts w:hint="default" w:eastAsia="宋体"/>
                      <w:color w:val="0000FF"/>
                      <w:highlight w:val="none"/>
                      <w:lang w:val="en-US" w:eastAsia="zh-CN"/>
                    </w:rPr>
                  </w:pPr>
                  <w:r>
                    <w:rPr>
                      <w:rFonts w:hint="eastAsia"/>
                      <w:color w:val="0000FF"/>
                      <w:highlight w:val="none"/>
                      <w:lang w:val="en-US" w:eastAsia="zh-CN"/>
                    </w:rPr>
                    <w:t>190</w:t>
                  </w:r>
                </w:p>
              </w:tc>
              <w:tc>
                <w:tcPr>
                  <w:tcW w:w="697"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东南</w:t>
                  </w:r>
                </w:p>
              </w:tc>
              <w:tc>
                <w:tcPr>
                  <w:tcW w:w="632"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约120人</w:t>
                  </w:r>
                </w:p>
              </w:tc>
              <w:tc>
                <w:tcPr>
                  <w:tcW w:w="500" w:type="pct"/>
                  <w:vMerge w:val="continue"/>
                  <w:tcMar>
                    <w:left w:w="57" w:type="dxa"/>
                    <w:right w:w="57" w:type="dxa"/>
                  </w:tcMar>
                  <w:vAlign w:val="center"/>
                </w:tcPr>
                <w:p>
                  <w:pPr>
                    <w:jc w:val="center"/>
                    <w:rPr>
                      <w:szCs w:val="16"/>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vAlign w:val="center"/>
                </w:tcPr>
                <w:p>
                  <w:pPr>
                    <w:jc w:val="center"/>
                    <w:rPr>
                      <w:szCs w:val="16"/>
                      <w:highlight w:val="none"/>
                    </w:rPr>
                  </w:pPr>
                </w:p>
              </w:tc>
              <w:tc>
                <w:tcPr>
                  <w:tcW w:w="545"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彭家</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450</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70</w:t>
                  </w:r>
                </w:p>
              </w:tc>
              <w:tc>
                <w:tcPr>
                  <w:tcW w:w="582" w:type="pct"/>
                  <w:tcBorders>
                    <w:top w:val="single" w:color="auto" w:sz="4" w:space="0"/>
                    <w:bottom w:val="single" w:color="auto" w:sz="4" w:space="0"/>
                  </w:tcBorders>
                  <w:vAlign w:val="center"/>
                </w:tcPr>
                <w:p>
                  <w:pPr>
                    <w:jc w:val="center"/>
                    <w:rPr>
                      <w:szCs w:val="16"/>
                      <w:highlight w:val="none"/>
                    </w:rPr>
                  </w:pPr>
                  <w:r>
                    <w:rPr>
                      <w:szCs w:val="16"/>
                      <w:highlight w:val="none"/>
                    </w:rPr>
                    <w:t>居住区</w:t>
                  </w:r>
                </w:p>
              </w:tc>
              <w:tc>
                <w:tcPr>
                  <w:tcW w:w="731" w:type="pct"/>
                  <w:tcBorders>
                    <w:top w:val="single" w:color="auto" w:sz="4" w:space="0"/>
                    <w:bottom w:val="single" w:color="auto" w:sz="4" w:space="0"/>
                  </w:tcBorders>
                  <w:vAlign w:val="center"/>
                </w:tcPr>
                <w:p>
                  <w:pPr>
                    <w:adjustRightInd w:val="0"/>
                    <w:snapToGrid w:val="0"/>
                    <w:jc w:val="center"/>
                    <w:rPr>
                      <w:rFonts w:hint="default" w:eastAsia="宋体"/>
                      <w:color w:val="0000FF"/>
                      <w:highlight w:val="none"/>
                      <w:lang w:val="en-US" w:eastAsia="zh-CN"/>
                    </w:rPr>
                  </w:pPr>
                  <w:r>
                    <w:rPr>
                      <w:rFonts w:hint="eastAsia"/>
                      <w:color w:val="0000FF"/>
                      <w:highlight w:val="none"/>
                      <w:lang w:val="en-US" w:eastAsia="zh-CN"/>
                    </w:rPr>
                    <w:t>410</w:t>
                  </w:r>
                </w:p>
              </w:tc>
              <w:tc>
                <w:tcPr>
                  <w:tcW w:w="697"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东南</w:t>
                  </w:r>
                </w:p>
              </w:tc>
              <w:tc>
                <w:tcPr>
                  <w:tcW w:w="632"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约25人</w:t>
                  </w:r>
                </w:p>
              </w:tc>
              <w:tc>
                <w:tcPr>
                  <w:tcW w:w="500" w:type="pct"/>
                  <w:vMerge w:val="continue"/>
                  <w:tcMar>
                    <w:left w:w="57" w:type="dxa"/>
                    <w:right w:w="57" w:type="dxa"/>
                  </w:tcMar>
                  <w:vAlign w:val="center"/>
                </w:tcPr>
                <w:p>
                  <w:pPr>
                    <w:jc w:val="center"/>
                    <w:rPr>
                      <w:szCs w:val="16"/>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vAlign w:val="center"/>
                </w:tcPr>
                <w:p>
                  <w:pPr>
                    <w:jc w:val="center"/>
                    <w:rPr>
                      <w:szCs w:val="16"/>
                      <w:highlight w:val="none"/>
                    </w:rPr>
                  </w:pPr>
                </w:p>
              </w:tc>
              <w:tc>
                <w:tcPr>
                  <w:tcW w:w="545"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汤家堰</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120</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470</w:t>
                  </w:r>
                </w:p>
              </w:tc>
              <w:tc>
                <w:tcPr>
                  <w:tcW w:w="582" w:type="pct"/>
                  <w:tcBorders>
                    <w:top w:val="single" w:color="auto" w:sz="4" w:space="0"/>
                    <w:bottom w:val="single" w:color="auto" w:sz="4" w:space="0"/>
                  </w:tcBorders>
                  <w:vAlign w:val="center"/>
                </w:tcPr>
                <w:p>
                  <w:pPr>
                    <w:jc w:val="center"/>
                    <w:rPr>
                      <w:szCs w:val="16"/>
                      <w:highlight w:val="none"/>
                    </w:rPr>
                  </w:pPr>
                  <w:r>
                    <w:rPr>
                      <w:szCs w:val="16"/>
                      <w:highlight w:val="none"/>
                    </w:rPr>
                    <w:t>居住区</w:t>
                  </w:r>
                </w:p>
              </w:tc>
              <w:tc>
                <w:tcPr>
                  <w:tcW w:w="731" w:type="pct"/>
                  <w:tcBorders>
                    <w:top w:val="single" w:color="auto" w:sz="4" w:space="0"/>
                    <w:bottom w:val="single" w:color="auto" w:sz="4" w:space="0"/>
                  </w:tcBorders>
                  <w:vAlign w:val="center"/>
                </w:tcPr>
                <w:p>
                  <w:pPr>
                    <w:adjustRightInd w:val="0"/>
                    <w:snapToGrid w:val="0"/>
                    <w:jc w:val="center"/>
                    <w:rPr>
                      <w:rFonts w:hint="default" w:eastAsia="宋体"/>
                      <w:color w:val="0000FF"/>
                      <w:highlight w:val="none"/>
                      <w:lang w:val="en-US" w:eastAsia="zh-CN"/>
                    </w:rPr>
                  </w:pPr>
                  <w:r>
                    <w:rPr>
                      <w:rFonts w:hint="eastAsia"/>
                      <w:color w:val="0000FF"/>
                      <w:highlight w:val="none"/>
                      <w:lang w:val="en-US" w:eastAsia="zh-CN"/>
                    </w:rPr>
                    <w:t>425</w:t>
                  </w:r>
                </w:p>
              </w:tc>
              <w:tc>
                <w:tcPr>
                  <w:tcW w:w="697"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北</w:t>
                  </w:r>
                </w:p>
              </w:tc>
              <w:tc>
                <w:tcPr>
                  <w:tcW w:w="632"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约25人</w:t>
                  </w:r>
                </w:p>
              </w:tc>
              <w:tc>
                <w:tcPr>
                  <w:tcW w:w="500" w:type="pct"/>
                  <w:vMerge w:val="continue"/>
                  <w:tcMar>
                    <w:left w:w="57" w:type="dxa"/>
                    <w:right w:w="57" w:type="dxa"/>
                  </w:tcMar>
                  <w:vAlign w:val="center"/>
                </w:tcPr>
                <w:p>
                  <w:pPr>
                    <w:jc w:val="center"/>
                    <w:rPr>
                      <w:szCs w:val="16"/>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vAlign w:val="center"/>
                </w:tcPr>
                <w:p>
                  <w:pPr>
                    <w:jc w:val="center"/>
                    <w:rPr>
                      <w:szCs w:val="16"/>
                      <w:highlight w:val="none"/>
                    </w:rPr>
                  </w:pPr>
                </w:p>
              </w:tc>
              <w:tc>
                <w:tcPr>
                  <w:tcW w:w="545"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邹家咀</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-410</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0</w:t>
                  </w:r>
                </w:p>
              </w:tc>
              <w:tc>
                <w:tcPr>
                  <w:tcW w:w="582" w:type="pct"/>
                  <w:tcBorders>
                    <w:top w:val="single" w:color="auto" w:sz="4" w:space="0"/>
                    <w:bottom w:val="single" w:color="auto" w:sz="4" w:space="0"/>
                  </w:tcBorders>
                  <w:vAlign w:val="center"/>
                </w:tcPr>
                <w:p>
                  <w:pPr>
                    <w:jc w:val="center"/>
                    <w:rPr>
                      <w:szCs w:val="16"/>
                      <w:highlight w:val="none"/>
                    </w:rPr>
                  </w:pPr>
                  <w:r>
                    <w:rPr>
                      <w:szCs w:val="16"/>
                      <w:highlight w:val="none"/>
                    </w:rPr>
                    <w:t>居住区</w:t>
                  </w:r>
                </w:p>
              </w:tc>
              <w:tc>
                <w:tcPr>
                  <w:tcW w:w="731" w:type="pct"/>
                  <w:tcBorders>
                    <w:top w:val="single" w:color="auto" w:sz="4" w:space="0"/>
                    <w:bottom w:val="single" w:color="auto" w:sz="4" w:space="0"/>
                  </w:tcBorders>
                  <w:vAlign w:val="center"/>
                </w:tcPr>
                <w:p>
                  <w:pPr>
                    <w:adjustRightInd w:val="0"/>
                    <w:snapToGrid w:val="0"/>
                    <w:jc w:val="center"/>
                    <w:rPr>
                      <w:rFonts w:hint="default" w:eastAsia="宋体"/>
                      <w:color w:val="0000FF"/>
                      <w:highlight w:val="none"/>
                      <w:lang w:val="en-US" w:eastAsia="zh-CN"/>
                    </w:rPr>
                  </w:pPr>
                  <w:r>
                    <w:rPr>
                      <w:rFonts w:hint="eastAsia"/>
                      <w:color w:val="0000FF"/>
                      <w:highlight w:val="none"/>
                      <w:lang w:val="en-US" w:eastAsia="zh-CN"/>
                    </w:rPr>
                    <w:t>350</w:t>
                  </w:r>
                </w:p>
              </w:tc>
              <w:tc>
                <w:tcPr>
                  <w:tcW w:w="697"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西</w:t>
                  </w:r>
                </w:p>
              </w:tc>
              <w:tc>
                <w:tcPr>
                  <w:tcW w:w="632"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约70人</w:t>
                  </w:r>
                </w:p>
              </w:tc>
              <w:tc>
                <w:tcPr>
                  <w:tcW w:w="500" w:type="pct"/>
                  <w:vMerge w:val="continue"/>
                  <w:tcBorders>
                    <w:bottom w:val="single" w:color="auto" w:sz="4" w:space="0"/>
                  </w:tcBorders>
                  <w:tcMar>
                    <w:left w:w="57" w:type="dxa"/>
                    <w:right w:w="57" w:type="dxa"/>
                  </w:tcMar>
                  <w:vAlign w:val="center"/>
                </w:tcPr>
                <w:p>
                  <w:pPr>
                    <w:jc w:val="center"/>
                    <w:rPr>
                      <w:szCs w:val="16"/>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restart"/>
                  <w:tcBorders>
                    <w:top w:val="single" w:color="auto" w:sz="4" w:space="0"/>
                  </w:tcBorders>
                  <w:vAlign w:val="center"/>
                </w:tcPr>
                <w:p>
                  <w:pPr>
                    <w:jc w:val="center"/>
                    <w:rPr>
                      <w:szCs w:val="16"/>
                      <w:highlight w:val="none"/>
                    </w:rPr>
                  </w:pPr>
                  <w:r>
                    <w:rPr>
                      <w:szCs w:val="16"/>
                      <w:highlight w:val="none"/>
                    </w:rPr>
                    <w:t>地表水环境</w:t>
                  </w:r>
                </w:p>
              </w:tc>
              <w:tc>
                <w:tcPr>
                  <w:tcW w:w="545"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蓼花池</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w:t>
                  </w:r>
                </w:p>
              </w:tc>
              <w:tc>
                <w:tcPr>
                  <w:tcW w:w="582"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水库</w:t>
                  </w:r>
                </w:p>
              </w:tc>
              <w:tc>
                <w:tcPr>
                  <w:tcW w:w="731"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3.9km</w:t>
                  </w:r>
                </w:p>
              </w:tc>
              <w:tc>
                <w:tcPr>
                  <w:tcW w:w="697" w:type="pct"/>
                  <w:tcBorders>
                    <w:top w:val="single" w:color="auto" w:sz="4" w:space="0"/>
                    <w:bottom w:val="single" w:color="auto" w:sz="4" w:space="0"/>
                  </w:tcBorders>
                  <w:vAlign w:val="center"/>
                </w:tcPr>
                <w:p>
                  <w:pPr>
                    <w:adjustRightInd w:val="0"/>
                    <w:snapToGrid w:val="0"/>
                    <w:jc w:val="center"/>
                    <w:rPr>
                      <w:highlight w:val="none"/>
                    </w:rPr>
                  </w:pPr>
                  <w:r>
                    <w:rPr>
                      <w:rFonts w:hint="eastAsia"/>
                      <w:highlight w:val="none"/>
                    </w:rPr>
                    <w:t>东</w:t>
                  </w:r>
                </w:p>
              </w:tc>
              <w:tc>
                <w:tcPr>
                  <w:tcW w:w="632"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内陆湖</w:t>
                  </w:r>
                </w:p>
              </w:tc>
              <w:tc>
                <w:tcPr>
                  <w:tcW w:w="500" w:type="pct"/>
                  <w:tcBorders>
                    <w:top w:val="single" w:color="auto" w:sz="4" w:space="0"/>
                    <w:bottom w:val="single" w:color="auto" w:sz="4" w:space="0"/>
                  </w:tcBorders>
                  <w:tcMar>
                    <w:left w:w="57" w:type="dxa"/>
                    <w:right w:w="57" w:type="dxa"/>
                  </w:tcMar>
                  <w:vAlign w:val="center"/>
                </w:tcPr>
                <w:p>
                  <w:pPr>
                    <w:jc w:val="center"/>
                    <w:rPr>
                      <w:szCs w:val="16"/>
                      <w:highlight w:val="none"/>
                    </w:rPr>
                  </w:pPr>
                  <w:r>
                    <w:rPr>
                      <w:szCs w:val="16"/>
                      <w:highlight w:val="none"/>
                    </w:rPr>
                    <w:t>Ⅲ类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tcBorders>
                    <w:bottom w:val="single" w:color="auto" w:sz="4" w:space="0"/>
                  </w:tcBorders>
                  <w:vAlign w:val="center"/>
                </w:tcPr>
                <w:p>
                  <w:pPr>
                    <w:jc w:val="center"/>
                    <w:rPr>
                      <w:szCs w:val="16"/>
                      <w:highlight w:val="none"/>
                    </w:rPr>
                  </w:pPr>
                </w:p>
              </w:tc>
              <w:tc>
                <w:tcPr>
                  <w:tcW w:w="545" w:type="pct"/>
                  <w:tcBorders>
                    <w:top w:val="single" w:color="auto" w:sz="4" w:space="0"/>
                    <w:bottom w:val="single" w:color="auto" w:sz="4" w:space="0"/>
                  </w:tcBorders>
                  <w:vAlign w:val="center"/>
                </w:tcPr>
                <w:p>
                  <w:pPr>
                    <w:adjustRightInd w:val="0"/>
                    <w:snapToGrid w:val="0"/>
                    <w:jc w:val="center"/>
                    <w:rPr>
                      <w:szCs w:val="16"/>
                      <w:highlight w:val="none"/>
                    </w:rPr>
                  </w:pPr>
                  <w:r>
                    <w:rPr>
                      <w:rFonts w:hint="eastAsia"/>
                      <w:highlight w:val="none"/>
                    </w:rPr>
                    <w:t>鄱阳湖</w:t>
                  </w:r>
                </w:p>
              </w:tc>
              <w:tc>
                <w:tcPr>
                  <w:tcW w:w="38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w:t>
                  </w:r>
                </w:p>
              </w:tc>
              <w:tc>
                <w:tcPr>
                  <w:tcW w:w="388"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w:t>
                  </w:r>
                </w:p>
              </w:tc>
              <w:tc>
                <w:tcPr>
                  <w:tcW w:w="582" w:type="pct"/>
                  <w:tcBorders>
                    <w:top w:val="single" w:color="auto" w:sz="4" w:space="0"/>
                    <w:bottom w:val="single" w:color="auto" w:sz="4" w:space="0"/>
                  </w:tcBorders>
                  <w:vAlign w:val="center"/>
                </w:tcPr>
                <w:p>
                  <w:pPr>
                    <w:adjustRightInd w:val="0"/>
                    <w:snapToGrid w:val="0"/>
                    <w:jc w:val="center"/>
                    <w:rPr>
                      <w:szCs w:val="16"/>
                      <w:highlight w:val="none"/>
                    </w:rPr>
                  </w:pPr>
                  <w:r>
                    <w:rPr>
                      <w:rFonts w:hint="eastAsia"/>
                      <w:szCs w:val="16"/>
                      <w:highlight w:val="none"/>
                    </w:rPr>
                    <w:t>湖泊</w:t>
                  </w:r>
                </w:p>
              </w:tc>
              <w:tc>
                <w:tcPr>
                  <w:tcW w:w="731"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10km</w:t>
                  </w:r>
                </w:p>
              </w:tc>
              <w:tc>
                <w:tcPr>
                  <w:tcW w:w="697"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东</w:t>
                  </w:r>
                </w:p>
              </w:tc>
              <w:tc>
                <w:tcPr>
                  <w:tcW w:w="632" w:type="pct"/>
                  <w:tcBorders>
                    <w:top w:val="single" w:color="auto" w:sz="4" w:space="0"/>
                    <w:bottom w:val="single" w:color="auto" w:sz="4" w:space="0"/>
                  </w:tcBorders>
                  <w:vAlign w:val="center"/>
                </w:tcPr>
                <w:p>
                  <w:pPr>
                    <w:adjustRightInd w:val="0"/>
                    <w:snapToGrid w:val="0"/>
                    <w:jc w:val="center"/>
                    <w:rPr>
                      <w:szCs w:val="16"/>
                      <w:highlight w:val="none"/>
                    </w:rPr>
                  </w:pPr>
                  <w:r>
                    <w:rPr>
                      <w:highlight w:val="none"/>
                    </w:rPr>
                    <w:t>大</w:t>
                  </w:r>
                  <w:r>
                    <w:rPr>
                      <w:rFonts w:hint="eastAsia"/>
                      <w:highlight w:val="none"/>
                    </w:rPr>
                    <w:t>湖</w:t>
                  </w:r>
                </w:p>
              </w:tc>
              <w:tc>
                <w:tcPr>
                  <w:tcW w:w="500" w:type="pct"/>
                  <w:tcBorders>
                    <w:top w:val="single" w:color="auto" w:sz="4" w:space="0"/>
                    <w:bottom w:val="single" w:color="auto" w:sz="4" w:space="0"/>
                  </w:tcBorders>
                  <w:tcMar>
                    <w:left w:w="57" w:type="dxa"/>
                    <w:right w:w="57" w:type="dxa"/>
                  </w:tcMar>
                  <w:vAlign w:val="center"/>
                </w:tcPr>
                <w:p>
                  <w:pPr>
                    <w:jc w:val="center"/>
                    <w:rPr>
                      <w:szCs w:val="16"/>
                      <w:highlight w:val="none"/>
                    </w:rPr>
                  </w:pPr>
                  <w:r>
                    <w:rPr>
                      <w:szCs w:val="16"/>
                      <w:highlight w:val="none"/>
                    </w:rPr>
                    <w:t>Ⅲ类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声环境</w:t>
                  </w:r>
                </w:p>
              </w:tc>
              <w:tc>
                <w:tcPr>
                  <w:tcW w:w="4464" w:type="pct"/>
                  <w:gridSpan w:val="8"/>
                  <w:tcBorders>
                    <w:top w:val="single" w:color="auto" w:sz="4" w:space="0"/>
                    <w:bottom w:val="single" w:color="auto" w:sz="4" w:space="0"/>
                  </w:tcBorders>
                  <w:vAlign w:val="center"/>
                </w:tcPr>
                <w:p>
                  <w:pPr>
                    <w:jc w:val="center"/>
                    <w:rPr>
                      <w:szCs w:val="16"/>
                      <w:highlight w:val="none"/>
                    </w:rPr>
                  </w:pPr>
                  <w:r>
                    <w:rPr>
                      <w:highlight w:val="none"/>
                    </w:rPr>
                    <w:t>厂界外周边50米范围内无声环境保护目标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jc w:val="center"/>
                    <w:rPr>
                      <w:szCs w:val="16"/>
                      <w:highlight w:val="none"/>
                    </w:rPr>
                  </w:pPr>
                  <w:r>
                    <w:rPr>
                      <w:szCs w:val="16"/>
                      <w:highlight w:val="none"/>
                    </w:rPr>
                    <w:t>地下水环境</w:t>
                  </w:r>
                </w:p>
              </w:tc>
              <w:tc>
                <w:tcPr>
                  <w:tcW w:w="4464" w:type="pct"/>
                  <w:gridSpan w:val="8"/>
                  <w:tcBorders>
                    <w:top w:val="single" w:color="auto" w:sz="4" w:space="0"/>
                    <w:bottom w:val="single" w:color="auto" w:sz="4" w:space="0"/>
                  </w:tcBorders>
                  <w:vAlign w:val="center"/>
                </w:tcPr>
                <w:p>
                  <w:pPr>
                    <w:pStyle w:val="24"/>
                    <w:spacing w:line="288" w:lineRule="auto"/>
                    <w:ind w:firstLine="0"/>
                    <w:rPr>
                      <w:rFonts w:ascii="Times New Roman" w:hAnsi="Times New Roman"/>
                      <w:sz w:val="21"/>
                      <w:szCs w:val="16"/>
                      <w:highlight w:val="none"/>
                    </w:rPr>
                  </w:pPr>
                  <w:r>
                    <w:rPr>
                      <w:rFonts w:ascii="Times New Roman" w:hAnsi="Times New Roman"/>
                      <w:kern w:val="0"/>
                      <w:sz w:val="21"/>
                      <w:szCs w:val="21"/>
                      <w:highlight w:val="none"/>
                      <w:lang w:bidi="ar"/>
                    </w:rPr>
                    <w:t>厂界外500米范围内的村庄均已通自来水，不进行地下水开采。</w:t>
                  </w:r>
                  <w:r>
                    <w:rPr>
                      <w:rFonts w:ascii="Times New Roman" w:hAnsi="Times New Roman"/>
                      <w:sz w:val="21"/>
                      <w:szCs w:val="21"/>
                      <w:highlight w:val="none"/>
                    </w:rPr>
                    <w:t>本项目厂界外500米范围内无地下水集中式饮用水水源和热水、矿泉水、温泉等特殊地下水资源。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jc w:val="center"/>
                    <w:rPr>
                      <w:szCs w:val="16"/>
                      <w:highlight w:val="none"/>
                    </w:rPr>
                  </w:pPr>
                  <w:r>
                    <w:rPr>
                      <w:rFonts w:hint="eastAsia"/>
                      <w:szCs w:val="16"/>
                      <w:highlight w:val="none"/>
                    </w:rPr>
                    <w:t>生态</w:t>
                  </w:r>
                </w:p>
                <w:p>
                  <w:pPr>
                    <w:jc w:val="center"/>
                    <w:rPr>
                      <w:szCs w:val="16"/>
                      <w:highlight w:val="none"/>
                    </w:rPr>
                  </w:pPr>
                  <w:r>
                    <w:rPr>
                      <w:rFonts w:hint="eastAsia"/>
                      <w:szCs w:val="16"/>
                      <w:highlight w:val="none"/>
                    </w:rPr>
                    <w:t>环境</w:t>
                  </w:r>
                </w:p>
              </w:tc>
              <w:tc>
                <w:tcPr>
                  <w:tcW w:w="4464" w:type="pct"/>
                  <w:gridSpan w:val="8"/>
                  <w:tcBorders>
                    <w:top w:val="single" w:color="auto" w:sz="4" w:space="0"/>
                    <w:bottom w:val="single" w:color="auto" w:sz="4" w:space="0"/>
                  </w:tcBorders>
                  <w:vAlign w:val="center"/>
                </w:tcPr>
                <w:p>
                  <w:pPr>
                    <w:widowControl/>
                    <w:spacing w:line="288" w:lineRule="auto"/>
                    <w:jc w:val="center"/>
                    <w:rPr>
                      <w:szCs w:val="16"/>
                      <w:highlight w:val="none"/>
                    </w:rPr>
                  </w:pPr>
                  <w:r>
                    <w:rPr>
                      <w:szCs w:val="21"/>
                      <w:highlight w:val="none"/>
                    </w:rPr>
                    <w:t>本项目用地范围内无生态环境保护目标。</w:t>
                  </w:r>
                </w:p>
              </w:tc>
            </w:tr>
          </w:tbl>
          <w:p>
            <w:pPr>
              <w:rPr>
                <w:kern w:val="0"/>
                <w:szCs w:val="21"/>
                <w:highlight w:val="none"/>
              </w:rPr>
            </w:pPr>
            <w:r>
              <w:rPr>
                <w:rFonts w:hint="eastAsia"/>
                <w:bCs/>
                <w:szCs w:val="21"/>
                <w:highlight w:val="none"/>
              </w:rPr>
              <w:t>注：①本次评价以项目生产车间中心点为原点坐标（0，0），正东X轴为正方向，正北Y轴为正方向建立直角坐标系给出环境保护目标对应坐标。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tcMar>
              <w:left w:w="28" w:type="dxa"/>
              <w:right w:w="28" w:type="dxa"/>
            </w:tcMar>
            <w:vAlign w:val="center"/>
          </w:tcPr>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污染</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物排</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放控</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制标</w:t>
            </w:r>
          </w:p>
          <w:p>
            <w:pPr>
              <w:adjustRightInd w:val="0"/>
              <w:snapToGrid w:val="0"/>
              <w:jc w:val="center"/>
              <w:rPr>
                <w:rFonts w:ascii="宋体" w:hAnsi="宋体" w:cs="宋体"/>
                <w:kern w:val="0"/>
                <w:szCs w:val="21"/>
                <w:highlight w:val="none"/>
              </w:rPr>
            </w:pPr>
            <w:r>
              <w:rPr>
                <w:rFonts w:hint="eastAsia" w:ascii="宋体" w:hAnsi="宋体" w:cs="宋体"/>
                <w:b/>
                <w:bCs/>
                <w:kern w:val="0"/>
                <w:sz w:val="24"/>
                <w:highlight w:val="none"/>
              </w:rPr>
              <w:t>准</w:t>
            </w:r>
          </w:p>
        </w:tc>
        <w:tc>
          <w:tcPr>
            <w:tcW w:w="8619" w:type="dxa"/>
            <w:vAlign w:val="center"/>
          </w:tcPr>
          <w:p>
            <w:pPr>
              <w:tabs>
                <w:tab w:val="left" w:pos="2343"/>
              </w:tabs>
              <w:spacing w:line="360" w:lineRule="auto"/>
              <w:ind w:firstLine="481" w:firstLineChars="200"/>
              <w:jc w:val="left"/>
              <w:rPr>
                <w:b/>
                <w:bCs/>
                <w:sz w:val="24"/>
                <w:highlight w:val="none"/>
              </w:rPr>
            </w:pPr>
            <w:r>
              <w:rPr>
                <w:b/>
                <w:bCs/>
                <w:sz w:val="24"/>
                <w:highlight w:val="none"/>
              </w:rPr>
              <w:t>1、废气</w:t>
            </w:r>
          </w:p>
          <w:p>
            <w:pPr>
              <w:pStyle w:val="108"/>
              <w:ind w:firstLine="480"/>
              <w:rPr>
                <w:highlight w:val="none"/>
              </w:rPr>
            </w:pPr>
            <w:r>
              <w:rPr>
                <w:rFonts w:hint="eastAsia"/>
                <w:highlight w:val="none"/>
              </w:rPr>
              <w:t>本项目生物质锅炉燃烧废气参照执行《锅炉大气污染物排放标准》（GB13271-2014）中表2新建锅炉大气污染物排放浓度限值标准值中“燃煤锅炉”要求；</w:t>
            </w:r>
            <w:r>
              <w:rPr>
                <w:highlight w:val="none"/>
              </w:rPr>
              <w:t>污水处理站硫化氢和臭气浓度执行《恶臭污染物排放标准》 （GB14554-93）</w:t>
            </w:r>
            <w:r>
              <w:rPr>
                <w:rFonts w:hint="eastAsia"/>
                <w:highlight w:val="none"/>
              </w:rPr>
              <w:t>表1中二级新扩改建标准，</w:t>
            </w:r>
            <w:r>
              <w:rPr>
                <w:highlight w:val="none"/>
              </w:rPr>
              <w:t>氨</w:t>
            </w:r>
            <w:r>
              <w:rPr>
                <w:rFonts w:hint="eastAsia"/>
                <w:highlight w:val="none"/>
              </w:rPr>
              <w:t>执行承诺限值</w:t>
            </w:r>
            <w:r>
              <w:rPr>
                <w:highlight w:val="none"/>
              </w:rPr>
              <w:t>。具体标准值详见下表。</w:t>
            </w:r>
          </w:p>
          <w:p>
            <w:pPr>
              <w:pStyle w:val="141"/>
              <w:rPr>
                <w:highlight w:val="none"/>
              </w:rPr>
            </w:pPr>
            <w:r>
              <w:rPr>
                <w:highlight w:val="none"/>
              </w:rPr>
              <w:t>表3-</w:t>
            </w:r>
            <w:r>
              <w:rPr>
                <w:rFonts w:hint="eastAsia"/>
                <w:highlight w:val="none"/>
              </w:rPr>
              <w:t xml:space="preserve">5  </w:t>
            </w:r>
            <w:r>
              <w:rPr>
                <w:highlight w:val="none"/>
              </w:rPr>
              <w:t>锅炉大气污染物排放标准（GB13271-2014）</w:t>
            </w:r>
          </w:p>
          <w:tbl>
            <w:tblPr>
              <w:tblStyle w:val="39"/>
              <w:tblW w:w="499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2"/>
              <w:gridCol w:w="2918"/>
              <w:gridCol w:w="3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345" w:type="dxa"/>
                  <w:vMerge w:val="restart"/>
                  <w:tcBorders>
                    <w:top w:val="single" w:color="000000" w:sz="10" w:space="0"/>
                    <w:left w:val="nil"/>
                    <w:bottom w:val="nil"/>
                  </w:tcBorders>
                  <w:vAlign w:val="center"/>
                </w:tcPr>
                <w:p>
                  <w:pPr>
                    <w:pStyle w:val="102"/>
                    <w:rPr>
                      <w:b/>
                      <w:bCs/>
                      <w:highlight w:val="none"/>
                    </w:rPr>
                  </w:pPr>
                  <w:r>
                    <w:rPr>
                      <w:b/>
                      <w:bCs/>
                      <w:highlight w:val="none"/>
                    </w:rPr>
                    <w:t>污染物项目</w:t>
                  </w:r>
                </w:p>
              </w:tc>
              <w:tc>
                <w:tcPr>
                  <w:tcW w:w="2920" w:type="dxa"/>
                  <w:tcBorders>
                    <w:top w:val="single" w:color="000000" w:sz="10" w:space="0"/>
                  </w:tcBorders>
                  <w:vAlign w:val="center"/>
                </w:tcPr>
                <w:p>
                  <w:pPr>
                    <w:pStyle w:val="102"/>
                    <w:rPr>
                      <w:b/>
                      <w:bCs/>
                      <w:highlight w:val="none"/>
                    </w:rPr>
                  </w:pPr>
                  <w:r>
                    <w:rPr>
                      <w:b/>
                      <w:bCs/>
                      <w:highlight w:val="none"/>
                    </w:rPr>
                    <w:t>限值（mg/m</w:t>
                  </w:r>
                  <w:r>
                    <w:rPr>
                      <w:b/>
                      <w:bCs/>
                      <w:highlight w:val="none"/>
                      <w:vertAlign w:val="superscript"/>
                    </w:rPr>
                    <w:t>3</w:t>
                  </w:r>
                  <w:r>
                    <w:rPr>
                      <w:b/>
                      <w:bCs/>
                      <w:highlight w:val="none"/>
                    </w:rPr>
                    <w:t>）</w:t>
                  </w:r>
                </w:p>
              </w:tc>
              <w:tc>
                <w:tcPr>
                  <w:tcW w:w="3127" w:type="dxa"/>
                  <w:vMerge w:val="restart"/>
                  <w:tcBorders>
                    <w:top w:val="single" w:color="000000" w:sz="10" w:space="0"/>
                    <w:bottom w:val="nil"/>
                    <w:right w:val="nil"/>
                  </w:tcBorders>
                  <w:vAlign w:val="center"/>
                </w:tcPr>
                <w:p>
                  <w:pPr>
                    <w:pStyle w:val="102"/>
                    <w:rPr>
                      <w:b/>
                      <w:bCs/>
                      <w:highlight w:val="none"/>
                    </w:rPr>
                  </w:pPr>
                  <w:r>
                    <w:rPr>
                      <w:b/>
                      <w:bCs/>
                      <w:highlight w:val="none"/>
                    </w:rPr>
                    <w:t>污染物排放监控位置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345" w:type="dxa"/>
                  <w:vMerge w:val="continue"/>
                  <w:tcBorders>
                    <w:top w:val="nil"/>
                    <w:left w:val="nil"/>
                  </w:tcBorders>
                  <w:vAlign w:val="center"/>
                </w:tcPr>
                <w:p>
                  <w:pPr>
                    <w:pStyle w:val="102"/>
                    <w:rPr>
                      <w:highlight w:val="none"/>
                    </w:rPr>
                  </w:pPr>
                </w:p>
              </w:tc>
              <w:tc>
                <w:tcPr>
                  <w:tcW w:w="2920" w:type="dxa"/>
                  <w:vAlign w:val="center"/>
                </w:tcPr>
                <w:p>
                  <w:pPr>
                    <w:pStyle w:val="102"/>
                    <w:rPr>
                      <w:highlight w:val="none"/>
                    </w:rPr>
                  </w:pPr>
                  <w:r>
                    <w:rPr>
                      <w:highlight w:val="none"/>
                    </w:rPr>
                    <w:t>燃</w:t>
                  </w:r>
                  <w:r>
                    <w:rPr>
                      <w:rFonts w:hint="eastAsia"/>
                      <w:highlight w:val="none"/>
                    </w:rPr>
                    <w:t>煤</w:t>
                  </w:r>
                  <w:r>
                    <w:rPr>
                      <w:highlight w:val="none"/>
                    </w:rPr>
                    <w:t>锅炉</w:t>
                  </w:r>
                </w:p>
              </w:tc>
              <w:tc>
                <w:tcPr>
                  <w:tcW w:w="3127" w:type="dxa"/>
                  <w:vMerge w:val="continue"/>
                  <w:tcBorders>
                    <w:top w:val="nil"/>
                    <w:right w:val="nil"/>
                  </w:tcBorders>
                  <w:vAlign w:val="center"/>
                </w:tcPr>
                <w:p>
                  <w:pPr>
                    <w:pStyle w:val="102"/>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345" w:type="dxa"/>
                  <w:tcBorders>
                    <w:left w:val="nil"/>
                  </w:tcBorders>
                  <w:vAlign w:val="center"/>
                </w:tcPr>
                <w:p>
                  <w:pPr>
                    <w:pStyle w:val="102"/>
                    <w:rPr>
                      <w:highlight w:val="none"/>
                    </w:rPr>
                  </w:pPr>
                  <w:r>
                    <w:rPr>
                      <w:rFonts w:hint="eastAsia"/>
                      <w:highlight w:val="none"/>
                    </w:rPr>
                    <w:t>颗粒物</w:t>
                  </w:r>
                </w:p>
              </w:tc>
              <w:tc>
                <w:tcPr>
                  <w:tcW w:w="2920" w:type="dxa"/>
                  <w:vAlign w:val="center"/>
                </w:tcPr>
                <w:p>
                  <w:pPr>
                    <w:pStyle w:val="102"/>
                    <w:rPr>
                      <w:highlight w:val="none"/>
                    </w:rPr>
                  </w:pPr>
                  <w:r>
                    <w:rPr>
                      <w:rFonts w:hint="eastAsia"/>
                      <w:highlight w:val="none"/>
                    </w:rPr>
                    <w:t>50</w:t>
                  </w:r>
                </w:p>
              </w:tc>
              <w:tc>
                <w:tcPr>
                  <w:tcW w:w="3127" w:type="dxa"/>
                  <w:vMerge w:val="restart"/>
                  <w:tcBorders>
                    <w:right w:val="nil"/>
                  </w:tcBorders>
                  <w:vAlign w:val="center"/>
                </w:tcPr>
                <w:p>
                  <w:pPr>
                    <w:pStyle w:val="102"/>
                    <w:rPr>
                      <w:highlight w:val="none"/>
                    </w:rPr>
                  </w:pPr>
                  <w:r>
                    <w:rPr>
                      <w:highlight w:val="none"/>
                    </w:rPr>
                    <w:t>烟囱或烟道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2345" w:type="dxa"/>
                  <w:tcBorders>
                    <w:left w:val="nil"/>
                  </w:tcBorders>
                  <w:vAlign w:val="center"/>
                </w:tcPr>
                <w:p>
                  <w:pPr>
                    <w:pStyle w:val="102"/>
                    <w:rPr>
                      <w:highlight w:val="none"/>
                    </w:rPr>
                  </w:pPr>
                  <w:r>
                    <w:rPr>
                      <w:highlight w:val="none"/>
                    </w:rPr>
                    <w:t>二氧化硫</w:t>
                  </w:r>
                </w:p>
              </w:tc>
              <w:tc>
                <w:tcPr>
                  <w:tcW w:w="2920" w:type="dxa"/>
                  <w:vAlign w:val="center"/>
                </w:tcPr>
                <w:p>
                  <w:pPr>
                    <w:pStyle w:val="102"/>
                    <w:rPr>
                      <w:highlight w:val="none"/>
                    </w:rPr>
                  </w:pPr>
                  <w:r>
                    <w:rPr>
                      <w:rFonts w:hint="eastAsia"/>
                      <w:highlight w:val="none"/>
                    </w:rPr>
                    <w:t>300</w:t>
                  </w:r>
                </w:p>
              </w:tc>
              <w:tc>
                <w:tcPr>
                  <w:tcW w:w="3127" w:type="dxa"/>
                  <w:vMerge w:val="continue"/>
                  <w:tcBorders>
                    <w:right w:val="nil"/>
                  </w:tcBorders>
                  <w:vAlign w:val="center"/>
                </w:tcPr>
                <w:p>
                  <w:pPr>
                    <w:pStyle w:val="102"/>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345" w:type="dxa"/>
                  <w:tcBorders>
                    <w:left w:val="nil"/>
                  </w:tcBorders>
                  <w:vAlign w:val="center"/>
                </w:tcPr>
                <w:p>
                  <w:pPr>
                    <w:pStyle w:val="102"/>
                    <w:rPr>
                      <w:highlight w:val="none"/>
                    </w:rPr>
                  </w:pPr>
                  <w:r>
                    <w:rPr>
                      <w:highlight w:val="none"/>
                    </w:rPr>
                    <w:t>氮氧化物</w:t>
                  </w:r>
                </w:p>
              </w:tc>
              <w:tc>
                <w:tcPr>
                  <w:tcW w:w="2920" w:type="dxa"/>
                  <w:vAlign w:val="center"/>
                </w:tcPr>
                <w:p>
                  <w:pPr>
                    <w:pStyle w:val="102"/>
                    <w:rPr>
                      <w:highlight w:val="none"/>
                    </w:rPr>
                  </w:pPr>
                  <w:r>
                    <w:rPr>
                      <w:rFonts w:hint="eastAsia"/>
                      <w:highlight w:val="none"/>
                    </w:rPr>
                    <w:t>300</w:t>
                  </w:r>
                </w:p>
              </w:tc>
              <w:tc>
                <w:tcPr>
                  <w:tcW w:w="3127" w:type="dxa"/>
                  <w:vMerge w:val="continue"/>
                  <w:tcBorders>
                    <w:right w:val="nil"/>
                  </w:tcBorders>
                  <w:vAlign w:val="center"/>
                </w:tcPr>
                <w:p>
                  <w:pPr>
                    <w:pStyle w:val="102"/>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345" w:type="dxa"/>
                  <w:tcBorders>
                    <w:left w:val="nil"/>
                  </w:tcBorders>
                  <w:vAlign w:val="center"/>
                </w:tcPr>
                <w:p>
                  <w:pPr>
                    <w:pStyle w:val="102"/>
                    <w:rPr>
                      <w:highlight w:val="none"/>
                    </w:rPr>
                  </w:pPr>
                  <w:r>
                    <w:rPr>
                      <w:rFonts w:hint="eastAsia"/>
                      <w:highlight w:val="none"/>
                    </w:rPr>
                    <w:t>汞及其化合物</w:t>
                  </w:r>
                </w:p>
              </w:tc>
              <w:tc>
                <w:tcPr>
                  <w:tcW w:w="2920" w:type="dxa"/>
                  <w:vAlign w:val="center"/>
                </w:tcPr>
                <w:p>
                  <w:pPr>
                    <w:pStyle w:val="102"/>
                    <w:rPr>
                      <w:highlight w:val="none"/>
                    </w:rPr>
                  </w:pPr>
                  <w:r>
                    <w:rPr>
                      <w:rFonts w:hint="eastAsia"/>
                      <w:highlight w:val="none"/>
                    </w:rPr>
                    <w:t>0.05</w:t>
                  </w:r>
                </w:p>
              </w:tc>
              <w:tc>
                <w:tcPr>
                  <w:tcW w:w="3127" w:type="dxa"/>
                  <w:vMerge w:val="continue"/>
                  <w:tcBorders>
                    <w:right w:val="nil"/>
                  </w:tcBorders>
                  <w:vAlign w:val="center"/>
                </w:tcPr>
                <w:p>
                  <w:pPr>
                    <w:pStyle w:val="102"/>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2345" w:type="dxa"/>
                  <w:tcBorders>
                    <w:left w:val="nil"/>
                    <w:bottom w:val="single" w:color="000000" w:sz="10" w:space="0"/>
                  </w:tcBorders>
                  <w:vAlign w:val="center"/>
                </w:tcPr>
                <w:p>
                  <w:pPr>
                    <w:pStyle w:val="102"/>
                    <w:rPr>
                      <w:highlight w:val="none"/>
                    </w:rPr>
                  </w:pPr>
                  <w:r>
                    <w:rPr>
                      <w:highlight w:val="none"/>
                    </w:rPr>
                    <w:t>烟气黑度</w:t>
                  </w:r>
                  <w:r>
                    <w:rPr>
                      <w:rFonts w:hint="eastAsia"/>
                      <w:highlight w:val="none"/>
                      <w:lang w:eastAsia="zh-CN"/>
                    </w:rPr>
                    <w:t>（</w:t>
                  </w:r>
                  <w:r>
                    <w:rPr>
                      <w:highlight w:val="none"/>
                    </w:rPr>
                    <w:t>林格曼黑度，级</w:t>
                  </w:r>
                  <w:r>
                    <w:rPr>
                      <w:rFonts w:hint="eastAsia"/>
                      <w:highlight w:val="none"/>
                      <w:lang w:eastAsia="zh-CN"/>
                    </w:rPr>
                    <w:t>）</w:t>
                  </w:r>
                </w:p>
              </w:tc>
              <w:tc>
                <w:tcPr>
                  <w:tcW w:w="2920" w:type="dxa"/>
                  <w:tcBorders>
                    <w:bottom w:val="single" w:color="000000" w:sz="10" w:space="0"/>
                  </w:tcBorders>
                  <w:vAlign w:val="center"/>
                </w:tcPr>
                <w:p>
                  <w:pPr>
                    <w:pStyle w:val="102"/>
                    <w:rPr>
                      <w:highlight w:val="none"/>
                    </w:rPr>
                  </w:pPr>
                  <w:r>
                    <w:rPr>
                      <w:highlight w:val="none"/>
                    </w:rPr>
                    <w:t>≤1</w:t>
                  </w:r>
                </w:p>
              </w:tc>
              <w:tc>
                <w:tcPr>
                  <w:tcW w:w="3127" w:type="dxa"/>
                  <w:tcBorders>
                    <w:bottom w:val="single" w:color="000000" w:sz="10" w:space="0"/>
                    <w:right w:val="nil"/>
                  </w:tcBorders>
                  <w:vAlign w:val="center"/>
                </w:tcPr>
                <w:p>
                  <w:pPr>
                    <w:pStyle w:val="102"/>
                    <w:rPr>
                      <w:highlight w:val="none"/>
                    </w:rPr>
                  </w:pPr>
                  <w:r>
                    <w:rPr>
                      <w:highlight w:val="none"/>
                    </w:rPr>
                    <w:t>烟囱排放口</w:t>
                  </w:r>
                </w:p>
              </w:tc>
            </w:tr>
          </w:tbl>
          <w:p>
            <w:pPr>
              <w:adjustRightInd w:val="0"/>
              <w:snapToGrid w:val="0"/>
              <w:rPr>
                <w:bCs/>
                <w:szCs w:val="21"/>
                <w:highlight w:val="none"/>
              </w:rPr>
            </w:pPr>
            <w:r>
              <w:rPr>
                <w:rFonts w:hint="eastAsia"/>
                <w:bCs/>
                <w:szCs w:val="21"/>
                <w:highlight w:val="none"/>
              </w:rPr>
              <w:t>注：根据《锅炉大气污染物排放标准》（</w:t>
            </w:r>
            <w:r>
              <w:rPr>
                <w:bCs/>
                <w:szCs w:val="21"/>
                <w:highlight w:val="none"/>
              </w:rPr>
              <w:t>GB13271-2014</w:t>
            </w:r>
            <w:r>
              <w:rPr>
                <w:rFonts w:hint="eastAsia"/>
                <w:bCs/>
                <w:szCs w:val="21"/>
                <w:highlight w:val="none"/>
              </w:rPr>
              <w:t>）中</w:t>
            </w:r>
            <w:r>
              <w:rPr>
                <w:bCs/>
                <w:szCs w:val="21"/>
                <w:highlight w:val="none"/>
              </w:rPr>
              <w:t>4.5</w:t>
            </w:r>
            <w:r>
              <w:rPr>
                <w:rFonts w:hint="eastAsia"/>
                <w:bCs/>
                <w:szCs w:val="21"/>
                <w:highlight w:val="none"/>
              </w:rPr>
              <w:t>条，燃煤锅炉房装机总容量为2~＜4t/h，锅炉烟囱最低允许高度30</w:t>
            </w:r>
            <w:r>
              <w:rPr>
                <w:bCs/>
                <w:szCs w:val="21"/>
                <w:highlight w:val="none"/>
              </w:rPr>
              <w:t>m</w:t>
            </w:r>
            <w:r>
              <w:rPr>
                <w:rFonts w:hint="eastAsia"/>
                <w:bCs/>
                <w:szCs w:val="21"/>
                <w:highlight w:val="none"/>
              </w:rPr>
              <w:t>。新建锅炉房的烟囱周围半径</w:t>
            </w:r>
            <w:r>
              <w:rPr>
                <w:bCs/>
                <w:szCs w:val="21"/>
                <w:highlight w:val="none"/>
              </w:rPr>
              <w:t>200m</w:t>
            </w:r>
            <w:r>
              <w:rPr>
                <w:rFonts w:hint="eastAsia"/>
                <w:bCs/>
                <w:szCs w:val="21"/>
                <w:highlight w:val="none"/>
              </w:rPr>
              <w:t>距离内有建筑物时，其烟囱还应高出最高建筑</w:t>
            </w:r>
            <w:r>
              <w:rPr>
                <w:bCs/>
                <w:szCs w:val="21"/>
                <w:highlight w:val="none"/>
              </w:rPr>
              <w:t>3m</w:t>
            </w:r>
            <w:r>
              <w:rPr>
                <w:rFonts w:hint="eastAsia"/>
                <w:bCs/>
                <w:szCs w:val="21"/>
                <w:highlight w:val="none"/>
              </w:rPr>
              <w:t>以上。</w:t>
            </w:r>
          </w:p>
          <w:p>
            <w:pPr>
              <w:pStyle w:val="141"/>
              <w:rPr>
                <w:highlight w:val="none"/>
              </w:rPr>
            </w:pPr>
            <w:r>
              <w:rPr>
                <w:highlight w:val="none"/>
              </w:rPr>
              <w:t>表</w:t>
            </w:r>
            <w:r>
              <w:rPr>
                <w:rFonts w:hint="eastAsia"/>
                <w:highlight w:val="none"/>
              </w:rPr>
              <w:t>3-6</w:t>
            </w:r>
            <w:r>
              <w:rPr>
                <w:highlight w:val="none"/>
              </w:rPr>
              <w:t xml:space="preserve">  厂界</w:t>
            </w:r>
            <w:r>
              <w:rPr>
                <w:rFonts w:hint="eastAsia"/>
                <w:highlight w:val="none"/>
              </w:rPr>
              <w:t>无组织</w:t>
            </w:r>
            <w:r>
              <w:rPr>
                <w:highlight w:val="none"/>
              </w:rPr>
              <w:t>排放</w:t>
            </w:r>
            <w:r>
              <w:rPr>
                <w:rFonts w:hint="eastAsia"/>
                <w:highlight w:val="none"/>
              </w:rPr>
              <w:t>标准限值     单位：mg/</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p>
          <w:tbl>
            <w:tblPr>
              <w:tblStyle w:val="40"/>
              <w:tblW w:w="494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57"/>
              <w:gridCol w:w="1269"/>
              <w:gridCol w:w="1664"/>
              <w:gridCol w:w="1649"/>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vMerge w:val="restart"/>
                  <w:tcBorders>
                    <w:left w:val="nil"/>
                  </w:tcBorders>
                  <w:vAlign w:val="center"/>
                </w:tcPr>
                <w:p>
                  <w:pPr>
                    <w:jc w:val="center"/>
                    <w:rPr>
                      <w:b/>
                      <w:bCs/>
                      <w:spacing w:val="6"/>
                      <w:szCs w:val="21"/>
                      <w:highlight w:val="none"/>
                    </w:rPr>
                  </w:pPr>
                  <w:r>
                    <w:rPr>
                      <w:rFonts w:hint="eastAsia"/>
                      <w:b/>
                      <w:bCs/>
                      <w:spacing w:val="6"/>
                      <w:szCs w:val="21"/>
                      <w:highlight w:val="none"/>
                    </w:rPr>
                    <w:t>污染物</w:t>
                  </w:r>
                </w:p>
              </w:tc>
              <w:tc>
                <w:tcPr>
                  <w:tcW w:w="2344" w:type="pct"/>
                  <w:gridSpan w:val="3"/>
                  <w:vAlign w:val="center"/>
                </w:tcPr>
                <w:p>
                  <w:pPr>
                    <w:jc w:val="center"/>
                    <w:rPr>
                      <w:b/>
                      <w:bCs/>
                      <w:spacing w:val="6"/>
                      <w:szCs w:val="21"/>
                      <w:highlight w:val="none"/>
                    </w:rPr>
                  </w:pPr>
                  <w:r>
                    <w:rPr>
                      <w:rFonts w:hint="eastAsia"/>
                      <w:b/>
                      <w:bCs/>
                      <w:spacing w:val="6"/>
                      <w:szCs w:val="21"/>
                      <w:highlight w:val="none"/>
                    </w:rPr>
                    <w:t>国家标准限值</w:t>
                  </w:r>
                </w:p>
              </w:tc>
              <w:tc>
                <w:tcPr>
                  <w:tcW w:w="993" w:type="pct"/>
                  <w:vAlign w:val="center"/>
                </w:tcPr>
                <w:p>
                  <w:pPr>
                    <w:jc w:val="center"/>
                    <w:rPr>
                      <w:b/>
                      <w:bCs/>
                      <w:spacing w:val="6"/>
                      <w:szCs w:val="21"/>
                      <w:highlight w:val="none"/>
                    </w:rPr>
                  </w:pPr>
                  <w:r>
                    <w:rPr>
                      <w:rFonts w:hint="eastAsia"/>
                      <w:b/>
                      <w:bCs/>
                      <w:spacing w:val="6"/>
                      <w:szCs w:val="21"/>
                      <w:highlight w:val="none"/>
                    </w:rPr>
                    <w:t>承诺限值</w:t>
                  </w:r>
                </w:p>
              </w:tc>
              <w:tc>
                <w:tcPr>
                  <w:tcW w:w="1106" w:type="pct"/>
                  <w:tcBorders>
                    <w:right w:val="nil"/>
                  </w:tcBorders>
                  <w:vAlign w:val="center"/>
                </w:tcPr>
                <w:p>
                  <w:pPr>
                    <w:jc w:val="center"/>
                    <w:rPr>
                      <w:b/>
                      <w:bCs/>
                      <w:spacing w:val="6"/>
                      <w:szCs w:val="21"/>
                      <w:highlight w:val="none"/>
                    </w:rPr>
                  </w:pPr>
                  <w:r>
                    <w:rPr>
                      <w:rFonts w:hint="eastAsia"/>
                      <w:b/>
                      <w:bCs/>
                      <w:spacing w:val="6"/>
                      <w:szCs w:val="21"/>
                      <w:highlight w:val="none"/>
                    </w:rPr>
                    <w:t>本项目执行限值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vMerge w:val="continue"/>
                  <w:tcBorders>
                    <w:left w:val="nil"/>
                  </w:tcBorders>
                  <w:vAlign w:val="center"/>
                </w:tcPr>
                <w:p>
                  <w:pPr>
                    <w:jc w:val="center"/>
                    <w:rPr>
                      <w:b/>
                      <w:bCs/>
                      <w:spacing w:val="6"/>
                      <w:szCs w:val="21"/>
                      <w:highlight w:val="none"/>
                    </w:rPr>
                  </w:pPr>
                </w:p>
              </w:tc>
              <w:tc>
                <w:tcPr>
                  <w:tcW w:w="1342" w:type="pct"/>
                  <w:gridSpan w:val="2"/>
                  <w:vAlign w:val="center"/>
                </w:tcPr>
                <w:p>
                  <w:pPr>
                    <w:jc w:val="center"/>
                    <w:rPr>
                      <w:b/>
                      <w:bCs/>
                      <w:spacing w:val="6"/>
                      <w:szCs w:val="21"/>
                      <w:highlight w:val="none"/>
                    </w:rPr>
                  </w:pPr>
                  <w:r>
                    <w:rPr>
                      <w:b/>
                      <w:bCs/>
                      <w:spacing w:val="6"/>
                      <w:szCs w:val="21"/>
                      <w:highlight w:val="none"/>
                    </w:rPr>
                    <w:t>无组织排放监控浓度限值</w:t>
                  </w:r>
                </w:p>
              </w:tc>
              <w:tc>
                <w:tcPr>
                  <w:tcW w:w="1002" w:type="pct"/>
                  <w:vAlign w:val="center"/>
                </w:tcPr>
                <w:p>
                  <w:pPr>
                    <w:jc w:val="center"/>
                    <w:rPr>
                      <w:b/>
                      <w:bCs/>
                      <w:spacing w:val="6"/>
                      <w:szCs w:val="21"/>
                      <w:highlight w:val="none"/>
                    </w:rPr>
                  </w:pPr>
                  <w:r>
                    <w:rPr>
                      <w:rFonts w:hint="eastAsia"/>
                      <w:b/>
                      <w:bCs/>
                      <w:spacing w:val="6"/>
                      <w:szCs w:val="21"/>
                      <w:highlight w:val="none"/>
                    </w:rPr>
                    <w:t>标准来源</w:t>
                  </w:r>
                </w:p>
              </w:tc>
              <w:tc>
                <w:tcPr>
                  <w:tcW w:w="993" w:type="pct"/>
                  <w:vAlign w:val="center"/>
                </w:tcPr>
                <w:p>
                  <w:pPr>
                    <w:jc w:val="center"/>
                    <w:rPr>
                      <w:b/>
                      <w:bCs/>
                      <w:spacing w:val="6"/>
                      <w:szCs w:val="21"/>
                      <w:highlight w:val="none"/>
                    </w:rPr>
                  </w:pPr>
                  <w:r>
                    <w:rPr>
                      <w:b/>
                      <w:bCs/>
                      <w:spacing w:val="6"/>
                      <w:szCs w:val="21"/>
                      <w:highlight w:val="none"/>
                    </w:rPr>
                    <w:t>无组织排放监控浓度限值</w:t>
                  </w:r>
                </w:p>
              </w:tc>
              <w:tc>
                <w:tcPr>
                  <w:tcW w:w="1106" w:type="pct"/>
                  <w:tcBorders>
                    <w:right w:val="nil"/>
                  </w:tcBorders>
                  <w:vAlign w:val="center"/>
                </w:tcPr>
                <w:p>
                  <w:pPr>
                    <w:jc w:val="center"/>
                    <w:rPr>
                      <w:b/>
                      <w:bCs/>
                      <w:spacing w:val="6"/>
                      <w:szCs w:val="21"/>
                      <w:highlight w:val="none"/>
                    </w:rPr>
                  </w:pPr>
                  <w:r>
                    <w:rPr>
                      <w:b/>
                      <w:bCs/>
                      <w:spacing w:val="6"/>
                      <w:szCs w:val="21"/>
                      <w:highlight w:val="non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tcBorders>
                    <w:left w:val="nil"/>
                  </w:tcBorders>
                  <w:shd w:val="clear" w:color="auto" w:fill="FFFFFF"/>
                  <w:vAlign w:val="center"/>
                </w:tcPr>
                <w:p>
                  <w:pPr>
                    <w:jc w:val="center"/>
                    <w:rPr>
                      <w:spacing w:val="6"/>
                      <w:szCs w:val="21"/>
                      <w:highlight w:val="none"/>
                    </w:rPr>
                  </w:pPr>
                  <w:r>
                    <w:rPr>
                      <w:rFonts w:hint="eastAsia"/>
                      <w:spacing w:val="6"/>
                      <w:szCs w:val="21"/>
                      <w:highlight w:val="none"/>
                    </w:rPr>
                    <w:t>NH</w:t>
                  </w:r>
                  <w:r>
                    <w:rPr>
                      <w:rFonts w:hint="eastAsia"/>
                      <w:spacing w:val="6"/>
                      <w:szCs w:val="21"/>
                      <w:highlight w:val="none"/>
                      <w:vertAlign w:val="subscript"/>
                    </w:rPr>
                    <w:t>3</w:t>
                  </w:r>
                </w:p>
              </w:tc>
              <w:tc>
                <w:tcPr>
                  <w:tcW w:w="577" w:type="pct"/>
                  <w:vMerge w:val="restart"/>
                  <w:vAlign w:val="center"/>
                </w:tcPr>
                <w:p>
                  <w:pPr>
                    <w:autoSpaceDE w:val="0"/>
                    <w:autoSpaceDN w:val="0"/>
                    <w:jc w:val="center"/>
                    <w:rPr>
                      <w:rFonts w:eastAsia="Calibri"/>
                      <w:szCs w:val="21"/>
                      <w:highlight w:val="none"/>
                    </w:rPr>
                  </w:pPr>
                  <w:r>
                    <w:rPr>
                      <w:bCs/>
                      <w:szCs w:val="21"/>
                      <w:highlight w:val="none"/>
                    </w:rPr>
                    <w:t>周界外浓度最高点</w:t>
                  </w:r>
                </w:p>
              </w:tc>
              <w:tc>
                <w:tcPr>
                  <w:tcW w:w="764" w:type="pct"/>
                  <w:vAlign w:val="center"/>
                </w:tcPr>
                <w:p>
                  <w:pPr>
                    <w:autoSpaceDE w:val="0"/>
                    <w:autoSpaceDN w:val="0"/>
                    <w:jc w:val="center"/>
                    <w:rPr>
                      <w:rFonts w:eastAsia="Calibri"/>
                      <w:szCs w:val="21"/>
                      <w:highlight w:val="none"/>
                    </w:rPr>
                  </w:pPr>
                  <w:r>
                    <w:rPr>
                      <w:rFonts w:hint="eastAsia" w:eastAsia="Calibri"/>
                      <w:szCs w:val="21"/>
                      <w:highlight w:val="none"/>
                    </w:rPr>
                    <w:t>≤1.5</w:t>
                  </w:r>
                </w:p>
              </w:tc>
              <w:tc>
                <w:tcPr>
                  <w:tcW w:w="1002" w:type="pct"/>
                  <w:vMerge w:val="restart"/>
                  <w:vAlign w:val="center"/>
                </w:tcPr>
                <w:p>
                  <w:pPr>
                    <w:autoSpaceDE w:val="0"/>
                    <w:autoSpaceDN w:val="0"/>
                    <w:jc w:val="center"/>
                    <w:rPr>
                      <w:rFonts w:eastAsia="Calibri"/>
                      <w:szCs w:val="21"/>
                      <w:highlight w:val="none"/>
                    </w:rPr>
                  </w:pPr>
                  <w:r>
                    <w:rPr>
                      <w:spacing w:val="13"/>
                      <w:szCs w:val="21"/>
                      <w:highlight w:val="none"/>
                    </w:rPr>
                    <w:t>《恶臭污染物排放标</w:t>
                  </w:r>
                  <w:r>
                    <w:rPr>
                      <w:spacing w:val="-8"/>
                      <w:szCs w:val="21"/>
                      <w:highlight w:val="none"/>
                    </w:rPr>
                    <w:t>准》（</w:t>
                  </w:r>
                  <w:r>
                    <w:rPr>
                      <w:rFonts w:eastAsia="Times New Roman"/>
                      <w:spacing w:val="-8"/>
                      <w:szCs w:val="21"/>
                      <w:highlight w:val="none"/>
                    </w:rPr>
                    <w:t>GB14554-93</w:t>
                  </w:r>
                  <w:r>
                    <w:rPr>
                      <w:spacing w:val="-8"/>
                      <w:szCs w:val="21"/>
                      <w:highlight w:val="none"/>
                    </w:rPr>
                    <w:t>）</w:t>
                  </w:r>
                  <w:r>
                    <w:rPr>
                      <w:rFonts w:hint="eastAsia"/>
                      <w:spacing w:val="-8"/>
                      <w:szCs w:val="21"/>
                      <w:highlight w:val="none"/>
                    </w:rPr>
                    <w:t>表1中二级新扩改建标准</w:t>
                  </w:r>
                </w:p>
              </w:tc>
              <w:tc>
                <w:tcPr>
                  <w:tcW w:w="993" w:type="pct"/>
                  <w:vAlign w:val="center"/>
                </w:tcPr>
                <w:p>
                  <w:pPr>
                    <w:jc w:val="center"/>
                    <w:rPr>
                      <w:spacing w:val="6"/>
                      <w:szCs w:val="21"/>
                      <w:highlight w:val="none"/>
                    </w:rPr>
                  </w:pPr>
                  <w:r>
                    <w:rPr>
                      <w:rFonts w:hint="eastAsia"/>
                      <w:spacing w:val="6"/>
                      <w:szCs w:val="21"/>
                      <w:highlight w:val="none"/>
                    </w:rPr>
                    <w:t>1.0</w:t>
                  </w:r>
                </w:p>
              </w:tc>
              <w:tc>
                <w:tcPr>
                  <w:tcW w:w="1106" w:type="pct"/>
                  <w:tcBorders>
                    <w:right w:val="nil"/>
                  </w:tcBorders>
                  <w:vAlign w:val="center"/>
                </w:tcPr>
                <w:p>
                  <w:pPr>
                    <w:jc w:val="center"/>
                    <w:rPr>
                      <w:spacing w:val="6"/>
                      <w:szCs w:val="21"/>
                      <w:highlight w:val="none"/>
                    </w:rPr>
                  </w:pPr>
                  <w:r>
                    <w:rPr>
                      <w:rFonts w:hint="eastAsia"/>
                      <w:spacing w:val="6"/>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tcBorders>
                    <w:left w:val="nil"/>
                  </w:tcBorders>
                  <w:shd w:val="clear" w:color="auto" w:fill="FFFFFF"/>
                  <w:vAlign w:val="center"/>
                </w:tcPr>
                <w:p>
                  <w:pPr>
                    <w:jc w:val="center"/>
                    <w:rPr>
                      <w:spacing w:val="6"/>
                      <w:szCs w:val="21"/>
                      <w:highlight w:val="none"/>
                    </w:rPr>
                  </w:pPr>
                  <w:r>
                    <w:rPr>
                      <w:rFonts w:hint="eastAsia"/>
                      <w:spacing w:val="6"/>
                      <w:szCs w:val="21"/>
                      <w:highlight w:val="none"/>
                    </w:rPr>
                    <w:t>H</w:t>
                  </w:r>
                  <w:r>
                    <w:rPr>
                      <w:rFonts w:hint="eastAsia"/>
                      <w:spacing w:val="6"/>
                      <w:szCs w:val="21"/>
                      <w:highlight w:val="none"/>
                      <w:vertAlign w:val="subscript"/>
                    </w:rPr>
                    <w:t>2</w:t>
                  </w:r>
                  <w:r>
                    <w:rPr>
                      <w:rFonts w:hint="eastAsia"/>
                      <w:spacing w:val="6"/>
                      <w:szCs w:val="21"/>
                      <w:highlight w:val="none"/>
                    </w:rPr>
                    <w:t>S</w:t>
                  </w:r>
                </w:p>
              </w:tc>
              <w:tc>
                <w:tcPr>
                  <w:tcW w:w="577" w:type="pct"/>
                  <w:vMerge w:val="continue"/>
                  <w:vAlign w:val="center"/>
                </w:tcPr>
                <w:p>
                  <w:pPr>
                    <w:autoSpaceDE w:val="0"/>
                    <w:autoSpaceDN w:val="0"/>
                    <w:jc w:val="center"/>
                    <w:rPr>
                      <w:rFonts w:eastAsia="Calibri"/>
                      <w:szCs w:val="21"/>
                      <w:highlight w:val="none"/>
                    </w:rPr>
                  </w:pPr>
                </w:p>
              </w:tc>
              <w:tc>
                <w:tcPr>
                  <w:tcW w:w="764" w:type="pct"/>
                  <w:vAlign w:val="center"/>
                </w:tcPr>
                <w:p>
                  <w:pPr>
                    <w:autoSpaceDE w:val="0"/>
                    <w:autoSpaceDN w:val="0"/>
                    <w:jc w:val="center"/>
                    <w:rPr>
                      <w:rFonts w:eastAsia="Calibri"/>
                      <w:szCs w:val="21"/>
                      <w:highlight w:val="none"/>
                    </w:rPr>
                  </w:pPr>
                  <w:r>
                    <w:rPr>
                      <w:rFonts w:hint="eastAsia" w:eastAsia="Calibri"/>
                      <w:szCs w:val="21"/>
                      <w:highlight w:val="none"/>
                    </w:rPr>
                    <w:t>≤0.06</w:t>
                  </w:r>
                </w:p>
              </w:tc>
              <w:tc>
                <w:tcPr>
                  <w:tcW w:w="1002" w:type="pct"/>
                  <w:vMerge w:val="continue"/>
                  <w:vAlign w:val="center"/>
                </w:tcPr>
                <w:p>
                  <w:pPr>
                    <w:autoSpaceDE w:val="0"/>
                    <w:autoSpaceDN w:val="0"/>
                    <w:jc w:val="center"/>
                    <w:rPr>
                      <w:rFonts w:eastAsia="Calibri"/>
                      <w:szCs w:val="21"/>
                      <w:highlight w:val="none"/>
                    </w:rPr>
                  </w:pPr>
                </w:p>
              </w:tc>
              <w:tc>
                <w:tcPr>
                  <w:tcW w:w="993" w:type="pct"/>
                  <w:vAlign w:val="center"/>
                </w:tcPr>
                <w:p>
                  <w:pPr>
                    <w:jc w:val="center"/>
                    <w:rPr>
                      <w:szCs w:val="21"/>
                      <w:highlight w:val="none"/>
                    </w:rPr>
                  </w:pPr>
                  <w:r>
                    <w:rPr>
                      <w:rFonts w:hint="eastAsia"/>
                      <w:spacing w:val="6"/>
                      <w:szCs w:val="21"/>
                      <w:highlight w:val="none"/>
                    </w:rPr>
                    <w:t>0.06</w:t>
                  </w:r>
                </w:p>
              </w:tc>
              <w:tc>
                <w:tcPr>
                  <w:tcW w:w="1106" w:type="pct"/>
                  <w:tcBorders>
                    <w:right w:val="nil"/>
                  </w:tcBorders>
                  <w:vAlign w:val="center"/>
                </w:tcPr>
                <w:p>
                  <w:pPr>
                    <w:jc w:val="center"/>
                    <w:rPr>
                      <w:szCs w:val="21"/>
                      <w:highlight w:val="none"/>
                    </w:rPr>
                  </w:pPr>
                  <w:r>
                    <w:rPr>
                      <w:rFonts w:hint="eastAsia"/>
                      <w:spacing w:val="6"/>
                      <w:szCs w:val="21"/>
                      <w:highlight w:val="none"/>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tcBorders>
                    <w:left w:val="nil"/>
                  </w:tcBorders>
                  <w:shd w:val="clear" w:color="auto" w:fill="FFFFFF"/>
                  <w:vAlign w:val="center"/>
                </w:tcPr>
                <w:p>
                  <w:pPr>
                    <w:jc w:val="center"/>
                    <w:rPr>
                      <w:spacing w:val="6"/>
                      <w:szCs w:val="21"/>
                      <w:highlight w:val="none"/>
                    </w:rPr>
                  </w:pPr>
                  <w:r>
                    <w:rPr>
                      <w:rFonts w:hint="eastAsia"/>
                      <w:spacing w:val="6"/>
                      <w:szCs w:val="21"/>
                      <w:highlight w:val="none"/>
                    </w:rPr>
                    <w:t>臭气浓度</w:t>
                  </w:r>
                </w:p>
              </w:tc>
              <w:tc>
                <w:tcPr>
                  <w:tcW w:w="577" w:type="pct"/>
                  <w:vMerge w:val="continue"/>
                  <w:vAlign w:val="center"/>
                </w:tcPr>
                <w:p>
                  <w:pPr>
                    <w:autoSpaceDE w:val="0"/>
                    <w:autoSpaceDN w:val="0"/>
                    <w:jc w:val="center"/>
                    <w:rPr>
                      <w:rFonts w:eastAsia="Calibri"/>
                      <w:szCs w:val="21"/>
                      <w:highlight w:val="none"/>
                    </w:rPr>
                  </w:pPr>
                </w:p>
              </w:tc>
              <w:tc>
                <w:tcPr>
                  <w:tcW w:w="764" w:type="pct"/>
                  <w:vAlign w:val="center"/>
                </w:tcPr>
                <w:p>
                  <w:pPr>
                    <w:autoSpaceDE w:val="0"/>
                    <w:autoSpaceDN w:val="0"/>
                    <w:jc w:val="center"/>
                    <w:rPr>
                      <w:rFonts w:eastAsia="Calibri"/>
                      <w:szCs w:val="21"/>
                      <w:highlight w:val="none"/>
                    </w:rPr>
                  </w:pPr>
                  <w:r>
                    <w:rPr>
                      <w:rFonts w:hint="eastAsia" w:eastAsia="Calibri"/>
                      <w:szCs w:val="21"/>
                      <w:highlight w:val="none"/>
                    </w:rPr>
                    <w:t>≤20（无量纲）</w:t>
                  </w:r>
                </w:p>
              </w:tc>
              <w:tc>
                <w:tcPr>
                  <w:tcW w:w="1002" w:type="pct"/>
                  <w:vMerge w:val="continue"/>
                  <w:vAlign w:val="center"/>
                </w:tcPr>
                <w:p>
                  <w:pPr>
                    <w:autoSpaceDE w:val="0"/>
                    <w:autoSpaceDN w:val="0"/>
                    <w:jc w:val="center"/>
                    <w:rPr>
                      <w:rFonts w:eastAsia="Calibri"/>
                      <w:szCs w:val="21"/>
                      <w:highlight w:val="none"/>
                    </w:rPr>
                  </w:pPr>
                </w:p>
              </w:tc>
              <w:tc>
                <w:tcPr>
                  <w:tcW w:w="993" w:type="pct"/>
                  <w:vAlign w:val="center"/>
                </w:tcPr>
                <w:p>
                  <w:pPr>
                    <w:jc w:val="center"/>
                    <w:rPr>
                      <w:spacing w:val="6"/>
                      <w:szCs w:val="21"/>
                      <w:highlight w:val="none"/>
                    </w:rPr>
                  </w:pPr>
                  <w:r>
                    <w:rPr>
                      <w:rFonts w:hint="eastAsia"/>
                      <w:spacing w:val="6"/>
                      <w:szCs w:val="21"/>
                      <w:highlight w:val="none"/>
                    </w:rPr>
                    <w:t>20</w:t>
                  </w:r>
                </w:p>
              </w:tc>
              <w:tc>
                <w:tcPr>
                  <w:tcW w:w="1106" w:type="pct"/>
                  <w:tcBorders>
                    <w:right w:val="nil"/>
                  </w:tcBorders>
                  <w:vAlign w:val="center"/>
                </w:tcPr>
                <w:p>
                  <w:pPr>
                    <w:jc w:val="center"/>
                    <w:rPr>
                      <w:spacing w:val="6"/>
                      <w:szCs w:val="21"/>
                      <w:highlight w:val="none"/>
                    </w:rPr>
                  </w:pPr>
                  <w:r>
                    <w:rPr>
                      <w:rFonts w:hint="eastAsia"/>
                      <w:spacing w:val="6"/>
                      <w:szCs w:val="21"/>
                      <w:highlight w:val="none"/>
                    </w:rPr>
                    <w:t>20</w:t>
                  </w:r>
                </w:p>
              </w:tc>
            </w:tr>
          </w:tbl>
          <w:p>
            <w:pPr>
              <w:spacing w:before="120" w:beforeLines="50" w:line="360" w:lineRule="auto"/>
              <w:ind w:firstLine="481" w:firstLineChars="200"/>
              <w:rPr>
                <w:b/>
                <w:sz w:val="24"/>
                <w:highlight w:val="none"/>
              </w:rPr>
            </w:pPr>
            <w:r>
              <w:rPr>
                <w:rFonts w:hint="eastAsia"/>
                <w:b/>
                <w:sz w:val="24"/>
                <w:highlight w:val="none"/>
              </w:rPr>
              <w:t>2</w:t>
            </w:r>
            <w:r>
              <w:rPr>
                <w:b/>
                <w:sz w:val="24"/>
                <w:highlight w:val="none"/>
              </w:rPr>
              <w:t>、废水</w:t>
            </w:r>
          </w:p>
          <w:p>
            <w:pPr>
              <w:pStyle w:val="108"/>
              <w:ind w:firstLine="48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项目生产废水经自建污水处理站处理，生活污水经化粪池预处理后，一并排入厂区自建污水处理站进行深度处理。处理后的尾水部分回用于厂区绿化，其余外排至企业租用的池塘，最终用于周边农田灌溉。</w:t>
            </w:r>
          </w:p>
          <w:p>
            <w:pPr>
              <w:pStyle w:val="108"/>
              <w:ind w:firstLine="480"/>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highlight w:val="none"/>
              </w:rPr>
              <w:t>污水处理站出水水质要求同时执行《城镇污水处理厂污染物排放标准》（GB18918-2002）及修改单表1中一级A标准、《鄱阳湖生态经济区水污染物排放标准》（DB36/852-2015）中滨湖控制开发带标准及《农田灌溉水质标准》（GB5084-2021）表1水田作物限值中的较严值。经逐项指标对比分析，除pH限值存在差异外，其余各项污染物的最严限值</w:t>
            </w:r>
            <w:r>
              <w:rPr>
                <w:rFonts w:hint="eastAsia" w:cs="Times New Roman"/>
                <w:color w:val="0000FF"/>
                <w:highlight w:val="none"/>
                <w:lang w:val="en-US" w:eastAsia="zh-CN"/>
              </w:rPr>
              <w:t>均为</w:t>
            </w:r>
            <w:r>
              <w:rPr>
                <w:rFonts w:hint="default" w:ascii="Times New Roman" w:hAnsi="Times New Roman" w:eastAsia="宋体" w:cs="Times New Roman"/>
                <w:color w:val="0000FF"/>
                <w:highlight w:val="none"/>
              </w:rPr>
              <w:t>《城镇污水处理厂污染物排放标准》（GB18918-2002）一级A标准</w:t>
            </w:r>
            <w:r>
              <w:rPr>
                <w:rFonts w:hint="eastAsia" w:cs="Times New Roman"/>
                <w:color w:val="0000FF"/>
                <w:highlight w:val="none"/>
                <w:lang w:val="en-US" w:eastAsia="zh-CN"/>
              </w:rPr>
              <w:t>值</w:t>
            </w:r>
            <w:r>
              <w:rPr>
                <w:rFonts w:hint="default" w:ascii="Times New Roman" w:hAnsi="Times New Roman" w:eastAsia="宋体" w:cs="Times New Roman"/>
                <w:color w:val="0000FF"/>
                <w:highlight w:val="none"/>
              </w:rPr>
              <w:t>，因此，本项目污水处理站出水水质统一执行《城镇污水处理厂污染物排放标准》（GB18918-2002）表1中一级A标准，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rFonts w:hint="default" w:ascii="Times New Roman" w:hAnsi="Times New Roman" w:eastAsia="宋体" w:cs="Times New Roman"/>
                <w:color w:val="0000FF"/>
                <w:highlight w:val="none"/>
              </w:rPr>
              <w:t>。具体排放标准限值见表3-7。</w:t>
            </w:r>
          </w:p>
          <w:p>
            <w:pPr>
              <w:adjustRightInd w:val="0"/>
              <w:jc w:val="center"/>
              <w:textAlignment w:val="baseline"/>
              <w:rPr>
                <w:b/>
                <w:szCs w:val="21"/>
                <w:highlight w:val="none"/>
              </w:rPr>
            </w:pPr>
            <w:r>
              <w:rPr>
                <w:rFonts w:hint="eastAsia"/>
                <w:b/>
                <w:szCs w:val="21"/>
                <w:highlight w:val="none"/>
              </w:rPr>
              <w:t>表</w:t>
            </w:r>
            <w:r>
              <w:rPr>
                <w:b/>
                <w:szCs w:val="21"/>
                <w:highlight w:val="none"/>
              </w:rPr>
              <w:t>3-</w:t>
            </w:r>
            <w:r>
              <w:rPr>
                <w:rFonts w:hint="eastAsia"/>
                <w:b/>
                <w:szCs w:val="21"/>
                <w:highlight w:val="none"/>
              </w:rPr>
              <w:t>7  项目废水排放标准一览表  单位：mg/L（pH无量纲）</w:t>
            </w:r>
          </w:p>
          <w:tbl>
            <w:tblPr>
              <w:tblStyle w:val="3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956"/>
              <w:gridCol w:w="804"/>
              <w:gridCol w:w="806"/>
              <w:gridCol w:w="806"/>
              <w:gridCol w:w="806"/>
              <w:gridCol w:w="806"/>
              <w:gridCol w:w="806"/>
              <w:gridCol w:w="805"/>
              <w:gridCol w:w="80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62" w:type="pct"/>
                  <w:tcBorders>
                    <w:top w:val="single" w:color="auto" w:sz="4" w:space="0"/>
                  </w:tcBorders>
                  <w:vAlign w:val="center"/>
                </w:tcPr>
                <w:p>
                  <w:pPr>
                    <w:pStyle w:val="85"/>
                    <w:jc w:val="center"/>
                    <w:rPr>
                      <w:rFonts w:ascii="Times New Roman" w:hAnsi="Times New Roman" w:cs="Times New Roman"/>
                      <w:b/>
                      <w:bCs/>
                      <w:highlight w:val="none"/>
                    </w:rPr>
                  </w:pPr>
                  <w:r>
                    <w:rPr>
                      <w:rFonts w:ascii="Times New Roman" w:hAnsi="Times New Roman" w:cs="Times New Roman"/>
                      <w:b/>
                      <w:bCs/>
                      <w:highlight w:val="none"/>
                    </w:rPr>
                    <w:t>指标</w:t>
                  </w:r>
                </w:p>
              </w:tc>
              <w:tc>
                <w:tcPr>
                  <w:tcW w:w="478" w:type="pct"/>
                  <w:tcBorders>
                    <w:top w:val="single" w:color="auto" w:sz="4" w:space="0"/>
                  </w:tcBorders>
                  <w:vAlign w:val="center"/>
                </w:tcPr>
                <w:p>
                  <w:pPr>
                    <w:pStyle w:val="85"/>
                    <w:jc w:val="center"/>
                    <w:rPr>
                      <w:rFonts w:ascii="Times New Roman" w:hAnsi="Times New Roman" w:cs="Times New Roman"/>
                      <w:b/>
                      <w:bCs/>
                      <w:highlight w:val="none"/>
                      <w:lang w:val="en-US"/>
                    </w:rPr>
                  </w:pPr>
                  <w:r>
                    <w:rPr>
                      <w:rFonts w:ascii="Times New Roman" w:hAnsi="Times New Roman" w:cs="Times New Roman"/>
                      <w:b/>
                      <w:bCs/>
                      <w:highlight w:val="none"/>
                      <w:lang w:val="en-US"/>
                    </w:rPr>
                    <w:t>pH</w:t>
                  </w:r>
                </w:p>
              </w:tc>
              <w:tc>
                <w:tcPr>
                  <w:tcW w:w="479" w:type="pct"/>
                  <w:tcBorders>
                    <w:top w:val="single" w:color="auto" w:sz="4" w:space="0"/>
                  </w:tcBorders>
                  <w:vAlign w:val="center"/>
                </w:tcPr>
                <w:p>
                  <w:pPr>
                    <w:pStyle w:val="85"/>
                    <w:jc w:val="center"/>
                    <w:rPr>
                      <w:rFonts w:ascii="Times New Roman" w:hAnsi="Times New Roman" w:cs="Times New Roman"/>
                      <w:b/>
                      <w:bCs/>
                      <w:highlight w:val="none"/>
                      <w:lang w:val="en-US"/>
                    </w:rPr>
                  </w:pPr>
                  <w:r>
                    <w:rPr>
                      <w:rFonts w:ascii="Times New Roman" w:hAnsi="Times New Roman" w:cs="Times New Roman"/>
                      <w:b/>
                      <w:bCs/>
                      <w:highlight w:val="none"/>
                      <w:lang w:val="en-US"/>
                    </w:rPr>
                    <w:t>COD</w:t>
                  </w:r>
                  <w:r>
                    <w:rPr>
                      <w:rFonts w:ascii="Times New Roman" w:hAnsi="Times New Roman" w:cs="Times New Roman"/>
                      <w:b/>
                      <w:bCs/>
                      <w:highlight w:val="none"/>
                      <w:vertAlign w:val="subscript"/>
                      <w:lang w:val="en-US"/>
                    </w:rPr>
                    <w:t>cr</w:t>
                  </w:r>
                </w:p>
              </w:tc>
              <w:tc>
                <w:tcPr>
                  <w:tcW w:w="479" w:type="pct"/>
                  <w:tcBorders>
                    <w:top w:val="single" w:color="auto" w:sz="4" w:space="0"/>
                  </w:tcBorders>
                  <w:vAlign w:val="center"/>
                </w:tcPr>
                <w:p>
                  <w:pPr>
                    <w:pStyle w:val="85"/>
                    <w:jc w:val="center"/>
                    <w:rPr>
                      <w:rFonts w:ascii="Times New Roman" w:hAnsi="Times New Roman" w:cs="Times New Roman"/>
                      <w:b/>
                      <w:bCs/>
                      <w:highlight w:val="none"/>
                    </w:rPr>
                  </w:pPr>
                  <w:r>
                    <w:rPr>
                      <w:rFonts w:ascii="Times New Roman" w:hAnsi="Times New Roman" w:cs="Times New Roman"/>
                      <w:b/>
                      <w:bCs/>
                      <w:position w:val="2"/>
                      <w:highlight w:val="none"/>
                    </w:rPr>
                    <w:t>BOD</w:t>
                  </w:r>
                  <w:r>
                    <w:rPr>
                      <w:rFonts w:ascii="Times New Roman" w:hAnsi="Times New Roman" w:cs="Times New Roman"/>
                      <w:b/>
                      <w:bCs/>
                      <w:position w:val="2"/>
                      <w:highlight w:val="none"/>
                      <w:vertAlign w:val="subscript"/>
                    </w:rPr>
                    <w:t>5</w:t>
                  </w:r>
                </w:p>
              </w:tc>
              <w:tc>
                <w:tcPr>
                  <w:tcW w:w="479" w:type="pct"/>
                  <w:tcBorders>
                    <w:top w:val="single" w:color="auto" w:sz="4" w:space="0"/>
                  </w:tcBorders>
                  <w:vAlign w:val="center"/>
                </w:tcPr>
                <w:p>
                  <w:pPr>
                    <w:pStyle w:val="85"/>
                    <w:jc w:val="center"/>
                    <w:rPr>
                      <w:rFonts w:ascii="Times New Roman" w:hAnsi="Times New Roman" w:cs="Times New Roman"/>
                      <w:b/>
                      <w:bCs/>
                      <w:highlight w:val="none"/>
                    </w:rPr>
                  </w:pPr>
                  <w:r>
                    <w:rPr>
                      <w:rFonts w:hint="eastAsia" w:ascii="Times New Roman" w:hAnsi="Times New Roman" w:cs="Times New Roman"/>
                      <w:b/>
                      <w:bCs/>
                      <w:highlight w:val="none"/>
                    </w:rPr>
                    <w:t>N</w:t>
                  </w:r>
                  <w:r>
                    <w:rPr>
                      <w:rFonts w:ascii="Times New Roman" w:hAnsi="Times New Roman" w:cs="Times New Roman"/>
                      <w:b/>
                      <w:bCs/>
                      <w:highlight w:val="none"/>
                    </w:rPr>
                    <w:t>H</w:t>
                  </w:r>
                  <w:r>
                    <w:rPr>
                      <w:rFonts w:ascii="Times New Roman" w:hAnsi="Times New Roman" w:cs="Times New Roman"/>
                      <w:b/>
                      <w:bCs/>
                      <w:highlight w:val="none"/>
                      <w:vertAlign w:val="subscript"/>
                    </w:rPr>
                    <w:t>3</w:t>
                  </w:r>
                  <w:r>
                    <w:rPr>
                      <w:rFonts w:ascii="Times New Roman" w:hAnsi="Times New Roman" w:cs="Times New Roman"/>
                      <w:b/>
                      <w:bCs/>
                      <w:highlight w:val="none"/>
                    </w:rPr>
                    <w:t>-N</w:t>
                  </w:r>
                </w:p>
              </w:tc>
              <w:tc>
                <w:tcPr>
                  <w:tcW w:w="479" w:type="pct"/>
                  <w:tcBorders>
                    <w:top w:val="single" w:color="auto" w:sz="4" w:space="0"/>
                  </w:tcBorders>
                  <w:vAlign w:val="center"/>
                </w:tcPr>
                <w:p>
                  <w:pPr>
                    <w:pStyle w:val="85"/>
                    <w:jc w:val="center"/>
                    <w:rPr>
                      <w:rFonts w:ascii="Times New Roman" w:hAnsi="Times New Roman" w:cs="Times New Roman"/>
                      <w:b/>
                      <w:bCs/>
                      <w:highlight w:val="none"/>
                    </w:rPr>
                  </w:pPr>
                  <w:r>
                    <w:rPr>
                      <w:rFonts w:ascii="Times New Roman" w:hAnsi="Times New Roman" w:cs="Times New Roman"/>
                      <w:b/>
                      <w:bCs/>
                      <w:highlight w:val="none"/>
                    </w:rPr>
                    <w:t>SS</w:t>
                  </w:r>
                </w:p>
              </w:tc>
              <w:tc>
                <w:tcPr>
                  <w:tcW w:w="479" w:type="pct"/>
                  <w:tcBorders>
                    <w:top w:val="single" w:color="auto" w:sz="4" w:space="0"/>
                  </w:tcBorders>
                  <w:vAlign w:val="center"/>
                </w:tcPr>
                <w:p>
                  <w:pPr>
                    <w:pStyle w:val="85"/>
                    <w:jc w:val="center"/>
                    <w:rPr>
                      <w:rFonts w:ascii="Times New Roman" w:hAnsi="Times New Roman" w:cs="Times New Roman"/>
                      <w:b/>
                      <w:bCs/>
                      <w:highlight w:val="none"/>
                    </w:rPr>
                  </w:pPr>
                  <w:r>
                    <w:rPr>
                      <w:rFonts w:hint="eastAsia" w:ascii="Times New Roman" w:hAnsi="Times New Roman" w:cs="Times New Roman"/>
                      <w:b/>
                      <w:bCs/>
                      <w:highlight w:val="none"/>
                    </w:rPr>
                    <w:t>T</w:t>
                  </w:r>
                  <w:r>
                    <w:rPr>
                      <w:rFonts w:ascii="Times New Roman" w:hAnsi="Times New Roman" w:cs="Times New Roman"/>
                      <w:b/>
                      <w:bCs/>
                      <w:highlight w:val="none"/>
                    </w:rPr>
                    <w:t>P</w:t>
                  </w:r>
                </w:p>
              </w:tc>
              <w:tc>
                <w:tcPr>
                  <w:tcW w:w="479" w:type="pct"/>
                  <w:tcBorders>
                    <w:top w:val="single" w:color="auto" w:sz="4" w:space="0"/>
                  </w:tcBorders>
                  <w:vAlign w:val="center"/>
                </w:tcPr>
                <w:p>
                  <w:pPr>
                    <w:pStyle w:val="85"/>
                    <w:jc w:val="center"/>
                    <w:rPr>
                      <w:rFonts w:ascii="Times New Roman" w:hAnsi="Times New Roman" w:cs="Times New Roman"/>
                      <w:b/>
                      <w:bCs/>
                      <w:highlight w:val="none"/>
                    </w:rPr>
                  </w:pPr>
                  <w:r>
                    <w:rPr>
                      <w:rFonts w:ascii="Times New Roman" w:hAnsi="Times New Roman" w:cs="Times New Roman"/>
                      <w:b/>
                      <w:bCs/>
                      <w:highlight w:val="none"/>
                    </w:rPr>
                    <w:t>TN</w:t>
                  </w:r>
                </w:p>
              </w:tc>
              <w:tc>
                <w:tcPr>
                  <w:tcW w:w="481" w:type="pct"/>
                  <w:tcBorders>
                    <w:top w:val="single" w:color="auto" w:sz="4" w:space="0"/>
                  </w:tcBorders>
                  <w:vAlign w:val="center"/>
                </w:tcPr>
                <w:p>
                  <w:pPr>
                    <w:pStyle w:val="85"/>
                    <w:jc w:val="center"/>
                    <w:rPr>
                      <w:rFonts w:ascii="Times New Roman" w:hAnsi="Times New Roman" w:cs="Times New Roman"/>
                      <w:b/>
                      <w:bCs/>
                      <w:highlight w:val="none"/>
                      <w:lang w:val="en-US"/>
                    </w:rPr>
                  </w:pPr>
                  <w:r>
                    <w:rPr>
                      <w:rFonts w:hint="eastAsia" w:ascii="Times New Roman" w:hAnsi="Times New Roman" w:cs="Times New Roman"/>
                      <w:b/>
                      <w:bCs/>
                      <w:highlight w:val="none"/>
                      <w:lang w:val="en-US"/>
                    </w:rPr>
                    <w:t>动植物油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62" w:type="pct"/>
                  <w:vAlign w:val="center"/>
                </w:tcPr>
                <w:p>
                  <w:pPr>
                    <w:pStyle w:val="85"/>
                    <w:jc w:val="center"/>
                    <w:rPr>
                      <w:rFonts w:ascii="Times New Roman" w:hAnsi="Times New Roman" w:cs="Times New Roman"/>
                      <w:highlight w:val="none"/>
                    </w:rPr>
                  </w:pPr>
                  <w:r>
                    <w:rPr>
                      <w:rFonts w:hint="eastAsia" w:ascii="Times New Roman" w:hAnsi="Times New Roman" w:cs="Times New Roman"/>
                      <w:highlight w:val="none"/>
                    </w:rPr>
                    <w:t>《城镇污水处理厂污染物排放标准》（GB18918-2002）表1中一级A标准</w:t>
                  </w:r>
                </w:p>
              </w:tc>
              <w:tc>
                <w:tcPr>
                  <w:tcW w:w="478" w:type="pct"/>
                  <w:vAlign w:val="center"/>
                </w:tcPr>
                <w:p>
                  <w:pPr>
                    <w:pStyle w:val="85"/>
                    <w:jc w:val="center"/>
                    <w:rPr>
                      <w:rFonts w:ascii="Times New Roman" w:hAnsi="Times New Roman" w:cs="Times New Roman"/>
                      <w:highlight w:val="none"/>
                      <w:lang w:val="en-US"/>
                    </w:rPr>
                  </w:pPr>
                  <w:r>
                    <w:rPr>
                      <w:rFonts w:ascii="Times New Roman" w:hAnsi="Times New Roman" w:cs="Times New Roman"/>
                      <w:highlight w:val="none"/>
                      <w:lang w:val="en-US"/>
                    </w:rPr>
                    <w:t>6~9</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5</w:t>
                  </w:r>
                  <w:r>
                    <w:rPr>
                      <w:rFonts w:ascii="Times New Roman" w:hAnsi="Times New Roman" w:cs="Times New Roman"/>
                      <w:highlight w:val="none"/>
                      <w:lang w:val="en-US"/>
                    </w:rPr>
                    <w:t>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w:t>
                  </w:r>
                  <w:r>
                    <w:rPr>
                      <w:rFonts w:ascii="Times New Roman" w:hAnsi="Times New Roman" w:cs="Times New Roman"/>
                      <w:highlight w:val="none"/>
                      <w:lang w:val="en-US"/>
                    </w:rPr>
                    <w:t>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5</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w:t>
                  </w:r>
                  <w:r>
                    <w:rPr>
                      <w:rFonts w:ascii="Times New Roman" w:hAnsi="Times New Roman" w:cs="Times New Roman"/>
                      <w:highlight w:val="none"/>
                      <w:lang w:val="en-US"/>
                    </w:rPr>
                    <w:t>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0</w:t>
                  </w:r>
                  <w:r>
                    <w:rPr>
                      <w:rFonts w:ascii="Times New Roman" w:hAnsi="Times New Roman" w:cs="Times New Roman"/>
                      <w:highlight w:val="none"/>
                      <w:lang w:val="en-US"/>
                    </w:rPr>
                    <w:t>.5</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w:t>
                  </w:r>
                  <w:r>
                    <w:rPr>
                      <w:rFonts w:ascii="Times New Roman" w:hAnsi="Times New Roman" w:cs="Times New Roman"/>
                      <w:highlight w:val="none"/>
                      <w:lang w:val="en-US"/>
                    </w:rPr>
                    <w:t>5</w:t>
                  </w:r>
                </w:p>
              </w:tc>
              <w:tc>
                <w:tcPr>
                  <w:tcW w:w="481"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62" w:type="pct"/>
                  <w:vAlign w:val="center"/>
                </w:tcPr>
                <w:p>
                  <w:pPr>
                    <w:pStyle w:val="85"/>
                    <w:jc w:val="center"/>
                    <w:rPr>
                      <w:rFonts w:ascii="Times New Roman" w:hAnsi="Times New Roman" w:cs="Times New Roman"/>
                      <w:highlight w:val="none"/>
                    </w:rPr>
                  </w:pPr>
                  <w:r>
                    <w:rPr>
                      <w:rFonts w:hint="eastAsia" w:ascii="Times New Roman" w:hAnsi="Times New Roman" w:cs="Times New Roman"/>
                      <w:highlight w:val="none"/>
                    </w:rPr>
                    <w:t>《鄱阳湖生态经济区水污染物排放标准》（DB36/852</w:t>
                  </w:r>
                  <w:r>
                    <w:rPr>
                      <w:rFonts w:hint="eastAsia" w:ascii="Times New Roman" w:hAnsi="Times New Roman" w:cs="Times New Roman"/>
                      <w:highlight w:val="none"/>
                      <w:lang w:val="en-US"/>
                    </w:rPr>
                    <w:t>-</w:t>
                  </w:r>
                  <w:r>
                    <w:rPr>
                      <w:rFonts w:hint="eastAsia" w:ascii="Times New Roman" w:hAnsi="Times New Roman" w:cs="Times New Roman"/>
                      <w:highlight w:val="none"/>
                    </w:rPr>
                    <w:t>2015）中</w:t>
                  </w:r>
                  <w:r>
                    <w:rPr>
                      <w:rFonts w:hint="eastAsia"/>
                      <w:highlight w:val="none"/>
                      <w:lang w:val="en-US"/>
                    </w:rPr>
                    <w:t>滨湖控制开发带</w:t>
                  </w:r>
                  <w:r>
                    <w:rPr>
                      <w:rFonts w:hint="eastAsia" w:ascii="Times New Roman" w:hAnsi="Times New Roman" w:cs="Times New Roman"/>
                      <w:highlight w:val="none"/>
                    </w:rPr>
                    <w:t>标准</w:t>
                  </w:r>
                </w:p>
              </w:tc>
              <w:tc>
                <w:tcPr>
                  <w:tcW w:w="478"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50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8</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0.5</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15</w:t>
                  </w:r>
                </w:p>
              </w:tc>
              <w:tc>
                <w:tcPr>
                  <w:tcW w:w="481"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62"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《农田灌溉水质标准》（GB5084-2021）表1水田作物限值</w:t>
                  </w:r>
                </w:p>
              </w:tc>
              <w:tc>
                <w:tcPr>
                  <w:tcW w:w="478"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5.5~8.5</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150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60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80</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w:t>
                  </w:r>
                </w:p>
              </w:tc>
              <w:tc>
                <w:tcPr>
                  <w:tcW w:w="479" w:type="pct"/>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w:t>
                  </w:r>
                </w:p>
              </w:tc>
              <w:tc>
                <w:tcPr>
                  <w:tcW w:w="481" w:type="pct"/>
                  <w:vAlign w:val="center"/>
                </w:tcPr>
                <w:p>
                  <w:pPr>
                    <w:pStyle w:val="85"/>
                    <w:jc w:val="center"/>
                    <w:rPr>
                      <w:rFonts w:hint="eastAsia" w:ascii="Times New Roman" w:hAnsi="Times New Roman" w:eastAsia="宋体" w:cs="Times New Roman"/>
                      <w:highlight w:val="none"/>
                      <w:lang w:val="en-US"/>
                    </w:rPr>
                  </w:pPr>
                  <w:r>
                    <w:rPr>
                      <w:rFonts w:hint="eastAsia" w:ascii="Times New Roman" w:hAnsi="Times New Roman" w:eastAsia="宋体" w:cs="Times New Roman"/>
                      <w:highlight w:val="none"/>
                      <w:lang w:val="en-US"/>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62"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项目废水排放标准</w:t>
                  </w:r>
                </w:p>
              </w:tc>
              <w:tc>
                <w:tcPr>
                  <w:tcW w:w="478"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6~8.5</w:t>
                  </w:r>
                </w:p>
              </w:tc>
              <w:tc>
                <w:tcPr>
                  <w:tcW w:w="479"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50</w:t>
                  </w:r>
                </w:p>
              </w:tc>
              <w:tc>
                <w:tcPr>
                  <w:tcW w:w="479"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10</w:t>
                  </w:r>
                </w:p>
              </w:tc>
              <w:tc>
                <w:tcPr>
                  <w:tcW w:w="479"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5</w:t>
                  </w:r>
                </w:p>
              </w:tc>
              <w:tc>
                <w:tcPr>
                  <w:tcW w:w="479"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10</w:t>
                  </w:r>
                </w:p>
              </w:tc>
              <w:tc>
                <w:tcPr>
                  <w:tcW w:w="479"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0.5</w:t>
                  </w:r>
                </w:p>
              </w:tc>
              <w:tc>
                <w:tcPr>
                  <w:tcW w:w="479" w:type="pct"/>
                  <w:tcBorders>
                    <w:bottom w:val="single" w:color="auto" w:sz="4" w:space="0"/>
                  </w:tcBorders>
                  <w:vAlign w:val="center"/>
                </w:tcPr>
                <w:p>
                  <w:pPr>
                    <w:pStyle w:val="85"/>
                    <w:jc w:val="center"/>
                    <w:rPr>
                      <w:rFonts w:ascii="Times New Roman" w:hAnsi="Times New Roman" w:cs="Times New Roman"/>
                      <w:highlight w:val="none"/>
                      <w:lang w:val="en-US"/>
                    </w:rPr>
                  </w:pPr>
                  <w:r>
                    <w:rPr>
                      <w:rFonts w:hint="eastAsia" w:ascii="Times New Roman" w:hAnsi="Times New Roman" w:cs="Times New Roman"/>
                      <w:highlight w:val="none"/>
                      <w:lang w:val="en-US"/>
                    </w:rPr>
                    <w:t>15</w:t>
                  </w:r>
                </w:p>
              </w:tc>
              <w:tc>
                <w:tcPr>
                  <w:tcW w:w="481" w:type="pct"/>
                  <w:tcBorders>
                    <w:bottom w:val="single" w:color="auto" w:sz="4" w:space="0"/>
                  </w:tcBorders>
                  <w:vAlign w:val="center"/>
                </w:tcPr>
                <w:p>
                  <w:pPr>
                    <w:pStyle w:val="85"/>
                    <w:jc w:val="center"/>
                    <w:rPr>
                      <w:rFonts w:hint="eastAsia" w:ascii="Times New Roman" w:hAnsi="Times New Roman" w:eastAsia="宋体" w:cs="Times New Roman"/>
                      <w:highlight w:val="none"/>
                      <w:lang w:val="en-US"/>
                    </w:rPr>
                  </w:pPr>
                  <w:r>
                    <w:rPr>
                      <w:rFonts w:hint="eastAsia" w:ascii="Times New Roman" w:hAnsi="Times New Roman" w:eastAsia="宋体" w:cs="Times New Roman"/>
                      <w:highlight w:val="none"/>
                      <w:lang w:val="en-US"/>
                    </w:rPr>
                    <w:t>1</w:t>
                  </w:r>
                </w:p>
              </w:tc>
            </w:tr>
          </w:tbl>
          <w:p>
            <w:pPr>
              <w:spacing w:line="360" w:lineRule="auto"/>
              <w:ind w:left="480" w:right="315" w:rightChars="150"/>
              <w:jc w:val="left"/>
              <w:rPr>
                <w:b/>
                <w:sz w:val="24"/>
                <w:highlight w:val="none"/>
              </w:rPr>
            </w:pPr>
            <w:r>
              <w:rPr>
                <w:rFonts w:hint="eastAsia"/>
                <w:b/>
                <w:sz w:val="24"/>
                <w:highlight w:val="none"/>
              </w:rPr>
              <w:t>3</w:t>
            </w:r>
            <w:r>
              <w:rPr>
                <w:b/>
                <w:sz w:val="24"/>
                <w:highlight w:val="none"/>
              </w:rPr>
              <w:t>、噪声</w:t>
            </w:r>
          </w:p>
          <w:p>
            <w:pPr>
              <w:pStyle w:val="108"/>
              <w:ind w:firstLine="480"/>
              <w:rPr>
                <w:highlight w:val="none"/>
              </w:rPr>
            </w:pPr>
            <w:r>
              <w:rPr>
                <w:highlight w:val="none"/>
              </w:rPr>
              <w:t>施工期噪声排放执行《建筑施工噪声排放标准》（GB12523-20</w:t>
            </w:r>
            <w:r>
              <w:rPr>
                <w:rFonts w:hint="eastAsia"/>
                <w:highlight w:val="none"/>
              </w:rPr>
              <w:t>25</w:t>
            </w:r>
            <w:r>
              <w:rPr>
                <w:highlight w:val="none"/>
              </w:rPr>
              <w:t>）；运营期项目厂界四周噪声执行《工业企业厂界环境噪声排放标准》（GB12348-2008）中3类标准</w:t>
            </w:r>
            <w:r>
              <w:rPr>
                <w:rFonts w:hint="eastAsia"/>
                <w:highlight w:val="none"/>
              </w:rPr>
              <w:t>，详见表3-8、表3-9</w:t>
            </w:r>
            <w:r>
              <w:rPr>
                <w:highlight w:val="none"/>
              </w:rPr>
              <w:t>。</w:t>
            </w:r>
          </w:p>
          <w:p>
            <w:pPr>
              <w:ind w:right="315" w:rightChars="150" w:firstLine="480"/>
              <w:jc w:val="center"/>
              <w:rPr>
                <w:szCs w:val="21"/>
                <w:highlight w:val="none"/>
              </w:rPr>
            </w:pPr>
            <w:r>
              <w:rPr>
                <w:b/>
                <w:kern w:val="0"/>
                <w:szCs w:val="21"/>
                <w:highlight w:val="none"/>
              </w:rPr>
              <w:t>表3-</w:t>
            </w:r>
            <w:r>
              <w:rPr>
                <w:rFonts w:hint="eastAsia"/>
                <w:b/>
                <w:kern w:val="0"/>
                <w:szCs w:val="21"/>
                <w:highlight w:val="none"/>
              </w:rPr>
              <w:t>8  建筑施工</w:t>
            </w:r>
            <w:r>
              <w:rPr>
                <w:b/>
                <w:kern w:val="0"/>
                <w:szCs w:val="21"/>
                <w:highlight w:val="none"/>
              </w:rPr>
              <w:t xml:space="preserve">噪声排放标准  </w:t>
            </w:r>
            <w:r>
              <w:rPr>
                <w:b/>
                <w:szCs w:val="21"/>
                <w:highlight w:val="none"/>
              </w:rPr>
              <w:t>Leq：dB（A）</w:t>
            </w:r>
          </w:p>
          <w:tbl>
            <w:tblPr>
              <w:tblStyle w:val="3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494"/>
              <w:gridCol w:w="1213"/>
              <w:gridCol w:w="40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0" w:type="dxa"/>
                  <w:tcBorders>
                    <w:top w:val="single" w:color="auto" w:sz="4" w:space="0"/>
                    <w:left w:val="nil"/>
                    <w:bottom w:val="single" w:color="auto" w:sz="4" w:space="0"/>
                  </w:tcBorders>
                  <w:vAlign w:val="center"/>
                </w:tcPr>
                <w:p>
                  <w:pPr>
                    <w:autoSpaceDE w:val="0"/>
                    <w:jc w:val="center"/>
                    <w:rPr>
                      <w:b/>
                      <w:bCs/>
                      <w:highlight w:val="none"/>
                    </w:rPr>
                  </w:pPr>
                  <w:r>
                    <w:rPr>
                      <w:rFonts w:hint="eastAsia"/>
                      <w:b/>
                      <w:bCs/>
                      <w:highlight w:val="none"/>
                    </w:rPr>
                    <w:t>位置</w:t>
                  </w:r>
                </w:p>
              </w:tc>
              <w:tc>
                <w:tcPr>
                  <w:tcW w:w="1494" w:type="dxa"/>
                  <w:tcBorders>
                    <w:top w:val="single" w:color="auto" w:sz="4" w:space="0"/>
                    <w:bottom w:val="single" w:color="auto" w:sz="4" w:space="0"/>
                  </w:tcBorders>
                  <w:vAlign w:val="center"/>
                </w:tcPr>
                <w:p>
                  <w:pPr>
                    <w:autoSpaceDE w:val="0"/>
                    <w:jc w:val="center"/>
                    <w:rPr>
                      <w:b/>
                      <w:bCs/>
                      <w:szCs w:val="21"/>
                      <w:highlight w:val="none"/>
                    </w:rPr>
                  </w:pPr>
                  <w:r>
                    <w:rPr>
                      <w:b/>
                      <w:bCs/>
                      <w:highlight w:val="none"/>
                    </w:rPr>
                    <w:t>昼间</w:t>
                  </w:r>
                </w:p>
              </w:tc>
              <w:tc>
                <w:tcPr>
                  <w:tcW w:w="1213" w:type="dxa"/>
                  <w:tcBorders>
                    <w:top w:val="single" w:color="auto" w:sz="4" w:space="0"/>
                    <w:bottom w:val="single" w:color="auto" w:sz="4" w:space="0"/>
                  </w:tcBorders>
                  <w:vAlign w:val="center"/>
                </w:tcPr>
                <w:p>
                  <w:pPr>
                    <w:autoSpaceDE w:val="0"/>
                    <w:jc w:val="center"/>
                    <w:rPr>
                      <w:b/>
                      <w:bCs/>
                      <w:szCs w:val="21"/>
                      <w:highlight w:val="none"/>
                    </w:rPr>
                  </w:pPr>
                  <w:r>
                    <w:rPr>
                      <w:b/>
                      <w:bCs/>
                      <w:highlight w:val="none"/>
                    </w:rPr>
                    <w:t>夜间</w:t>
                  </w:r>
                </w:p>
              </w:tc>
              <w:tc>
                <w:tcPr>
                  <w:tcW w:w="4081" w:type="dxa"/>
                  <w:tcBorders>
                    <w:top w:val="single" w:color="auto" w:sz="4" w:space="0"/>
                    <w:bottom w:val="single" w:color="auto" w:sz="4" w:space="0"/>
                    <w:right w:val="nil"/>
                  </w:tcBorders>
                  <w:vAlign w:val="center"/>
                </w:tcPr>
                <w:p>
                  <w:pPr>
                    <w:autoSpaceDE w:val="0"/>
                    <w:jc w:val="center"/>
                    <w:rPr>
                      <w:b/>
                      <w:bCs/>
                      <w:szCs w:val="21"/>
                      <w:highlight w:val="none"/>
                    </w:rPr>
                  </w:pPr>
                  <w:r>
                    <w:rPr>
                      <w:b/>
                      <w:bCs/>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0" w:type="dxa"/>
                  <w:tcBorders>
                    <w:top w:val="single" w:color="auto" w:sz="4" w:space="0"/>
                    <w:left w:val="nil"/>
                    <w:bottom w:val="single" w:color="auto" w:sz="4" w:space="0"/>
                  </w:tcBorders>
                  <w:vAlign w:val="center"/>
                </w:tcPr>
                <w:p>
                  <w:pPr>
                    <w:autoSpaceDE w:val="0"/>
                    <w:jc w:val="center"/>
                    <w:rPr>
                      <w:highlight w:val="none"/>
                    </w:rPr>
                  </w:pPr>
                  <w:r>
                    <w:rPr>
                      <w:rFonts w:hint="eastAsia"/>
                      <w:highlight w:val="none"/>
                    </w:rPr>
                    <w:t>场界</w:t>
                  </w:r>
                </w:p>
              </w:tc>
              <w:tc>
                <w:tcPr>
                  <w:tcW w:w="1494" w:type="dxa"/>
                  <w:tcBorders>
                    <w:top w:val="single" w:color="auto" w:sz="4" w:space="0"/>
                    <w:bottom w:val="single" w:color="auto" w:sz="4" w:space="0"/>
                  </w:tcBorders>
                  <w:vAlign w:val="center"/>
                </w:tcPr>
                <w:p>
                  <w:pPr>
                    <w:autoSpaceDE w:val="0"/>
                    <w:jc w:val="center"/>
                    <w:rPr>
                      <w:szCs w:val="21"/>
                      <w:highlight w:val="none"/>
                    </w:rPr>
                  </w:pPr>
                  <w:r>
                    <w:rPr>
                      <w:rFonts w:hint="eastAsia"/>
                      <w:highlight w:val="none"/>
                    </w:rPr>
                    <w:t>70</w:t>
                  </w:r>
                </w:p>
              </w:tc>
              <w:tc>
                <w:tcPr>
                  <w:tcW w:w="1213" w:type="dxa"/>
                  <w:tcBorders>
                    <w:top w:val="single" w:color="auto" w:sz="4" w:space="0"/>
                    <w:bottom w:val="single" w:color="auto" w:sz="4" w:space="0"/>
                  </w:tcBorders>
                  <w:vAlign w:val="center"/>
                </w:tcPr>
                <w:p>
                  <w:pPr>
                    <w:autoSpaceDE w:val="0"/>
                    <w:jc w:val="center"/>
                    <w:rPr>
                      <w:szCs w:val="21"/>
                      <w:highlight w:val="none"/>
                    </w:rPr>
                  </w:pPr>
                  <w:r>
                    <w:rPr>
                      <w:highlight w:val="none"/>
                    </w:rPr>
                    <w:t>55</w:t>
                  </w:r>
                </w:p>
              </w:tc>
              <w:tc>
                <w:tcPr>
                  <w:tcW w:w="4081" w:type="dxa"/>
                  <w:tcBorders>
                    <w:top w:val="single" w:color="auto" w:sz="4" w:space="0"/>
                    <w:bottom w:val="single" w:color="auto" w:sz="4" w:space="0"/>
                    <w:right w:val="nil"/>
                  </w:tcBorders>
                  <w:vAlign w:val="center"/>
                </w:tcPr>
                <w:p>
                  <w:pPr>
                    <w:autoSpaceDE w:val="0"/>
                    <w:jc w:val="center"/>
                    <w:rPr>
                      <w:szCs w:val="21"/>
                      <w:highlight w:val="none"/>
                    </w:rPr>
                  </w:pPr>
                  <w:r>
                    <w:rPr>
                      <w:highlight w:val="none"/>
                    </w:rPr>
                    <w:t>《建筑施工噪声排放标准》（GB12523-20</w:t>
                  </w:r>
                  <w:r>
                    <w:rPr>
                      <w:rFonts w:hint="eastAsia"/>
                      <w:highlight w:val="none"/>
                    </w:rPr>
                    <w:t>25</w:t>
                  </w:r>
                  <w:r>
                    <w:rPr>
                      <w:highlight w:val="none"/>
                    </w:rPr>
                    <w:t>）</w:t>
                  </w:r>
                </w:p>
              </w:tc>
            </w:tr>
          </w:tbl>
          <w:p>
            <w:pPr>
              <w:rPr>
                <w:highlight w:val="none"/>
              </w:rPr>
            </w:pPr>
          </w:p>
          <w:p>
            <w:pPr>
              <w:ind w:right="315" w:rightChars="150" w:firstLine="480"/>
              <w:jc w:val="center"/>
              <w:rPr>
                <w:szCs w:val="21"/>
                <w:highlight w:val="none"/>
              </w:rPr>
            </w:pPr>
            <w:r>
              <w:rPr>
                <w:b/>
                <w:kern w:val="0"/>
                <w:szCs w:val="21"/>
                <w:highlight w:val="none"/>
              </w:rPr>
              <w:t>表3</w:t>
            </w:r>
            <w:r>
              <w:rPr>
                <w:rFonts w:hint="eastAsia"/>
                <w:b/>
                <w:kern w:val="0"/>
                <w:szCs w:val="21"/>
                <w:highlight w:val="none"/>
              </w:rPr>
              <w:t xml:space="preserve">-9  </w:t>
            </w:r>
            <w:r>
              <w:rPr>
                <w:b/>
                <w:kern w:val="0"/>
                <w:szCs w:val="21"/>
                <w:highlight w:val="none"/>
              </w:rPr>
              <w:t xml:space="preserve">工业企业厂界环境噪声排放标准  </w:t>
            </w:r>
            <w:r>
              <w:rPr>
                <w:b/>
                <w:szCs w:val="21"/>
                <w:highlight w:val="none"/>
              </w:rPr>
              <w:t>Leq：dB（A）</w:t>
            </w:r>
          </w:p>
          <w:tbl>
            <w:tblPr>
              <w:tblStyle w:val="3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480"/>
              <w:gridCol w:w="1227"/>
              <w:gridCol w:w="40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0" w:type="dxa"/>
                  <w:tcBorders>
                    <w:top w:val="single" w:color="auto" w:sz="4" w:space="0"/>
                    <w:left w:val="nil"/>
                    <w:bottom w:val="single" w:color="auto" w:sz="4" w:space="0"/>
                  </w:tcBorders>
                  <w:vAlign w:val="center"/>
                </w:tcPr>
                <w:p>
                  <w:pPr>
                    <w:autoSpaceDE w:val="0"/>
                    <w:jc w:val="center"/>
                    <w:rPr>
                      <w:b/>
                      <w:bCs/>
                      <w:highlight w:val="none"/>
                    </w:rPr>
                  </w:pPr>
                  <w:r>
                    <w:rPr>
                      <w:rFonts w:hint="eastAsia"/>
                      <w:b/>
                      <w:bCs/>
                      <w:highlight w:val="none"/>
                    </w:rPr>
                    <w:t>位置</w:t>
                  </w:r>
                </w:p>
              </w:tc>
              <w:tc>
                <w:tcPr>
                  <w:tcW w:w="1480" w:type="dxa"/>
                  <w:tcBorders>
                    <w:top w:val="single" w:color="auto" w:sz="4" w:space="0"/>
                    <w:bottom w:val="single" w:color="auto" w:sz="4" w:space="0"/>
                  </w:tcBorders>
                  <w:vAlign w:val="center"/>
                </w:tcPr>
                <w:p>
                  <w:pPr>
                    <w:autoSpaceDE w:val="0"/>
                    <w:jc w:val="center"/>
                    <w:rPr>
                      <w:b/>
                      <w:bCs/>
                      <w:szCs w:val="21"/>
                      <w:highlight w:val="none"/>
                    </w:rPr>
                  </w:pPr>
                  <w:r>
                    <w:rPr>
                      <w:b/>
                      <w:bCs/>
                      <w:highlight w:val="none"/>
                    </w:rPr>
                    <w:t>昼间</w:t>
                  </w:r>
                </w:p>
              </w:tc>
              <w:tc>
                <w:tcPr>
                  <w:tcW w:w="1227" w:type="dxa"/>
                  <w:tcBorders>
                    <w:top w:val="single" w:color="auto" w:sz="4" w:space="0"/>
                    <w:bottom w:val="single" w:color="auto" w:sz="4" w:space="0"/>
                  </w:tcBorders>
                  <w:vAlign w:val="center"/>
                </w:tcPr>
                <w:p>
                  <w:pPr>
                    <w:autoSpaceDE w:val="0"/>
                    <w:jc w:val="center"/>
                    <w:rPr>
                      <w:b/>
                      <w:bCs/>
                      <w:szCs w:val="21"/>
                      <w:highlight w:val="none"/>
                    </w:rPr>
                  </w:pPr>
                  <w:r>
                    <w:rPr>
                      <w:b/>
                      <w:bCs/>
                      <w:highlight w:val="none"/>
                    </w:rPr>
                    <w:t>夜间</w:t>
                  </w:r>
                </w:p>
              </w:tc>
              <w:tc>
                <w:tcPr>
                  <w:tcW w:w="4081" w:type="dxa"/>
                  <w:tcBorders>
                    <w:top w:val="single" w:color="auto" w:sz="4" w:space="0"/>
                    <w:bottom w:val="single" w:color="auto" w:sz="4" w:space="0"/>
                    <w:right w:val="nil"/>
                  </w:tcBorders>
                  <w:vAlign w:val="center"/>
                </w:tcPr>
                <w:p>
                  <w:pPr>
                    <w:autoSpaceDE w:val="0"/>
                    <w:jc w:val="center"/>
                    <w:rPr>
                      <w:b/>
                      <w:bCs/>
                      <w:szCs w:val="21"/>
                      <w:highlight w:val="none"/>
                    </w:rPr>
                  </w:pPr>
                  <w:r>
                    <w:rPr>
                      <w:rFonts w:hint="eastAsia"/>
                      <w:b/>
                      <w:bCs/>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0" w:type="dxa"/>
                  <w:tcBorders>
                    <w:top w:val="single" w:color="auto" w:sz="4" w:space="0"/>
                    <w:left w:val="nil"/>
                    <w:bottom w:val="single" w:color="auto" w:sz="4" w:space="0"/>
                  </w:tcBorders>
                  <w:vAlign w:val="center"/>
                </w:tcPr>
                <w:p>
                  <w:pPr>
                    <w:autoSpaceDE w:val="0"/>
                    <w:jc w:val="center"/>
                    <w:rPr>
                      <w:highlight w:val="none"/>
                    </w:rPr>
                  </w:pPr>
                  <w:r>
                    <w:rPr>
                      <w:rFonts w:hint="eastAsia"/>
                      <w:highlight w:val="none"/>
                    </w:rPr>
                    <w:t>厂界</w:t>
                  </w:r>
                </w:p>
              </w:tc>
              <w:tc>
                <w:tcPr>
                  <w:tcW w:w="1480" w:type="dxa"/>
                  <w:tcBorders>
                    <w:top w:val="single" w:color="auto" w:sz="4" w:space="0"/>
                    <w:bottom w:val="single" w:color="auto" w:sz="4" w:space="0"/>
                  </w:tcBorders>
                  <w:vAlign w:val="center"/>
                </w:tcPr>
                <w:p>
                  <w:pPr>
                    <w:autoSpaceDE w:val="0"/>
                    <w:jc w:val="center"/>
                    <w:rPr>
                      <w:szCs w:val="21"/>
                      <w:highlight w:val="none"/>
                    </w:rPr>
                  </w:pPr>
                  <w:r>
                    <w:rPr>
                      <w:highlight w:val="none"/>
                    </w:rPr>
                    <w:t>65</w:t>
                  </w:r>
                </w:p>
              </w:tc>
              <w:tc>
                <w:tcPr>
                  <w:tcW w:w="1227" w:type="dxa"/>
                  <w:tcBorders>
                    <w:top w:val="single" w:color="auto" w:sz="4" w:space="0"/>
                    <w:bottom w:val="single" w:color="auto" w:sz="4" w:space="0"/>
                  </w:tcBorders>
                  <w:vAlign w:val="center"/>
                </w:tcPr>
                <w:p>
                  <w:pPr>
                    <w:autoSpaceDE w:val="0"/>
                    <w:jc w:val="center"/>
                    <w:rPr>
                      <w:szCs w:val="21"/>
                      <w:highlight w:val="none"/>
                    </w:rPr>
                  </w:pPr>
                  <w:r>
                    <w:rPr>
                      <w:highlight w:val="none"/>
                    </w:rPr>
                    <w:t>55</w:t>
                  </w:r>
                </w:p>
              </w:tc>
              <w:tc>
                <w:tcPr>
                  <w:tcW w:w="4081" w:type="dxa"/>
                  <w:tcBorders>
                    <w:top w:val="single" w:color="auto" w:sz="4" w:space="0"/>
                    <w:bottom w:val="single" w:color="auto" w:sz="4" w:space="0"/>
                    <w:right w:val="nil"/>
                  </w:tcBorders>
                  <w:vAlign w:val="center"/>
                </w:tcPr>
                <w:p>
                  <w:pPr>
                    <w:autoSpaceDE w:val="0"/>
                    <w:jc w:val="center"/>
                    <w:rPr>
                      <w:szCs w:val="21"/>
                      <w:highlight w:val="none"/>
                    </w:rPr>
                  </w:pPr>
                  <w:r>
                    <w:rPr>
                      <w:highlight w:val="none"/>
                    </w:rPr>
                    <w:t>《工业企业厂界环境噪声排放标准》（GB12348-2008）中3类标准</w:t>
                  </w:r>
                </w:p>
              </w:tc>
            </w:tr>
          </w:tbl>
          <w:p>
            <w:pPr>
              <w:spacing w:before="120" w:beforeLines="50" w:line="360" w:lineRule="auto"/>
              <w:ind w:firstLine="481" w:firstLineChars="200"/>
              <w:jc w:val="left"/>
              <w:rPr>
                <w:bCs/>
                <w:sz w:val="24"/>
                <w:highlight w:val="none"/>
              </w:rPr>
            </w:pPr>
            <w:r>
              <w:rPr>
                <w:rFonts w:hint="eastAsia"/>
                <w:b/>
                <w:bCs/>
                <w:sz w:val="24"/>
                <w:highlight w:val="none"/>
              </w:rPr>
              <w:t>4</w:t>
            </w:r>
            <w:r>
              <w:rPr>
                <w:b/>
                <w:bCs/>
                <w:sz w:val="24"/>
                <w:highlight w:val="none"/>
              </w:rPr>
              <w:t>、固体废物</w:t>
            </w:r>
          </w:p>
          <w:p>
            <w:pPr>
              <w:adjustRightInd w:val="0"/>
              <w:snapToGrid w:val="0"/>
              <w:spacing w:line="360" w:lineRule="auto"/>
              <w:ind w:firstLine="480" w:firstLineChars="200"/>
              <w:rPr>
                <w:kern w:val="0"/>
                <w:szCs w:val="21"/>
                <w:highlight w:val="none"/>
              </w:rPr>
            </w:pPr>
            <w:r>
              <w:rPr>
                <w:rFonts w:hint="eastAsia"/>
                <w:bCs/>
                <w:sz w:val="24"/>
                <w:highlight w:val="none"/>
              </w:rPr>
              <w:t>一般工业固体废物贮存过程满足相应防渗漏、防雨淋、防扬尘等环境保护要求；危险废物暂存执行《危险废物贮存污染控制标准》（GB18597-2023）要求</w:t>
            </w:r>
            <w:r>
              <w:rPr>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总量</w:t>
            </w:r>
          </w:p>
          <w:p>
            <w:pPr>
              <w:adjustRightInd w:val="0"/>
              <w:snapToGrid w:val="0"/>
              <w:jc w:val="center"/>
              <w:rPr>
                <w:rFonts w:ascii="宋体" w:hAnsi="宋体" w:cs="宋体"/>
                <w:b/>
                <w:bCs/>
                <w:kern w:val="0"/>
                <w:sz w:val="24"/>
                <w:highlight w:val="none"/>
              </w:rPr>
            </w:pPr>
            <w:r>
              <w:rPr>
                <w:rFonts w:hint="eastAsia" w:ascii="宋体" w:hAnsi="宋体" w:cs="宋体"/>
                <w:b/>
                <w:bCs/>
                <w:kern w:val="0"/>
                <w:sz w:val="24"/>
                <w:highlight w:val="none"/>
              </w:rPr>
              <w:t>控制</w:t>
            </w:r>
          </w:p>
          <w:p>
            <w:pPr>
              <w:adjustRightInd w:val="0"/>
              <w:snapToGrid w:val="0"/>
              <w:jc w:val="center"/>
              <w:rPr>
                <w:rFonts w:ascii="宋体" w:hAnsi="宋体" w:cs="宋体"/>
                <w:kern w:val="0"/>
                <w:sz w:val="24"/>
                <w:highlight w:val="none"/>
              </w:rPr>
            </w:pPr>
            <w:r>
              <w:rPr>
                <w:rFonts w:hint="eastAsia" w:ascii="宋体" w:hAnsi="宋体" w:cs="宋体"/>
                <w:b/>
                <w:bCs/>
                <w:kern w:val="0"/>
                <w:sz w:val="24"/>
                <w:highlight w:val="none"/>
              </w:rPr>
              <w:t>指标</w:t>
            </w:r>
          </w:p>
        </w:tc>
        <w:tc>
          <w:tcPr>
            <w:tcW w:w="8619" w:type="dxa"/>
          </w:tcPr>
          <w:p>
            <w:pPr>
              <w:spacing w:line="360" w:lineRule="auto"/>
              <w:ind w:firstLine="480" w:firstLineChars="200"/>
              <w:rPr>
                <w:sz w:val="24"/>
                <w:highlight w:val="none"/>
              </w:rPr>
            </w:pPr>
            <w:r>
              <w:rPr>
                <w:sz w:val="24"/>
                <w:highlight w:val="none"/>
              </w:rPr>
              <w:t>根据中华人民共和国生态环境部办公厅关于印发</w:t>
            </w:r>
            <w:r>
              <w:rPr>
                <w:rFonts w:hint="eastAsia"/>
                <w:sz w:val="24"/>
                <w:highlight w:val="none"/>
              </w:rPr>
              <w:t>《“</w:t>
            </w:r>
            <w:r>
              <w:rPr>
                <w:sz w:val="24"/>
                <w:highlight w:val="none"/>
              </w:rPr>
              <w:t>十五五</w:t>
            </w:r>
            <w:r>
              <w:rPr>
                <w:rFonts w:hint="eastAsia"/>
                <w:sz w:val="24"/>
                <w:highlight w:val="none"/>
              </w:rPr>
              <w:t>”</w:t>
            </w:r>
            <w:r>
              <w:rPr>
                <w:sz w:val="24"/>
                <w:highlight w:val="none"/>
              </w:rPr>
              <w:t>污染减排工作方案编制技术指南</w:t>
            </w:r>
            <w:r>
              <w:rPr>
                <w:rFonts w:hint="eastAsia"/>
                <w:sz w:val="24"/>
                <w:highlight w:val="none"/>
              </w:rPr>
              <w:t>》</w:t>
            </w:r>
            <w:r>
              <w:rPr>
                <w:sz w:val="24"/>
                <w:highlight w:val="none"/>
              </w:rPr>
              <w:t>的通知</w:t>
            </w:r>
            <w:r>
              <w:rPr>
                <w:rFonts w:hint="eastAsia"/>
                <w:sz w:val="24"/>
                <w:highlight w:val="none"/>
              </w:rPr>
              <w:t>（环办综合函〔2025〕184号）及九江市生态环境局有关规定</w:t>
            </w:r>
            <w:r>
              <w:rPr>
                <w:sz w:val="24"/>
                <w:highlight w:val="none"/>
              </w:rPr>
              <w:t>，本项目运营期总量控制指标有COD、NH</w:t>
            </w:r>
            <w:r>
              <w:rPr>
                <w:sz w:val="24"/>
                <w:highlight w:val="none"/>
                <w:vertAlign w:val="subscript"/>
              </w:rPr>
              <w:t>3</w:t>
            </w:r>
            <w:r>
              <w:rPr>
                <w:sz w:val="24"/>
                <w:highlight w:val="none"/>
              </w:rPr>
              <w:t>-N</w:t>
            </w:r>
            <w:r>
              <w:rPr>
                <w:rFonts w:hint="eastAsia"/>
                <w:sz w:val="24"/>
                <w:highlight w:val="none"/>
              </w:rPr>
              <w:t>、总磷和氮氧化物</w:t>
            </w:r>
            <w:r>
              <w:rPr>
                <w:sz w:val="24"/>
                <w:highlight w:val="none"/>
              </w:rPr>
              <w:t>。</w:t>
            </w:r>
          </w:p>
          <w:p>
            <w:pPr>
              <w:spacing w:line="360" w:lineRule="auto"/>
              <w:ind w:firstLine="480" w:firstLineChars="200"/>
              <w:rPr>
                <w:sz w:val="24"/>
                <w:highlight w:val="none"/>
              </w:rPr>
            </w:pPr>
            <w:r>
              <w:rPr>
                <w:sz w:val="24"/>
                <w:highlight w:val="none"/>
              </w:rPr>
              <w:t>项目生产废水经自建污水处理站处理，生活污水进入化粪池预处理后排入厂区自建污水处理站处理，项目污水处理站处理达到</w:t>
            </w:r>
            <w:r>
              <w:rPr>
                <w:rFonts w:hint="default"/>
                <w:color w:val="0000FF"/>
                <w:sz w:val="24"/>
                <w:highlight w:val="none"/>
              </w:rPr>
              <w:t>《城镇污水处理厂污染物排放标准》（GB18918-2002）表1中一级A标准，</w:t>
            </w:r>
            <w:r>
              <w:rPr>
                <w:rFonts w:hint="default"/>
                <w:color w:val="0000FF"/>
                <w:sz w:val="24"/>
                <w:highlight w:val="none"/>
                <w:lang w:val="en-US" w:eastAsia="zh-CN"/>
              </w:rPr>
              <w:t>其中pH值从严执行6~8.5</w:t>
            </w:r>
            <w:r>
              <w:rPr>
                <w:color w:val="0000FF"/>
                <w:sz w:val="24"/>
                <w:highlight w:val="none"/>
              </w:rPr>
              <w:t>后</w:t>
            </w:r>
            <w:r>
              <w:rPr>
                <w:sz w:val="24"/>
                <w:highlight w:val="none"/>
              </w:rPr>
              <w:t>，部分回用于绿化，其余外排至企业租用的池塘后用于农田灌溉。</w:t>
            </w:r>
            <w:r>
              <w:rPr>
                <w:rFonts w:hint="eastAsia"/>
                <w:sz w:val="24"/>
                <w:highlight w:val="none"/>
              </w:rPr>
              <w:t>由于项目废水</w:t>
            </w:r>
            <w:r>
              <w:rPr>
                <w:sz w:val="24"/>
                <w:highlight w:val="none"/>
              </w:rPr>
              <w:t>用于</w:t>
            </w:r>
            <w:r>
              <w:rPr>
                <w:rFonts w:hint="eastAsia"/>
                <w:sz w:val="24"/>
                <w:highlight w:val="none"/>
              </w:rPr>
              <w:t>绿化及</w:t>
            </w:r>
            <w:r>
              <w:rPr>
                <w:sz w:val="24"/>
                <w:highlight w:val="none"/>
              </w:rPr>
              <w:t>农田灌溉，不对外排放至自然水体，</w:t>
            </w:r>
            <w:r>
              <w:rPr>
                <w:rFonts w:hint="eastAsia"/>
                <w:sz w:val="24"/>
                <w:highlight w:val="none"/>
              </w:rPr>
              <w:t>本项目无需申请水污染物排放总量</w:t>
            </w:r>
            <w:r>
              <w:rPr>
                <w:sz w:val="24"/>
                <w:highlight w:val="none"/>
              </w:rPr>
              <w:t>。</w:t>
            </w:r>
          </w:p>
          <w:p>
            <w:pPr>
              <w:adjustRightInd w:val="0"/>
              <w:snapToGrid w:val="0"/>
              <w:spacing w:line="360" w:lineRule="auto"/>
              <w:ind w:firstLine="480" w:firstLineChars="200"/>
              <w:rPr>
                <w:rFonts w:cs="宋体"/>
                <w:sz w:val="24"/>
                <w:highlight w:val="none"/>
              </w:rPr>
            </w:pPr>
            <w:r>
              <w:rPr>
                <w:rFonts w:hint="eastAsia" w:cs="宋体"/>
                <w:sz w:val="24"/>
                <w:highlight w:val="none"/>
              </w:rPr>
              <w:t>项目大气污染物总量指标如下：</w:t>
            </w:r>
          </w:p>
          <w:p>
            <w:pPr>
              <w:spacing w:line="360" w:lineRule="auto"/>
              <w:ind w:firstLine="480" w:firstLineChars="200"/>
              <w:rPr>
                <w:color w:val="0000FF"/>
                <w:kern w:val="0"/>
                <w:sz w:val="24"/>
                <w:highlight w:val="none"/>
              </w:rPr>
            </w:pPr>
            <w:r>
              <w:rPr>
                <w:rFonts w:hint="eastAsia" w:ascii="宋体" w:hAnsi="宋体" w:cs="宋体"/>
                <w:color w:val="0000FF"/>
                <w:sz w:val="24"/>
                <w:highlight w:val="none"/>
              </w:rPr>
              <w:t>氮氧化物</w:t>
            </w:r>
            <w:r>
              <w:rPr>
                <w:color w:val="0000FF"/>
                <w:sz w:val="24"/>
                <w:highlight w:val="none"/>
              </w:rPr>
              <w:t>总量控制指标</w:t>
            </w:r>
            <w:r>
              <w:rPr>
                <w:rFonts w:hint="eastAsia"/>
                <w:color w:val="0000FF"/>
                <w:sz w:val="24"/>
                <w:highlight w:val="none"/>
              </w:rPr>
              <w:t>：</w:t>
            </w:r>
            <w:r>
              <w:rPr>
                <w:rFonts w:hint="eastAsia"/>
                <w:color w:val="0000FF"/>
                <w:kern w:val="0"/>
                <w:sz w:val="24"/>
                <w:highlight w:val="none"/>
                <w:lang w:val="en-US" w:eastAsia="zh-CN"/>
              </w:rPr>
              <w:t>1.643</w:t>
            </w:r>
            <w:r>
              <w:rPr>
                <w:rFonts w:hint="eastAsia"/>
                <w:color w:val="0000FF"/>
                <w:kern w:val="0"/>
                <w:sz w:val="24"/>
                <w:highlight w:val="none"/>
              </w:rPr>
              <w:t>t/a。</w:t>
            </w:r>
          </w:p>
          <w:p>
            <w:pPr>
              <w:pStyle w:val="38"/>
              <w:ind w:firstLine="0" w:firstLineChars="0"/>
              <w:rPr>
                <w:rFonts w:hint="default"/>
                <w:highlight w:val="none"/>
              </w:rPr>
            </w:pPr>
          </w:p>
          <w:p>
            <w:pPr>
              <w:rPr>
                <w:highlight w:val="none"/>
              </w:rPr>
            </w:pPr>
          </w:p>
        </w:tc>
      </w:tr>
    </w:tbl>
    <w:p>
      <w:pPr>
        <w:pStyle w:val="36"/>
        <w:spacing w:before="0" w:beforeAutospacing="0" w:after="0" w:afterAutospacing="0"/>
        <w:jc w:val="center"/>
        <w:outlineLvl w:val="0"/>
        <w:rPr>
          <w:rFonts w:ascii="Times New Roman" w:hAnsi="Times New Roman" w:eastAsia="黑体"/>
          <w:snapToGrid w:val="0"/>
          <w:sz w:val="30"/>
          <w:szCs w:val="30"/>
          <w:highlight w:val="none"/>
        </w:rPr>
      </w:pPr>
      <w:r>
        <w:rPr>
          <w:rFonts w:ascii="黑体" w:hAnsi="黑体" w:eastAsia="黑体"/>
          <w:snapToGrid w:val="0"/>
          <w:sz w:val="36"/>
          <w:szCs w:val="36"/>
          <w:highlight w:val="none"/>
        </w:rPr>
        <w:br w:type="page"/>
      </w:r>
      <w:r>
        <w:rPr>
          <w:rFonts w:ascii="Times New Roman" w:hAnsi="Times New Roman" w:eastAsia="黑体"/>
          <w:snapToGrid w:val="0"/>
          <w:sz w:val="30"/>
          <w:szCs w:val="30"/>
          <w:highlight w:val="none"/>
        </w:rPr>
        <w:t>四、主要环境影响和保护措施</w:t>
      </w:r>
    </w:p>
    <w:tbl>
      <w:tblPr>
        <w:tblStyle w:val="39"/>
        <w:tblW w:w="8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4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2" w:hRule="atLeast"/>
          <w:jc w:val="center"/>
        </w:trPr>
        <w:tc>
          <w:tcPr>
            <w:tcW w:w="442" w:type="dxa"/>
            <w:tcMar>
              <w:left w:w="28" w:type="dxa"/>
              <w:right w:w="28" w:type="dxa"/>
            </w:tcMar>
            <w:vAlign w:val="center"/>
          </w:tcPr>
          <w:p>
            <w:pPr>
              <w:widowControl/>
              <w:jc w:val="center"/>
              <w:rPr>
                <w:b/>
                <w:bCs/>
                <w:kern w:val="0"/>
                <w:sz w:val="24"/>
                <w:szCs w:val="20"/>
                <w:highlight w:val="none"/>
              </w:rPr>
            </w:pPr>
            <w:r>
              <w:rPr>
                <w:b/>
                <w:bCs/>
                <w:kern w:val="0"/>
                <w:sz w:val="24"/>
                <w:szCs w:val="20"/>
                <w:highlight w:val="none"/>
              </w:rPr>
              <w:t>施</w:t>
            </w:r>
          </w:p>
          <w:p>
            <w:pPr>
              <w:widowControl/>
              <w:jc w:val="center"/>
              <w:rPr>
                <w:b/>
                <w:bCs/>
                <w:kern w:val="0"/>
                <w:sz w:val="24"/>
                <w:szCs w:val="20"/>
                <w:highlight w:val="none"/>
              </w:rPr>
            </w:pPr>
            <w:r>
              <w:rPr>
                <w:b/>
                <w:bCs/>
                <w:kern w:val="0"/>
                <w:sz w:val="24"/>
                <w:szCs w:val="20"/>
                <w:highlight w:val="none"/>
              </w:rPr>
              <w:t>工</w:t>
            </w:r>
          </w:p>
          <w:p>
            <w:pPr>
              <w:widowControl/>
              <w:jc w:val="center"/>
              <w:rPr>
                <w:b/>
                <w:bCs/>
                <w:kern w:val="0"/>
                <w:sz w:val="24"/>
                <w:szCs w:val="20"/>
                <w:highlight w:val="none"/>
              </w:rPr>
            </w:pP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8414" w:type="dxa"/>
          </w:tcPr>
          <w:p>
            <w:pPr>
              <w:pStyle w:val="96"/>
              <w:ind w:firstLine="480"/>
              <w:rPr>
                <w:highlight w:val="none"/>
              </w:rPr>
            </w:pPr>
            <w:r>
              <w:rPr>
                <w:rFonts w:hint="eastAsia"/>
                <w:highlight w:val="none"/>
              </w:rPr>
              <w:t>本</w:t>
            </w:r>
            <w:r>
              <w:rPr>
                <w:highlight w:val="none"/>
              </w:rPr>
              <w:t>项目</w:t>
            </w:r>
            <w:r>
              <w:rPr>
                <w:rFonts w:hint="eastAsia"/>
                <w:highlight w:val="none"/>
              </w:rPr>
              <w:t>利用庐山市华林镇吉山村华林板岩加工园二期工业用地计划新建厂房及生产加工，施工期主要污染包括：施工扬尘、施工设备噪声、施工人员生活污水及施工废水、施工产生的建筑垃圾、工程弃土和人员生活垃圾等。具体污染防治措施如下：</w:t>
            </w:r>
          </w:p>
          <w:p>
            <w:pPr>
              <w:pStyle w:val="96"/>
              <w:ind w:firstLine="482"/>
              <w:rPr>
                <w:b/>
                <w:bCs/>
                <w:highlight w:val="none"/>
              </w:rPr>
            </w:pPr>
            <w:r>
              <w:rPr>
                <w:rFonts w:hint="eastAsia"/>
                <w:b/>
                <w:bCs/>
                <w:highlight w:val="none"/>
              </w:rPr>
              <w:t>1、施工废气防治措施</w:t>
            </w:r>
          </w:p>
          <w:p>
            <w:pPr>
              <w:pStyle w:val="96"/>
              <w:ind w:firstLine="480"/>
              <w:rPr>
                <w:highlight w:val="none"/>
              </w:rPr>
            </w:pPr>
            <w:r>
              <w:rPr>
                <w:rFonts w:hint="eastAsia"/>
                <w:highlight w:val="none"/>
              </w:rPr>
              <w:t>施工期大气污染物主要为施工扬尘、施工机械及运输车辆尾气。</w:t>
            </w:r>
          </w:p>
          <w:p>
            <w:pPr>
              <w:pStyle w:val="96"/>
              <w:ind w:firstLine="480"/>
              <w:rPr>
                <w:highlight w:val="none"/>
              </w:rPr>
            </w:pPr>
            <w:r>
              <w:rPr>
                <w:rFonts w:hint="eastAsia"/>
                <w:highlight w:val="none"/>
              </w:rPr>
              <w:t>（1）施工扬尘</w:t>
            </w:r>
          </w:p>
          <w:p>
            <w:pPr>
              <w:pStyle w:val="96"/>
              <w:ind w:firstLine="480"/>
              <w:rPr>
                <w:highlight w:val="none"/>
              </w:rPr>
            </w:pPr>
            <w:r>
              <w:rPr>
                <w:rFonts w:hint="eastAsia"/>
                <w:highlight w:val="none"/>
              </w:rPr>
              <w:t>为最大程度减轻施工扬尘对周围大气环境的影响，建设工地施工应采取扬尘控制措施，具体如下：</w:t>
            </w:r>
          </w:p>
          <w:p>
            <w:pPr>
              <w:pStyle w:val="96"/>
              <w:ind w:firstLine="480"/>
              <w:rPr>
                <w:highlight w:val="none"/>
              </w:rPr>
            </w:pPr>
            <w:r>
              <w:rPr>
                <w:rFonts w:hint="eastAsia"/>
                <w:highlight w:val="none"/>
              </w:rPr>
              <w:t>①施工工地必须做到“六个百分百”（即工地周边100%设置围挡、裸土物料100%苫盖、出入车辆100%冲洗、现场路面100%硬化、土方施工100%湿法作业、100%使用智能渣土运输车进行密闭运输）方可施工。渣土、物料、建筑垃圾等堆场全部采用2000目及以上密目网苫盖，并定时洒水抑尘；建筑垃圾和工程渣土要及时清运。</w:t>
            </w:r>
          </w:p>
          <w:p>
            <w:pPr>
              <w:pStyle w:val="96"/>
              <w:ind w:firstLine="480"/>
              <w:rPr>
                <w:highlight w:val="none"/>
              </w:rPr>
            </w:pPr>
            <w:r>
              <w:rPr>
                <w:rFonts w:hint="eastAsia"/>
                <w:highlight w:val="none"/>
              </w:rPr>
              <w:t>②合理缩短施工距离，实行分段施工，并同步落实好扬尘防控措施。</w:t>
            </w:r>
          </w:p>
          <w:p>
            <w:pPr>
              <w:pStyle w:val="96"/>
              <w:ind w:firstLine="480"/>
              <w:rPr>
                <w:highlight w:val="none"/>
              </w:rPr>
            </w:pPr>
            <w:r>
              <w:rPr>
                <w:rFonts w:hint="eastAsia"/>
                <w:highlight w:val="none"/>
              </w:rPr>
              <w:t>③鼓励建设工程自主创建环保标准化工地。建设工程施工现场应当明示单位名称、工程负责人姓名、联系电话以及开工和计划竣工日期、施工许可证批准文号等标志牌和环境保护措施标牌。</w:t>
            </w:r>
          </w:p>
          <w:p>
            <w:pPr>
              <w:pStyle w:val="96"/>
              <w:ind w:firstLine="480"/>
              <w:rPr>
                <w:highlight w:val="none"/>
              </w:rPr>
            </w:pPr>
            <w:r>
              <w:rPr>
                <w:rFonts w:hint="eastAsia"/>
                <w:highlight w:val="none"/>
              </w:rPr>
              <w:t>④施工方案中必须有防止泄漏、遗撒污染环境的具体措施，编制防治扬尘的操作规范，其中应包括施工现场合理布局，建筑材料堆存，散体物料应当采取挡墙、洒水、覆盖等措施。</w:t>
            </w:r>
          </w:p>
          <w:p>
            <w:pPr>
              <w:pStyle w:val="96"/>
              <w:ind w:firstLine="480"/>
              <w:rPr>
                <w:highlight w:val="none"/>
              </w:rPr>
            </w:pPr>
            <w:r>
              <w:rPr>
                <w:rFonts w:hint="eastAsia"/>
                <w:highlight w:val="none"/>
              </w:rPr>
              <w:t>⑤施工现场内除作业面场地外必须进行硬化处理，作业场地应坚实平整，保证无浮土；其他地区的施工现场从大门入口处应设置长度不少于30米的混凝土路面，裸露地面应当采取绿化措施或采用绿色防尘网苫盖。建筑工地四周围挡必须齐全。在大门入口处应当设置冲车设备，对驶出场区的车辆进行冲洗。</w:t>
            </w:r>
          </w:p>
          <w:p>
            <w:pPr>
              <w:pStyle w:val="96"/>
              <w:ind w:firstLine="480"/>
              <w:rPr>
                <w:highlight w:val="none"/>
              </w:rPr>
            </w:pPr>
            <w:r>
              <w:rPr>
                <w:rFonts w:hint="eastAsia"/>
                <w:highlight w:val="none"/>
              </w:rPr>
              <w:t>⑥施工现场堆放砂、石等散体物料的，应当设置高度不低于0.5米的堆放池，并对物料裸露部分实施苫盖。土方、工程渣土和垃圾应当集中堆放，堆放高度不得超出围挡高度，并采取苫盖、固化措施。</w:t>
            </w:r>
          </w:p>
          <w:p>
            <w:pPr>
              <w:pStyle w:val="96"/>
              <w:ind w:firstLine="480"/>
              <w:rPr>
                <w:highlight w:val="none"/>
              </w:rPr>
            </w:pPr>
            <w:r>
              <w:rPr>
                <w:rFonts w:hint="eastAsia"/>
                <w:highlight w:val="none"/>
              </w:rPr>
              <w:t>⑦建筑物外檐脚手架应当使用符合国家和有关部门要求的全封闭的绿色安全立网，防止高空坠物和建筑粉尘飞扬。</w:t>
            </w:r>
          </w:p>
          <w:p>
            <w:pPr>
              <w:pStyle w:val="96"/>
              <w:ind w:firstLine="480"/>
              <w:rPr>
                <w:highlight w:val="none"/>
              </w:rPr>
            </w:pPr>
            <w:r>
              <w:rPr>
                <w:rFonts w:hint="eastAsia"/>
                <w:highlight w:val="none"/>
              </w:rPr>
              <w:t>⑧建设工程施工现场的施工垃圾必须设置密闭式垃圾站集中存放，及时清运；工程垃圾及工程渣土及产生扬尘的废弃物装载过程中，必须采取喷淋压尘及使用封盖车辆运输。禁止将建筑物内的垃圾凌空抛撒。施工单位运输工程渣土、泥浆、建筑垃圾及砂、石等散体建筑材料，应当采用密闭运输车辆，并按指定路线行驶。</w:t>
            </w:r>
          </w:p>
          <w:p>
            <w:pPr>
              <w:pStyle w:val="96"/>
              <w:ind w:firstLine="480"/>
              <w:rPr>
                <w:highlight w:val="none"/>
              </w:rPr>
            </w:pPr>
            <w:r>
              <w:rPr>
                <w:rFonts w:hint="eastAsia"/>
                <w:highlight w:val="none"/>
              </w:rPr>
              <w:t>⑨注意气象条件变化，土方工程施工应尽量避开风速大、湿度小的气象条件；当出现 4 级及以上风力天气情况时禁止进行土方工程施工，做好遮掩工作。</w:t>
            </w:r>
          </w:p>
          <w:p>
            <w:pPr>
              <w:pStyle w:val="96"/>
              <w:ind w:firstLine="480"/>
              <w:rPr>
                <w:highlight w:val="none"/>
              </w:rPr>
            </w:pPr>
            <w:r>
              <w:rPr>
                <w:rFonts w:hint="eastAsia"/>
                <w:highlight w:val="none"/>
              </w:rPr>
              <w:t>（2）施工期施工机械及运输车辆尾气</w:t>
            </w:r>
          </w:p>
          <w:p>
            <w:pPr>
              <w:pStyle w:val="96"/>
              <w:ind w:firstLine="480"/>
              <w:rPr>
                <w:highlight w:val="none"/>
              </w:rPr>
            </w:pPr>
            <w:r>
              <w:rPr>
                <w:rFonts w:hint="eastAsia"/>
                <w:highlight w:val="none"/>
              </w:rPr>
              <w:t>为减轻施工机械及运输车辆尾气对周围环境的影响，建设单位应采取以下措施：</w:t>
            </w:r>
          </w:p>
          <w:p>
            <w:pPr>
              <w:pStyle w:val="96"/>
              <w:ind w:firstLine="480"/>
              <w:rPr>
                <w:highlight w:val="none"/>
              </w:rPr>
            </w:pPr>
            <w:r>
              <w:rPr>
                <w:rFonts w:hint="eastAsia"/>
                <w:highlight w:val="none"/>
              </w:rPr>
              <w:t>①建设施工使用国四以上排放标准的渣土运输车、预拌混凝土搅拌车、物料运输车，具备条件时使用新能源渣土运输车、预拌混凝土搅拌车、物料运输车。</w:t>
            </w:r>
          </w:p>
          <w:p>
            <w:pPr>
              <w:pStyle w:val="96"/>
              <w:ind w:firstLine="480"/>
              <w:rPr>
                <w:highlight w:val="none"/>
              </w:rPr>
            </w:pPr>
            <w:r>
              <w:rPr>
                <w:rFonts w:hint="eastAsia"/>
                <w:highlight w:val="none"/>
              </w:rPr>
              <w:t>②建设施工使用已信息编码的非道路移动机械，同时在非道路移动机械信息管理平台上进行进出场记录。使用国二以上排放标准且符合（GB36886-2018）中Ⅲ类限值标准的挖掘机、装载机、挖掘装载机、压路机、推土机、平地机、叉车作业。具备条件时使用新能源非道路移动机械。</w:t>
            </w:r>
          </w:p>
          <w:p>
            <w:pPr>
              <w:pStyle w:val="96"/>
              <w:ind w:firstLine="480"/>
              <w:rPr>
                <w:highlight w:val="none"/>
              </w:rPr>
            </w:pPr>
            <w:r>
              <w:rPr>
                <w:rFonts w:hint="eastAsia"/>
                <w:highlight w:val="none"/>
              </w:rPr>
              <w:t>③100%使用低挥发性工程涂料。</w:t>
            </w:r>
          </w:p>
          <w:p>
            <w:pPr>
              <w:pStyle w:val="96"/>
              <w:ind w:firstLine="480"/>
              <w:rPr>
                <w:highlight w:val="none"/>
              </w:rPr>
            </w:pPr>
            <w:r>
              <w:rPr>
                <w:highlight w:val="none"/>
              </w:rPr>
              <w:t>④施工机械所用燃料应符合国家相应的标准，在用机动车、重型燃油车应定期检验，并取得定期检验安全技术检验合格标志，在用机动车和非道路移动机械排放大气污染物不得超过国家和</w:t>
            </w:r>
            <w:r>
              <w:rPr>
                <w:rFonts w:hint="eastAsia"/>
                <w:highlight w:val="none"/>
              </w:rPr>
              <w:t>地方</w:t>
            </w:r>
            <w:r>
              <w:rPr>
                <w:highlight w:val="none"/>
              </w:rPr>
              <w:t>规定的标准。</w:t>
            </w:r>
          </w:p>
          <w:p>
            <w:pPr>
              <w:pStyle w:val="96"/>
              <w:ind w:firstLine="480"/>
              <w:rPr>
                <w:highlight w:val="none"/>
              </w:rPr>
            </w:pPr>
            <w:r>
              <w:rPr>
                <w:highlight w:val="none"/>
              </w:rPr>
              <w:t>⑤非道路移动机械所有人或者使用人应当正常使用非道路移动机械的污染控制装置，不得拆除、停用或者擅自改装污染控制装置，排放大气污染物超标的，应当及时维修。重型柴油车应当按照国家有关规定安装远程排放管理车载终端并与生态环境主管部门联网。</w:t>
            </w:r>
          </w:p>
          <w:p>
            <w:pPr>
              <w:pStyle w:val="96"/>
              <w:ind w:firstLine="480"/>
              <w:rPr>
                <w:highlight w:val="none"/>
              </w:rPr>
            </w:pPr>
            <w:r>
              <w:rPr>
                <w:highlight w:val="none"/>
              </w:rPr>
              <w:t>⑥建设单位应当要求施工单位使用已在</w:t>
            </w:r>
            <w:r>
              <w:rPr>
                <w:rFonts w:hint="eastAsia"/>
                <w:highlight w:val="none"/>
              </w:rPr>
              <w:t>九江市</w:t>
            </w:r>
            <w:r>
              <w:rPr>
                <w:highlight w:val="none"/>
              </w:rPr>
              <w:t>进行信息编码登记且符合排放标准的非道路移动机械。非道路移动机械进出工程施工现场的，施工单位应当在非道路移动机械信息管理平台上进行记录。</w:t>
            </w:r>
          </w:p>
          <w:p>
            <w:pPr>
              <w:pStyle w:val="96"/>
              <w:ind w:firstLine="480"/>
              <w:rPr>
                <w:highlight w:val="none"/>
              </w:rPr>
            </w:pPr>
            <w:r>
              <w:rPr>
                <w:highlight w:val="none"/>
              </w:rPr>
              <w:t>⑦优化施工方案，合理选择施工机械和设备，提高施工机械和设备的利用率，按照运距最短，运行合理的原则进行施工场区布置，应依据工程量的多少、负荷的大小分别使用不同功率的施工机械，避免空载、空负荷运转等情况发生，以此减少空气污染物的总量排放。</w:t>
            </w:r>
          </w:p>
          <w:p>
            <w:pPr>
              <w:pStyle w:val="96"/>
              <w:ind w:firstLine="480"/>
              <w:rPr>
                <w:highlight w:val="none"/>
              </w:rPr>
            </w:pPr>
            <w:r>
              <w:rPr>
                <w:highlight w:val="none"/>
              </w:rPr>
              <w:t>⑧本项目施工期使用的施工机械排气烟度需满足《非道路移动机械用柴油机排气污染物排放限值及测量方法（中国第三、四阶段）》（GB20891-2014）及其《修改单》中第四阶段的相关要求，方可入场进行施工。</w:t>
            </w:r>
          </w:p>
          <w:p>
            <w:pPr>
              <w:pStyle w:val="96"/>
              <w:ind w:firstLine="482"/>
              <w:rPr>
                <w:b/>
                <w:bCs/>
                <w:highlight w:val="none"/>
              </w:rPr>
            </w:pPr>
            <w:r>
              <w:rPr>
                <w:rFonts w:hint="eastAsia"/>
                <w:b/>
                <w:bCs/>
                <w:highlight w:val="none"/>
              </w:rPr>
              <w:t>2、</w:t>
            </w:r>
            <w:r>
              <w:rPr>
                <w:b/>
                <w:bCs/>
                <w:highlight w:val="none"/>
              </w:rPr>
              <w:t>施工废水防治措施</w:t>
            </w:r>
          </w:p>
          <w:p>
            <w:pPr>
              <w:pStyle w:val="96"/>
              <w:ind w:firstLine="480"/>
              <w:rPr>
                <w:highlight w:val="none"/>
              </w:rPr>
            </w:pPr>
            <w:r>
              <w:rPr>
                <w:highlight w:val="none"/>
              </w:rPr>
              <w:t>（1）生活污水</w:t>
            </w:r>
          </w:p>
          <w:p>
            <w:pPr>
              <w:pStyle w:val="96"/>
              <w:ind w:firstLine="480"/>
              <w:rPr>
                <w:highlight w:val="none"/>
              </w:rPr>
            </w:pPr>
            <w:r>
              <w:rPr>
                <w:highlight w:val="none"/>
              </w:rPr>
              <w:t>本工程在建设施工期将产生来自施工人员的生活污水</w:t>
            </w:r>
            <w:r>
              <w:rPr>
                <w:rFonts w:hint="eastAsia"/>
                <w:highlight w:val="none"/>
              </w:rPr>
              <w:t>，</w:t>
            </w:r>
            <w:r>
              <w:rPr>
                <w:highlight w:val="none"/>
              </w:rPr>
              <w:t>施工人员生活污水</w:t>
            </w:r>
            <w:r>
              <w:rPr>
                <w:rFonts w:hint="eastAsia"/>
                <w:highlight w:val="none"/>
              </w:rPr>
              <w:t>依托华林板岩加工园已建化粪池处理</w:t>
            </w:r>
            <w:r>
              <w:rPr>
                <w:highlight w:val="none"/>
              </w:rPr>
              <w:t>。</w:t>
            </w:r>
          </w:p>
          <w:p>
            <w:pPr>
              <w:pStyle w:val="96"/>
              <w:ind w:firstLine="480"/>
              <w:rPr>
                <w:highlight w:val="none"/>
              </w:rPr>
            </w:pPr>
            <w:r>
              <w:rPr>
                <w:highlight w:val="none"/>
              </w:rPr>
              <w:t>（2）施工废水</w:t>
            </w:r>
          </w:p>
          <w:p>
            <w:pPr>
              <w:pStyle w:val="96"/>
              <w:ind w:firstLine="480"/>
              <w:rPr>
                <w:highlight w:val="none"/>
              </w:rPr>
            </w:pPr>
            <w:r>
              <w:rPr>
                <w:highlight w:val="none"/>
              </w:rPr>
              <w:t>施工期废水主要包括车辆清洗水、泥浆水。清洗废水主要污染物为颗粒物和石油类物质。项目应在施工范围内设置机械、车辆集中清洗点，建议清洗废水经临时排水沟、隔油沉砂池处理后用于场地洒水抑尘。本工程在施工开挖过程和基础施工中会产生泥浆水，建议在施工场地设置沉淀池，泥浆水经沉淀处理后用于场地洒水抑尘。</w:t>
            </w:r>
          </w:p>
          <w:p>
            <w:pPr>
              <w:pStyle w:val="96"/>
              <w:ind w:firstLine="480"/>
              <w:rPr>
                <w:highlight w:val="none"/>
              </w:rPr>
            </w:pPr>
            <w:r>
              <w:rPr>
                <w:highlight w:val="none"/>
              </w:rPr>
              <w:t>施工期建设单位应采取如下污水防治措施：</w:t>
            </w:r>
          </w:p>
          <w:p>
            <w:pPr>
              <w:pStyle w:val="96"/>
              <w:ind w:firstLine="480"/>
              <w:rPr>
                <w:highlight w:val="none"/>
              </w:rPr>
            </w:pPr>
            <w:r>
              <w:rPr>
                <w:highlight w:val="none"/>
              </w:rPr>
              <w:t>①工程施工期间，施工单位应对地面水的</w:t>
            </w:r>
            <w:r>
              <w:rPr>
                <w:rFonts w:hint="eastAsia"/>
                <w:highlight w:val="none"/>
              </w:rPr>
              <w:t>排放</w:t>
            </w:r>
            <w:r>
              <w:rPr>
                <w:highlight w:val="none"/>
              </w:rPr>
              <w:t>进行组织设计，严禁乱排、乱流污染道路、环境。</w:t>
            </w:r>
          </w:p>
          <w:p>
            <w:pPr>
              <w:pStyle w:val="96"/>
              <w:ind w:firstLine="480"/>
              <w:rPr>
                <w:highlight w:val="none"/>
              </w:rPr>
            </w:pPr>
            <w:r>
              <w:rPr>
                <w:highlight w:val="none"/>
              </w:rPr>
              <w:t>②施工过</w:t>
            </w:r>
            <w:r>
              <w:rPr>
                <w:rFonts w:hint="eastAsia"/>
                <w:highlight w:val="none"/>
              </w:rPr>
              <w:t>程中</w:t>
            </w:r>
            <w:r>
              <w:rPr>
                <w:highlight w:val="none"/>
              </w:rPr>
              <w:t>要尽量减少弃土，做好各项排水、截水、防止水土流失的设计，做好必要的截水沟和</w:t>
            </w:r>
            <w:r>
              <w:rPr>
                <w:rFonts w:hint="eastAsia"/>
                <w:highlight w:val="none"/>
              </w:rPr>
              <w:t>沉沙池</w:t>
            </w:r>
            <w:r>
              <w:rPr>
                <w:highlight w:val="none"/>
              </w:rPr>
              <w:t>，防止雨天水土流失，禁止就近直接排入地表水体或平地漫流。</w:t>
            </w:r>
          </w:p>
          <w:p>
            <w:pPr>
              <w:pStyle w:val="96"/>
              <w:ind w:firstLine="480"/>
              <w:rPr>
                <w:highlight w:val="none"/>
              </w:rPr>
            </w:pPr>
            <w:r>
              <w:rPr>
                <w:highlight w:val="none"/>
              </w:rPr>
              <w:t>③含有泥浆的施工废水必须经沉淀处理，用于场地洒水抑尘。</w:t>
            </w:r>
          </w:p>
          <w:p>
            <w:pPr>
              <w:pStyle w:val="96"/>
              <w:ind w:firstLine="480"/>
              <w:rPr>
                <w:highlight w:val="none"/>
              </w:rPr>
            </w:pPr>
            <w:r>
              <w:rPr>
                <w:highlight w:val="none"/>
              </w:rPr>
              <w:t>④在施工过程中，应合理安排施工计划、施工程序，协调好各个施工步骤。</w:t>
            </w:r>
          </w:p>
          <w:p>
            <w:pPr>
              <w:pStyle w:val="96"/>
              <w:ind w:firstLine="0" w:firstLineChars="0"/>
              <w:rPr>
                <w:highlight w:val="none"/>
              </w:rPr>
            </w:pPr>
            <w:r>
              <w:rPr>
                <w:rFonts w:hint="eastAsia"/>
                <w:highlight w:val="none"/>
              </w:rPr>
              <w:t>雨季</w:t>
            </w:r>
            <w:r>
              <w:rPr>
                <w:highlight w:val="none"/>
              </w:rPr>
              <w:t>尽量减少地面坡度，减少开挖面，并争取土料随挖、随运，减少推土裸土的暴露时间，以避免受降雨的直接冲刷。</w:t>
            </w:r>
          </w:p>
          <w:p>
            <w:pPr>
              <w:pStyle w:val="96"/>
              <w:ind w:firstLine="482"/>
              <w:rPr>
                <w:b/>
                <w:bCs/>
                <w:highlight w:val="none"/>
              </w:rPr>
            </w:pPr>
            <w:r>
              <w:rPr>
                <w:b/>
                <w:bCs/>
                <w:highlight w:val="none"/>
              </w:rPr>
              <w:t>3</w:t>
            </w:r>
            <w:r>
              <w:rPr>
                <w:rFonts w:hint="eastAsia"/>
                <w:b/>
                <w:bCs/>
                <w:highlight w:val="none"/>
              </w:rPr>
              <w:t>、</w:t>
            </w:r>
            <w:r>
              <w:rPr>
                <w:b/>
                <w:bCs/>
                <w:highlight w:val="none"/>
              </w:rPr>
              <w:t>噪声防治措施</w:t>
            </w:r>
          </w:p>
          <w:p>
            <w:pPr>
              <w:pStyle w:val="96"/>
              <w:ind w:firstLine="480"/>
              <w:rPr>
                <w:highlight w:val="none"/>
              </w:rPr>
            </w:pPr>
            <w:r>
              <w:rPr>
                <w:highlight w:val="none"/>
              </w:rPr>
              <w:t>施工过程中施工机械在运行时都将产生不同程度的噪声。本项目在施工时严格执行《建筑施工噪声排放标准》（GB12523-20</w:t>
            </w:r>
            <w:r>
              <w:rPr>
                <w:rFonts w:hint="eastAsia"/>
                <w:highlight w:val="none"/>
              </w:rPr>
              <w:t>25</w:t>
            </w:r>
            <w:r>
              <w:rPr>
                <w:highlight w:val="none"/>
              </w:rPr>
              <w:t>）的标准，根据《中华人民共和国噪声污染防治法》要求，为确保施工阶段噪声不对周围环境造成显著影响，具体措施如下：</w:t>
            </w:r>
          </w:p>
          <w:p>
            <w:pPr>
              <w:pStyle w:val="96"/>
              <w:ind w:firstLine="480"/>
              <w:rPr>
                <w:highlight w:val="none"/>
              </w:rPr>
            </w:pPr>
            <w:r>
              <w:rPr>
                <w:highlight w:val="none"/>
              </w:rPr>
              <w:t>①优先选用低噪声设备和工作方式，加强设备的维护与管理，把噪声污染减少到最低程度。</w:t>
            </w:r>
          </w:p>
          <w:p>
            <w:pPr>
              <w:pStyle w:val="96"/>
              <w:ind w:firstLine="480"/>
              <w:rPr>
                <w:highlight w:val="none"/>
              </w:rPr>
            </w:pPr>
            <w:r>
              <w:rPr>
                <w:highlight w:val="none"/>
              </w:rPr>
              <w:t>②增加消声减振的装置，如在某些施工机械上安装消声罩，对振捣棒等强噪声源周围适当封闭等；可固定的机械设备如空压机、发电机等安置在施工场地临时房间内，房屋内设吸声材料，降低噪声；现场装卸钢模、设备机具时，应轻装慢放，不得随意乱扔发出巨响。</w:t>
            </w:r>
          </w:p>
          <w:p>
            <w:pPr>
              <w:pStyle w:val="96"/>
              <w:ind w:firstLine="480"/>
              <w:rPr>
                <w:highlight w:val="none"/>
              </w:rPr>
            </w:pPr>
            <w:r>
              <w:rPr>
                <w:highlight w:val="none"/>
              </w:rPr>
              <w:t>③施工场地周边布设围挡；施工现场合理布局，以避免局部声级过高，尽可能将施工阶段的噪声影响减至最小。</w:t>
            </w:r>
          </w:p>
          <w:p>
            <w:pPr>
              <w:pStyle w:val="96"/>
              <w:ind w:firstLine="480"/>
              <w:rPr>
                <w:highlight w:val="none"/>
              </w:rPr>
            </w:pPr>
            <w:r>
              <w:rPr>
                <w:highlight w:val="none"/>
              </w:rPr>
              <w:t>④施工联络方式采用旗帜、无线电通信等方式，尽量不使用鸣笛等联络方式。</w:t>
            </w:r>
          </w:p>
          <w:p>
            <w:pPr>
              <w:pStyle w:val="96"/>
              <w:ind w:firstLine="480"/>
              <w:rPr>
                <w:highlight w:val="none"/>
              </w:rPr>
            </w:pPr>
            <w:r>
              <w:rPr>
                <w:highlight w:val="none"/>
              </w:rPr>
              <w:t>⑤加强对施工人员的环境宣传和教育，使他们认真落实各项降噪措施，做到文明施工。</w:t>
            </w:r>
          </w:p>
          <w:p>
            <w:pPr>
              <w:pStyle w:val="96"/>
              <w:ind w:firstLine="480"/>
              <w:rPr>
                <w:highlight w:val="none"/>
              </w:rPr>
            </w:pPr>
            <w:r>
              <w:rPr>
                <w:highlight w:val="none"/>
              </w:rPr>
              <w:t>⑥合理制定施工计划，一定要严格控制和管理产生噪声的设备的使用时间，尽可能避免在同一区段安排大量强噪声设备同时施工；白天施工时，选用低噪声设备，并合理安排高噪声作业位置；合理安排施工时间，高噪声施工设备仅限于昼间作业，且尽量避开周围居民午休时间，13：00-14：30禁止进行高噪声施工；如夜间确需施工作业的，必须提前3日向</w:t>
            </w:r>
            <w:r>
              <w:rPr>
                <w:rFonts w:hint="eastAsia"/>
                <w:highlight w:val="none"/>
              </w:rPr>
              <w:t>生态环境主管部门、城市管理部门</w:t>
            </w:r>
            <w:r>
              <w:rPr>
                <w:rFonts w:hint="eastAsia"/>
                <w:highlight w:val="none"/>
                <w:lang w:val="en-US" w:eastAsia="zh-CN"/>
              </w:rPr>
              <w:t>等</w:t>
            </w:r>
            <w:r>
              <w:rPr>
                <w:highlight w:val="none"/>
              </w:rPr>
              <w:t>相关主管部门提出申请，经审核批准后方可施工，并由施工单位公告当地居民。</w:t>
            </w:r>
          </w:p>
          <w:p>
            <w:pPr>
              <w:pStyle w:val="96"/>
              <w:ind w:firstLine="482"/>
              <w:rPr>
                <w:b/>
                <w:bCs/>
                <w:highlight w:val="none"/>
              </w:rPr>
            </w:pPr>
            <w:r>
              <w:rPr>
                <w:b/>
                <w:bCs/>
                <w:highlight w:val="none"/>
              </w:rPr>
              <w:t>4</w:t>
            </w:r>
            <w:r>
              <w:rPr>
                <w:rFonts w:hint="eastAsia"/>
                <w:b/>
                <w:bCs/>
                <w:highlight w:val="none"/>
              </w:rPr>
              <w:t>、</w:t>
            </w:r>
            <w:r>
              <w:rPr>
                <w:b/>
                <w:bCs/>
                <w:highlight w:val="none"/>
              </w:rPr>
              <w:t>固体废物防治措施</w:t>
            </w:r>
          </w:p>
          <w:p>
            <w:pPr>
              <w:pStyle w:val="96"/>
              <w:ind w:firstLine="480"/>
              <w:rPr>
                <w:highlight w:val="none"/>
              </w:rPr>
            </w:pPr>
            <w:r>
              <w:rPr>
                <w:highlight w:val="none"/>
              </w:rPr>
              <w:t>施工期产生的固体废物主要有建筑垃圾、工程渣土、土方以及施工人员产生的生活垃圾。生活垃圾交城管委收集处理；装修及施工产生建筑垃圾、工程渣土、多余土石方由施工单位负责清运。建设单位必须采取措施减少并降低建筑垃圾、工程渣土、土方和生活垃圾对周围环境的影响，须采取以下措施：</w:t>
            </w:r>
          </w:p>
          <w:p>
            <w:pPr>
              <w:pStyle w:val="96"/>
              <w:ind w:firstLine="480"/>
              <w:rPr>
                <w:highlight w:val="none"/>
              </w:rPr>
            </w:pPr>
            <w:r>
              <w:rPr>
                <w:highlight w:val="none"/>
              </w:rPr>
              <w:t>①施工现场的施工垃圾必须分类收集，分别处置。土方、工程渣土和建筑垃圾堆放高度不得超出围挡高度，并采取苫盖、固化措施。</w:t>
            </w:r>
          </w:p>
          <w:p>
            <w:pPr>
              <w:pStyle w:val="96"/>
              <w:ind w:firstLine="480"/>
              <w:rPr>
                <w:highlight w:val="none"/>
              </w:rPr>
            </w:pPr>
            <w:r>
              <w:rPr>
                <w:highlight w:val="none"/>
              </w:rPr>
              <w:t>②施工场地设置垃圾箱，生活垃圾袋装收集，委托城市管理委员会定期清运，避免长期堆存</w:t>
            </w:r>
            <w:r>
              <w:rPr>
                <w:rFonts w:hint="eastAsia"/>
                <w:highlight w:val="none"/>
              </w:rPr>
              <w:t>滋生</w:t>
            </w:r>
            <w:r>
              <w:rPr>
                <w:highlight w:val="none"/>
              </w:rPr>
              <w:t>蚊蝇和致病菌，影响健康。</w:t>
            </w:r>
          </w:p>
          <w:p>
            <w:pPr>
              <w:pStyle w:val="96"/>
              <w:ind w:firstLine="480"/>
              <w:rPr>
                <w:highlight w:val="none"/>
              </w:rPr>
            </w:pPr>
            <w:r>
              <w:rPr>
                <w:highlight w:val="none"/>
              </w:rPr>
              <w:t>③项目施工期间的废弃物应及时清运，要求按规定路线清运运输车辆必须按相关要求配装密闭装置。</w:t>
            </w:r>
          </w:p>
          <w:p>
            <w:pPr>
              <w:pStyle w:val="96"/>
              <w:ind w:firstLine="480"/>
              <w:rPr>
                <w:highlight w:val="none"/>
              </w:rPr>
            </w:pPr>
            <w:r>
              <w:rPr>
                <w:highlight w:val="none"/>
              </w:rPr>
              <w:t>④</w:t>
            </w:r>
            <w:r>
              <w:rPr>
                <w:color w:val="0000FF"/>
                <w:highlight w:val="none"/>
              </w:rPr>
              <w:t>本项目施工中做好土石方平衡工作，开挖土方用于施工场地平整回填。</w:t>
            </w:r>
          </w:p>
          <w:p>
            <w:pPr>
              <w:pStyle w:val="96"/>
              <w:ind w:firstLine="480"/>
              <w:rPr>
                <w:highlight w:val="none"/>
              </w:rPr>
            </w:pPr>
            <w:r>
              <w:rPr>
                <w:highlight w:val="none"/>
              </w:rPr>
              <w:t>⑤建筑垃圾按照《</w:t>
            </w:r>
            <w:r>
              <w:rPr>
                <w:rFonts w:hint="eastAsia"/>
                <w:highlight w:val="none"/>
              </w:rPr>
              <w:t>九江市城市</w:t>
            </w:r>
            <w:r>
              <w:rPr>
                <w:highlight w:val="none"/>
              </w:rPr>
              <w:t>建筑垃圾管理办法》等管理规定进行处置，交由有资质单位清运。</w:t>
            </w:r>
          </w:p>
          <w:p>
            <w:pPr>
              <w:pStyle w:val="96"/>
              <w:ind w:firstLine="480"/>
              <w:rPr>
                <w:highlight w:val="none"/>
              </w:rPr>
            </w:pPr>
            <w:r>
              <w:rPr>
                <w:highlight w:val="none"/>
              </w:rPr>
              <w:t>⑥工程承包单位应对施工人员加强教育和管理，做到不随意乱丢废物，要设立环保卫生监督监察人员，避免污染环境，影响市容。</w:t>
            </w:r>
          </w:p>
          <w:p>
            <w:pPr>
              <w:pStyle w:val="96"/>
              <w:ind w:firstLine="480"/>
              <w:rPr>
                <w:highlight w:val="none"/>
              </w:rPr>
            </w:pPr>
            <w:r>
              <w:rPr>
                <w:highlight w:val="none"/>
              </w:rPr>
              <w:t>⑦带油的施工机械可能出现漏油而污染土壤，建设单位应加强施工机械维护保养，注意机械油箱是否有跑、冒、滴、漏油现象，避免油品洒落造成土壤污染。</w:t>
            </w:r>
          </w:p>
          <w:p>
            <w:pPr>
              <w:pStyle w:val="96"/>
              <w:ind w:firstLine="480"/>
              <w:rPr>
                <w:highlight w:val="none"/>
              </w:rPr>
            </w:pPr>
            <w:r>
              <w:rPr>
                <w:highlight w:val="none"/>
              </w:rPr>
              <w:t>综上所述，本项目建设单位应严格按照相关要求，自觉加强对施工现场的监督管理，并采取有效的防护措施，减轻对周边环境带来明显不利影响，施工结束后对周边环境的影响也随之消除。施工期对环境的影响属于短期影响，具有间歇性和不定量排放的特点，在施工结束后受施工影响的区域各环境要素大多可恢复到现状水平。</w:t>
            </w:r>
          </w:p>
          <w:p>
            <w:pPr>
              <w:pStyle w:val="96"/>
              <w:ind w:firstLine="482"/>
              <w:rPr>
                <w:rFonts w:hint="eastAsia"/>
                <w:b/>
                <w:bCs/>
                <w:color w:val="0000FF"/>
                <w:highlight w:val="none"/>
                <w:lang w:val="en-US" w:eastAsia="zh-CN"/>
              </w:rPr>
            </w:pPr>
            <w:r>
              <w:rPr>
                <w:rFonts w:hint="eastAsia"/>
                <w:b/>
                <w:bCs/>
                <w:color w:val="0000FF"/>
                <w:highlight w:val="none"/>
                <w:lang w:val="en-US" w:eastAsia="zh-CN"/>
              </w:rPr>
              <w:t>5、施工期生态影响分析</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 xml:space="preserve">工程施工期对生态的影响主要体现在： </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①施工期包括清除现场，土石方开挖、填筑、机械碾压等施工活动，本工程占用的主要为荒地。不涉及物种的灭绝，对周围生态环境不会造成明显影响。</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②扰动了表土结构，土壤抗蚀能力降低，损坏了原有的水土保持设施，导致地表裸露，在地表径流的作用下，加大水土流失量，破坏生态，恶化环境。施工期流失的土石随着地表</w:t>
            </w:r>
            <w:r>
              <w:rPr>
                <w:rFonts w:hint="eastAsia" w:cs="Times New Roman"/>
                <w:bCs/>
                <w:color w:val="0000FF"/>
                <w:sz w:val="24"/>
                <w:highlight w:val="none"/>
                <w:u w:val="none"/>
                <w:lang w:eastAsia="zh-CN"/>
              </w:rPr>
              <w:t>径流</w:t>
            </w:r>
            <w:r>
              <w:rPr>
                <w:rFonts w:hint="default" w:ascii="Times New Roman" w:hAnsi="Times New Roman" w:eastAsia="宋体" w:cs="Times New Roman"/>
                <w:bCs/>
                <w:color w:val="0000FF"/>
                <w:sz w:val="24"/>
                <w:highlight w:val="none"/>
                <w:u w:val="none"/>
              </w:rPr>
              <w:t xml:space="preserve">进入地表水体，使水体水质的悬浮物浓度在短时间内急剧增加，对当地农业生产造成一定的影响。 </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本项目位于华林镇吉山村华林板岩加工园</w:t>
            </w:r>
            <w:r>
              <w:rPr>
                <w:rFonts w:hint="eastAsia" w:cs="Times New Roman"/>
                <w:bCs/>
                <w:color w:val="0000FF"/>
                <w:sz w:val="24"/>
                <w:highlight w:val="none"/>
                <w:u w:val="none"/>
                <w:lang w:val="en-US" w:eastAsia="zh-CN"/>
              </w:rPr>
              <w:t>二期</w:t>
            </w:r>
            <w:r>
              <w:rPr>
                <w:rFonts w:hint="default" w:ascii="Times New Roman" w:hAnsi="Times New Roman" w:eastAsia="宋体" w:cs="Times New Roman"/>
                <w:bCs/>
                <w:color w:val="0000FF"/>
                <w:sz w:val="24"/>
                <w:highlight w:val="none"/>
                <w:u w:val="none"/>
              </w:rPr>
              <w:t>，</w:t>
            </w:r>
            <w:r>
              <w:rPr>
                <w:rFonts w:hint="eastAsia" w:ascii="Times New Roman" w:hAnsi="Times New Roman" w:eastAsia="宋体" w:cs="Times New Roman"/>
                <w:bCs/>
                <w:color w:val="0000FF"/>
                <w:sz w:val="24"/>
                <w:highlight w:val="none"/>
                <w:u w:val="none"/>
                <w:lang w:val="en-US" w:eastAsia="zh-CN"/>
              </w:rPr>
              <w:t>项目区域</w:t>
            </w:r>
            <w:r>
              <w:rPr>
                <w:rFonts w:hint="default" w:ascii="Times New Roman" w:hAnsi="Times New Roman" w:eastAsia="宋体" w:cs="Times New Roman"/>
                <w:bCs/>
                <w:color w:val="0000FF"/>
                <w:sz w:val="24"/>
                <w:highlight w:val="none"/>
                <w:u w:val="none"/>
              </w:rPr>
              <w:t>人类活动频繁，无珍稀保护动物分布。项目施工期地表施工时对鸟类、小型爬行动物等造成的惊扰。随着施工结束，这一影响将很快消失。</w:t>
            </w:r>
          </w:p>
          <w:p>
            <w:pPr>
              <w:pStyle w:val="96"/>
              <w:ind w:firstLine="482"/>
              <w:rPr>
                <w:rFonts w:hint="default"/>
                <w:b/>
                <w:bCs/>
                <w:color w:val="0000FF"/>
                <w:highlight w:val="none"/>
                <w:lang w:val="en-US" w:eastAsia="zh-CN"/>
              </w:rPr>
            </w:pPr>
            <w:r>
              <w:rPr>
                <w:rFonts w:hint="eastAsia"/>
                <w:b/>
                <w:bCs/>
                <w:color w:val="0000FF"/>
                <w:highlight w:val="none"/>
                <w:lang w:val="en-US" w:eastAsia="zh-CN"/>
              </w:rPr>
              <w:t>6、施工期</w:t>
            </w:r>
            <w:r>
              <w:rPr>
                <w:rFonts w:hint="default"/>
                <w:b/>
                <w:bCs/>
                <w:color w:val="0000FF"/>
                <w:highlight w:val="none"/>
              </w:rPr>
              <w:t>水土流失</w:t>
            </w:r>
            <w:r>
              <w:rPr>
                <w:rFonts w:hint="eastAsia"/>
                <w:b/>
                <w:bCs/>
                <w:color w:val="0000FF"/>
                <w:highlight w:val="none"/>
                <w:lang w:val="en-US" w:eastAsia="zh-CN"/>
              </w:rPr>
              <w:t>影响分析</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项目施工涉及地表开挖，施工活动将可能导致水土流失加剧，为减少施工过程水土流失，同时尽量避免水土流失产生的泥水对附近地表水体的污染，项目建设方应采取水土流失防治措施，环评建议措施如下</w:t>
            </w:r>
            <w:r>
              <w:rPr>
                <w:rFonts w:hint="eastAsia" w:cs="Times New Roman"/>
                <w:bCs/>
                <w:color w:val="0000FF"/>
                <w:sz w:val="24"/>
                <w:highlight w:val="none"/>
                <w:u w:val="none"/>
                <w:lang w:eastAsia="zh-CN"/>
              </w:rPr>
              <w:t>：</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①工程施工尽量在秋、冬季少雨的时节进行施工，必须在春夏季施工的，应关注天气预报，避开</w:t>
            </w:r>
            <w:r>
              <w:rPr>
                <w:rFonts w:hint="eastAsia" w:cs="Times New Roman"/>
                <w:bCs/>
                <w:color w:val="0000FF"/>
                <w:sz w:val="24"/>
                <w:highlight w:val="none"/>
                <w:u w:val="none"/>
                <w:lang w:eastAsia="zh-CN"/>
              </w:rPr>
              <w:t>大雨</w:t>
            </w:r>
            <w:r>
              <w:rPr>
                <w:rFonts w:hint="default" w:ascii="Times New Roman" w:hAnsi="Times New Roman" w:eastAsia="宋体" w:cs="Times New Roman"/>
                <w:bCs/>
                <w:color w:val="0000FF"/>
                <w:sz w:val="24"/>
                <w:highlight w:val="none"/>
                <w:u w:val="none"/>
              </w:rPr>
              <w:t>或暴雨天气，并在雨水来临前做好水土流失防护。</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default" w:ascii="Times New Roman" w:hAnsi="Times New Roman" w:eastAsia="宋体" w:cs="Times New Roman"/>
                <w:bCs/>
                <w:color w:val="0000FF"/>
                <w:sz w:val="24"/>
                <w:highlight w:val="none"/>
                <w:u w:val="none"/>
              </w:rPr>
              <w:t>②建设开挖后土石方堆置应覆盖塑料膜，减少雨水冲刷以及堆场扬尘产生。</w:t>
            </w:r>
          </w:p>
          <w:p>
            <w:pPr>
              <w:spacing w:line="360" w:lineRule="auto"/>
              <w:ind w:firstLine="480" w:firstLineChars="200"/>
              <w:rPr>
                <w:rFonts w:hint="default" w:ascii="Times New Roman" w:hAnsi="Times New Roman" w:eastAsia="宋体" w:cs="Times New Roman"/>
                <w:bCs/>
                <w:color w:val="0000FF"/>
                <w:sz w:val="24"/>
                <w:highlight w:val="none"/>
                <w:u w:val="none"/>
              </w:rPr>
            </w:pPr>
            <w:r>
              <w:rPr>
                <w:rFonts w:hint="eastAsia" w:cs="Times New Roman"/>
                <w:bCs/>
                <w:color w:val="0000FF"/>
                <w:sz w:val="24"/>
                <w:highlight w:val="none"/>
                <w:u w:val="none"/>
                <w:lang w:val="en-US" w:eastAsia="zh-CN"/>
              </w:rPr>
              <w:t>③</w:t>
            </w:r>
            <w:r>
              <w:rPr>
                <w:rFonts w:hint="default" w:ascii="Times New Roman" w:hAnsi="Times New Roman" w:eastAsia="宋体" w:cs="Times New Roman"/>
                <w:bCs/>
                <w:color w:val="0000FF"/>
                <w:sz w:val="24"/>
                <w:highlight w:val="none"/>
                <w:u w:val="none"/>
              </w:rPr>
              <w:t>厂区施工结束后进行地表恢复，并进行绿化补偿。</w:t>
            </w:r>
          </w:p>
          <w:p>
            <w:pPr>
              <w:spacing w:line="360" w:lineRule="auto"/>
              <w:ind w:firstLine="480" w:firstLineChars="200"/>
              <w:rPr>
                <w:rFonts w:hint="default"/>
                <w:highlight w:val="none"/>
                <w:lang w:val="en-US" w:eastAsia="zh-CN"/>
              </w:rPr>
            </w:pPr>
            <w:r>
              <w:rPr>
                <w:rFonts w:hint="default" w:ascii="Times New Roman" w:hAnsi="Times New Roman" w:eastAsia="宋体" w:cs="Times New Roman"/>
                <w:bCs/>
                <w:color w:val="0000FF"/>
                <w:sz w:val="24"/>
                <w:highlight w:val="none"/>
                <w:u w:val="none"/>
              </w:rPr>
              <w:t>在进行完善的生态保护措施的情况下，本项目施工不会对周边生态环境造成不良影响。</w:t>
            </w:r>
          </w:p>
        </w:tc>
      </w:tr>
    </w:tbl>
    <w:p>
      <w:pPr>
        <w:adjustRightInd w:val="0"/>
        <w:snapToGrid w:val="0"/>
        <w:spacing w:line="360" w:lineRule="auto"/>
        <w:rPr>
          <w:b/>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9"/>
        <w:tblW w:w="502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5"/>
        <w:gridCol w:w="141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7" w:hRule="atLeast"/>
          <w:jc w:val="center"/>
        </w:trPr>
        <w:tc>
          <w:tcPr>
            <w:tcW w:w="109" w:type="pct"/>
            <w:tcMar>
              <w:left w:w="28" w:type="dxa"/>
              <w:right w:w="28" w:type="dxa"/>
            </w:tcMar>
            <w:vAlign w:val="center"/>
          </w:tcPr>
          <w:p>
            <w:pPr>
              <w:jc w:val="center"/>
              <w:rPr>
                <w:b/>
                <w:bCs/>
                <w:sz w:val="24"/>
                <w:highlight w:val="none"/>
              </w:rPr>
            </w:pPr>
            <w:r>
              <w:rPr>
                <w:rFonts w:hint="eastAsia"/>
                <w:b/>
                <w:bCs/>
                <w:sz w:val="24"/>
                <w:highlight w:val="none"/>
              </w:rPr>
              <w:t>运</w:t>
            </w:r>
          </w:p>
          <w:p>
            <w:pPr>
              <w:jc w:val="center"/>
              <w:rPr>
                <w:b/>
                <w:bCs/>
                <w:sz w:val="24"/>
                <w:highlight w:val="none"/>
              </w:rPr>
            </w:pPr>
            <w:r>
              <w:rPr>
                <w:rFonts w:hint="eastAsia"/>
                <w:b/>
                <w:bCs/>
                <w:sz w:val="24"/>
                <w:highlight w:val="none"/>
              </w:rPr>
              <w:t>营</w:t>
            </w:r>
          </w:p>
          <w:p>
            <w:pPr>
              <w:jc w:val="center"/>
              <w:rPr>
                <w:b/>
                <w:bCs/>
                <w:sz w:val="24"/>
                <w:highlight w:val="none"/>
              </w:rPr>
            </w:pPr>
            <w:r>
              <w:rPr>
                <w:rFonts w:hint="eastAsia"/>
                <w:b/>
                <w:bCs/>
                <w:sz w:val="24"/>
                <w:highlight w:val="none"/>
              </w:rPr>
              <w:t>期</w:t>
            </w:r>
          </w:p>
          <w:p>
            <w:pPr>
              <w:jc w:val="center"/>
              <w:rPr>
                <w:b/>
                <w:bCs/>
                <w:sz w:val="24"/>
                <w:highlight w:val="none"/>
              </w:rPr>
            </w:pPr>
            <w:r>
              <w:rPr>
                <w:rFonts w:hint="eastAsia"/>
                <w:b/>
                <w:bCs/>
                <w:sz w:val="24"/>
                <w:highlight w:val="none"/>
              </w:rPr>
              <w:t>环</w:t>
            </w:r>
          </w:p>
          <w:p>
            <w:pPr>
              <w:jc w:val="center"/>
              <w:rPr>
                <w:b/>
                <w:bCs/>
                <w:sz w:val="24"/>
                <w:highlight w:val="none"/>
              </w:rPr>
            </w:pPr>
            <w:r>
              <w:rPr>
                <w:rFonts w:hint="eastAsia"/>
                <w:b/>
                <w:bCs/>
                <w:sz w:val="24"/>
                <w:highlight w:val="none"/>
              </w:rPr>
              <w:t>境</w:t>
            </w:r>
          </w:p>
          <w:p>
            <w:pPr>
              <w:jc w:val="center"/>
              <w:rPr>
                <w:b/>
                <w:bCs/>
                <w:sz w:val="24"/>
                <w:highlight w:val="none"/>
              </w:rPr>
            </w:pPr>
            <w:r>
              <w:rPr>
                <w:rFonts w:hint="eastAsia"/>
                <w:b/>
                <w:bCs/>
                <w:sz w:val="24"/>
                <w:highlight w:val="none"/>
              </w:rPr>
              <w:t>影</w:t>
            </w:r>
          </w:p>
          <w:p>
            <w:pPr>
              <w:jc w:val="center"/>
              <w:rPr>
                <w:b/>
                <w:bCs/>
                <w:sz w:val="24"/>
                <w:highlight w:val="none"/>
              </w:rPr>
            </w:pPr>
            <w:r>
              <w:rPr>
                <w:rFonts w:hint="eastAsia"/>
                <w:b/>
                <w:bCs/>
                <w:sz w:val="24"/>
                <w:highlight w:val="none"/>
              </w:rPr>
              <w:t>响</w:t>
            </w:r>
          </w:p>
          <w:p>
            <w:pPr>
              <w:jc w:val="center"/>
              <w:rPr>
                <w:b/>
                <w:bCs/>
                <w:sz w:val="24"/>
                <w:highlight w:val="none"/>
              </w:rPr>
            </w:pPr>
            <w:r>
              <w:rPr>
                <w:rFonts w:hint="eastAsia"/>
                <w:b/>
                <w:bCs/>
                <w:sz w:val="24"/>
                <w:highlight w:val="none"/>
              </w:rPr>
              <w:t>和</w:t>
            </w:r>
          </w:p>
          <w:p>
            <w:pPr>
              <w:jc w:val="center"/>
              <w:rPr>
                <w:b/>
                <w:bCs/>
                <w:sz w:val="24"/>
                <w:highlight w:val="none"/>
              </w:rPr>
            </w:pPr>
            <w:r>
              <w:rPr>
                <w:rFonts w:hint="eastAsia"/>
                <w:b/>
                <w:bCs/>
                <w:sz w:val="24"/>
                <w:highlight w:val="none"/>
              </w:rPr>
              <w:t>保</w:t>
            </w:r>
          </w:p>
          <w:p>
            <w:pPr>
              <w:jc w:val="center"/>
              <w:rPr>
                <w:b/>
                <w:bCs/>
                <w:sz w:val="24"/>
                <w:highlight w:val="none"/>
              </w:rPr>
            </w:pPr>
            <w:r>
              <w:rPr>
                <w:rFonts w:hint="eastAsia"/>
                <w:b/>
                <w:bCs/>
                <w:sz w:val="24"/>
                <w:highlight w:val="none"/>
              </w:rPr>
              <w:t>护</w:t>
            </w:r>
          </w:p>
          <w:p>
            <w:pPr>
              <w:jc w:val="center"/>
              <w:rPr>
                <w:b/>
                <w:bCs/>
                <w:sz w:val="24"/>
                <w:highlight w:val="none"/>
              </w:rPr>
            </w:pPr>
            <w:r>
              <w:rPr>
                <w:rFonts w:hint="eastAsia"/>
                <w:b/>
                <w:bCs/>
                <w:sz w:val="24"/>
                <w:highlight w:val="none"/>
              </w:rPr>
              <w:t>措</w:t>
            </w:r>
          </w:p>
          <w:p>
            <w:pPr>
              <w:jc w:val="center"/>
              <w:rPr>
                <w:b/>
                <w:bCs/>
                <w:szCs w:val="21"/>
                <w:highlight w:val="none"/>
              </w:rPr>
            </w:pPr>
            <w:r>
              <w:rPr>
                <w:rFonts w:hint="eastAsia"/>
                <w:b/>
                <w:bCs/>
                <w:sz w:val="24"/>
                <w:highlight w:val="none"/>
              </w:rPr>
              <w:t>施</w:t>
            </w:r>
          </w:p>
        </w:tc>
        <w:tc>
          <w:tcPr>
            <w:tcW w:w="4890" w:type="pct"/>
          </w:tcPr>
          <w:p>
            <w:pPr>
              <w:spacing w:line="360" w:lineRule="auto"/>
              <w:ind w:firstLine="481" w:firstLineChars="200"/>
              <w:rPr>
                <w:b/>
                <w:bCs/>
                <w:sz w:val="24"/>
                <w:szCs w:val="32"/>
                <w:highlight w:val="none"/>
              </w:rPr>
            </w:pPr>
            <w:r>
              <w:rPr>
                <w:rFonts w:hint="eastAsia"/>
                <w:b/>
                <w:bCs/>
                <w:sz w:val="24"/>
                <w:szCs w:val="32"/>
                <w:highlight w:val="none"/>
              </w:rPr>
              <w:t>1</w:t>
            </w:r>
            <w:r>
              <w:rPr>
                <w:b/>
                <w:bCs/>
                <w:sz w:val="24"/>
                <w:szCs w:val="32"/>
                <w:highlight w:val="none"/>
              </w:rPr>
              <w:t>、废气</w:t>
            </w:r>
          </w:p>
          <w:p>
            <w:pPr>
              <w:pStyle w:val="64"/>
              <w:tabs>
                <w:tab w:val="left" w:pos="2595"/>
              </w:tabs>
              <w:adjustRightInd/>
              <w:textAlignment w:val="auto"/>
              <w:rPr>
                <w:rFonts w:ascii="Times New Roman" w:hAnsi="Times New Roman" w:cs="Times New Roman"/>
                <w:kern w:val="0"/>
                <w:highlight w:val="none"/>
                <w:lang w:val="zh-CN"/>
              </w:rPr>
            </w:pPr>
            <w:r>
              <w:rPr>
                <w:rFonts w:ascii="Times New Roman" w:hAnsi="Times New Roman" w:cs="Times New Roman"/>
                <w:highlight w:val="none"/>
              </w:rPr>
              <w:t>（1）废气污染源情况</w:t>
            </w:r>
          </w:p>
          <w:p>
            <w:pPr>
              <w:pStyle w:val="101"/>
              <w:numPr>
                <w:ilvl w:val="5"/>
                <w:numId w:val="0"/>
              </w:numPr>
              <w:rPr>
                <w:sz w:val="21"/>
                <w:szCs w:val="21"/>
                <w:highlight w:val="none"/>
              </w:rPr>
            </w:pPr>
            <w:r>
              <w:rPr>
                <w:sz w:val="21"/>
                <w:szCs w:val="21"/>
                <w:highlight w:val="none"/>
              </w:rPr>
              <w:t>表4-</w:t>
            </w:r>
            <w:r>
              <w:rPr>
                <w:rFonts w:hint="eastAsia"/>
                <w:sz w:val="21"/>
                <w:szCs w:val="21"/>
                <w:highlight w:val="none"/>
              </w:rPr>
              <w:t xml:space="preserve">1 </w:t>
            </w:r>
            <w:r>
              <w:rPr>
                <w:sz w:val="21"/>
                <w:szCs w:val="21"/>
                <w:highlight w:val="none"/>
              </w:rPr>
              <w:t xml:space="preserve"> 废气污染源产生、正常排放汇总表</w:t>
            </w:r>
          </w:p>
          <w:tbl>
            <w:tblPr>
              <w:tblStyle w:val="3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2"/>
              <w:gridCol w:w="374"/>
              <w:gridCol w:w="699"/>
              <w:gridCol w:w="813"/>
              <w:gridCol w:w="688"/>
              <w:gridCol w:w="666"/>
              <w:gridCol w:w="719"/>
              <w:gridCol w:w="429"/>
              <w:gridCol w:w="429"/>
              <w:gridCol w:w="429"/>
              <w:gridCol w:w="711"/>
              <w:gridCol w:w="839"/>
              <w:gridCol w:w="688"/>
              <w:gridCol w:w="666"/>
              <w:gridCol w:w="577"/>
              <w:gridCol w:w="576"/>
              <w:gridCol w:w="576"/>
              <w:gridCol w:w="579"/>
              <w:gridCol w:w="373"/>
              <w:gridCol w:w="993"/>
              <w:gridCol w:w="913"/>
              <w:gridCol w:w="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 w:type="pct"/>
                  <w:vMerge w:val="restart"/>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产排污环节</w:t>
                  </w:r>
                </w:p>
              </w:tc>
              <w:tc>
                <w:tcPr>
                  <w:tcW w:w="134" w:type="pct"/>
                  <w:vMerge w:val="restart"/>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排放形式</w:t>
                  </w:r>
                </w:p>
              </w:tc>
              <w:tc>
                <w:tcPr>
                  <w:tcW w:w="251" w:type="pct"/>
                  <w:vMerge w:val="restart"/>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污染物种类</w:t>
                  </w:r>
                </w:p>
              </w:tc>
              <w:tc>
                <w:tcPr>
                  <w:tcW w:w="778" w:type="pct"/>
                  <w:gridSpan w:val="3"/>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污染物产生量和浓度</w:t>
                  </w:r>
                </w:p>
              </w:tc>
              <w:tc>
                <w:tcPr>
                  <w:tcW w:w="975" w:type="pct"/>
                  <w:gridSpan w:val="5"/>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污染治理设施</w:t>
                  </w:r>
                </w:p>
              </w:tc>
              <w:tc>
                <w:tcPr>
                  <w:tcW w:w="787" w:type="pct"/>
                  <w:gridSpan w:val="3"/>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污染物排放量和浓度</w:t>
                  </w:r>
                </w:p>
              </w:tc>
              <w:tc>
                <w:tcPr>
                  <w:tcW w:w="1320" w:type="pct"/>
                  <w:gridSpan w:val="6"/>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排放口基本情况</w:t>
                  </w:r>
                </w:p>
              </w:tc>
              <w:tc>
                <w:tcPr>
                  <w:tcW w:w="577" w:type="pct"/>
                  <w:gridSpan w:val="2"/>
                  <w:tcBorders>
                    <w:top w:val="single" w:color="auto" w:sz="4" w:space="0"/>
                  </w:tcBorders>
                  <w:vAlign w:val="center"/>
                </w:tcPr>
                <w:p>
                  <w:pPr>
                    <w:adjustRightInd w:val="0"/>
                    <w:snapToGrid w:val="0"/>
                    <w:spacing w:line="240" w:lineRule="exact"/>
                    <w:jc w:val="center"/>
                    <w:rPr>
                      <w:b/>
                      <w:bCs/>
                      <w:szCs w:val="21"/>
                      <w:highlight w:val="none"/>
                    </w:rPr>
                  </w:pPr>
                  <w:r>
                    <w:rPr>
                      <w:b/>
                      <w:bCs/>
                      <w:szCs w:val="21"/>
                      <w:highlight w:val="none"/>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 w:type="pct"/>
                  <w:vMerge w:val="continue"/>
                  <w:vAlign w:val="center"/>
                </w:tcPr>
                <w:p>
                  <w:pPr>
                    <w:adjustRightInd w:val="0"/>
                    <w:snapToGrid w:val="0"/>
                    <w:spacing w:line="240" w:lineRule="exact"/>
                    <w:jc w:val="center"/>
                    <w:rPr>
                      <w:b/>
                      <w:bCs/>
                      <w:szCs w:val="21"/>
                      <w:highlight w:val="none"/>
                    </w:rPr>
                  </w:pPr>
                </w:p>
              </w:tc>
              <w:tc>
                <w:tcPr>
                  <w:tcW w:w="134" w:type="pct"/>
                  <w:vMerge w:val="continue"/>
                  <w:vAlign w:val="center"/>
                </w:tcPr>
                <w:p>
                  <w:pPr>
                    <w:adjustRightInd w:val="0"/>
                    <w:snapToGrid w:val="0"/>
                    <w:spacing w:line="240" w:lineRule="exact"/>
                    <w:jc w:val="center"/>
                    <w:rPr>
                      <w:b/>
                      <w:bCs/>
                      <w:szCs w:val="21"/>
                      <w:highlight w:val="none"/>
                    </w:rPr>
                  </w:pPr>
                </w:p>
              </w:tc>
              <w:tc>
                <w:tcPr>
                  <w:tcW w:w="251" w:type="pct"/>
                  <w:vMerge w:val="continue"/>
                  <w:vAlign w:val="center"/>
                </w:tcPr>
                <w:p>
                  <w:pPr>
                    <w:adjustRightInd w:val="0"/>
                    <w:snapToGrid w:val="0"/>
                    <w:spacing w:line="240" w:lineRule="exact"/>
                    <w:jc w:val="center"/>
                    <w:rPr>
                      <w:b/>
                      <w:bCs/>
                      <w:szCs w:val="21"/>
                      <w:highlight w:val="none"/>
                    </w:rPr>
                  </w:pPr>
                </w:p>
              </w:tc>
              <w:tc>
                <w:tcPr>
                  <w:tcW w:w="292" w:type="pct"/>
                  <w:vMerge w:val="restart"/>
                  <w:vAlign w:val="center"/>
                </w:tcPr>
                <w:p>
                  <w:pPr>
                    <w:adjustRightInd w:val="0"/>
                    <w:snapToGrid w:val="0"/>
                    <w:spacing w:line="240" w:lineRule="exact"/>
                    <w:jc w:val="center"/>
                    <w:rPr>
                      <w:b/>
                      <w:bCs/>
                      <w:szCs w:val="21"/>
                      <w:highlight w:val="none"/>
                    </w:rPr>
                  </w:pPr>
                  <w:r>
                    <w:rPr>
                      <w:b/>
                      <w:bCs/>
                      <w:szCs w:val="21"/>
                      <w:highlight w:val="none"/>
                    </w:rPr>
                    <w:t>产生浓度</w:t>
                  </w:r>
                </w:p>
                <w:p>
                  <w:pPr>
                    <w:adjustRightInd w:val="0"/>
                    <w:snapToGrid w:val="0"/>
                    <w:spacing w:line="240" w:lineRule="exact"/>
                    <w:jc w:val="center"/>
                    <w:rPr>
                      <w:b/>
                      <w:bCs/>
                      <w:szCs w:val="21"/>
                      <w:highlight w:val="none"/>
                    </w:rPr>
                  </w:pPr>
                  <w:r>
                    <w:rPr>
                      <w:b/>
                      <w:bCs/>
                      <w:szCs w:val="21"/>
                      <w:highlight w:val="none"/>
                    </w:rPr>
                    <w:t>mg/m</w:t>
                  </w:r>
                  <w:r>
                    <w:rPr>
                      <w:b/>
                      <w:bCs/>
                      <w:szCs w:val="21"/>
                      <w:highlight w:val="none"/>
                      <w:vertAlign w:val="superscript"/>
                    </w:rPr>
                    <w:t>3</w:t>
                  </w:r>
                </w:p>
              </w:tc>
              <w:tc>
                <w:tcPr>
                  <w:tcW w:w="486" w:type="pct"/>
                  <w:gridSpan w:val="2"/>
                  <w:vAlign w:val="center"/>
                </w:tcPr>
                <w:p>
                  <w:pPr>
                    <w:adjustRightInd w:val="0"/>
                    <w:snapToGrid w:val="0"/>
                    <w:spacing w:line="240" w:lineRule="exact"/>
                    <w:jc w:val="center"/>
                    <w:rPr>
                      <w:b/>
                      <w:bCs/>
                      <w:szCs w:val="21"/>
                      <w:highlight w:val="none"/>
                    </w:rPr>
                  </w:pPr>
                  <w:r>
                    <w:rPr>
                      <w:b/>
                      <w:bCs/>
                      <w:szCs w:val="21"/>
                      <w:highlight w:val="none"/>
                    </w:rPr>
                    <w:t>产生量</w:t>
                  </w:r>
                </w:p>
              </w:tc>
              <w:tc>
                <w:tcPr>
                  <w:tcW w:w="258" w:type="pct"/>
                  <w:vAlign w:val="center"/>
                </w:tcPr>
                <w:p>
                  <w:pPr>
                    <w:adjustRightInd w:val="0"/>
                    <w:snapToGrid w:val="0"/>
                    <w:spacing w:line="240" w:lineRule="exact"/>
                    <w:jc w:val="center"/>
                    <w:rPr>
                      <w:b/>
                      <w:bCs/>
                      <w:szCs w:val="21"/>
                      <w:highlight w:val="none"/>
                    </w:rPr>
                  </w:pPr>
                  <w:r>
                    <w:rPr>
                      <w:b/>
                      <w:bCs/>
                      <w:szCs w:val="21"/>
                      <w:highlight w:val="none"/>
                    </w:rPr>
                    <w:t>处理能力</w:t>
                  </w:r>
                </w:p>
              </w:tc>
              <w:tc>
                <w:tcPr>
                  <w:tcW w:w="154" w:type="pct"/>
                  <w:vAlign w:val="center"/>
                </w:tcPr>
                <w:p>
                  <w:pPr>
                    <w:adjustRightInd w:val="0"/>
                    <w:snapToGrid w:val="0"/>
                    <w:spacing w:line="240" w:lineRule="exact"/>
                    <w:jc w:val="center"/>
                    <w:rPr>
                      <w:b/>
                      <w:bCs/>
                      <w:szCs w:val="21"/>
                      <w:highlight w:val="none"/>
                    </w:rPr>
                  </w:pPr>
                  <w:r>
                    <w:rPr>
                      <w:b/>
                      <w:bCs/>
                      <w:szCs w:val="21"/>
                      <w:highlight w:val="none"/>
                    </w:rPr>
                    <w:t>收集效率</w:t>
                  </w:r>
                </w:p>
              </w:tc>
              <w:tc>
                <w:tcPr>
                  <w:tcW w:w="154" w:type="pct"/>
                  <w:vAlign w:val="center"/>
                </w:tcPr>
                <w:p>
                  <w:pPr>
                    <w:adjustRightInd w:val="0"/>
                    <w:snapToGrid w:val="0"/>
                    <w:spacing w:line="240" w:lineRule="exact"/>
                    <w:jc w:val="center"/>
                    <w:rPr>
                      <w:b/>
                      <w:bCs/>
                      <w:szCs w:val="21"/>
                      <w:highlight w:val="none"/>
                    </w:rPr>
                  </w:pPr>
                  <w:r>
                    <w:rPr>
                      <w:b/>
                      <w:bCs/>
                      <w:szCs w:val="21"/>
                      <w:highlight w:val="none"/>
                    </w:rPr>
                    <w:t>去除效率</w:t>
                  </w:r>
                </w:p>
              </w:tc>
              <w:tc>
                <w:tcPr>
                  <w:tcW w:w="154" w:type="pct"/>
                  <w:vMerge w:val="restart"/>
                  <w:vAlign w:val="center"/>
                </w:tcPr>
                <w:p>
                  <w:pPr>
                    <w:adjustRightInd w:val="0"/>
                    <w:snapToGrid w:val="0"/>
                    <w:spacing w:line="240" w:lineRule="exact"/>
                    <w:jc w:val="center"/>
                    <w:rPr>
                      <w:b/>
                      <w:bCs/>
                      <w:szCs w:val="21"/>
                      <w:highlight w:val="none"/>
                    </w:rPr>
                  </w:pPr>
                  <w:r>
                    <w:rPr>
                      <w:b/>
                      <w:bCs/>
                      <w:szCs w:val="21"/>
                      <w:highlight w:val="none"/>
                    </w:rPr>
                    <w:t>是否可行技术</w:t>
                  </w:r>
                </w:p>
              </w:tc>
              <w:tc>
                <w:tcPr>
                  <w:tcW w:w="255" w:type="pct"/>
                  <w:vMerge w:val="restart"/>
                  <w:vAlign w:val="center"/>
                </w:tcPr>
                <w:p>
                  <w:pPr>
                    <w:adjustRightInd w:val="0"/>
                    <w:snapToGrid w:val="0"/>
                    <w:spacing w:line="240" w:lineRule="exact"/>
                    <w:jc w:val="center"/>
                    <w:rPr>
                      <w:b/>
                      <w:bCs/>
                      <w:szCs w:val="21"/>
                      <w:highlight w:val="none"/>
                    </w:rPr>
                  </w:pPr>
                  <w:r>
                    <w:rPr>
                      <w:b/>
                      <w:bCs/>
                      <w:szCs w:val="21"/>
                      <w:highlight w:val="none"/>
                    </w:rPr>
                    <w:t>处理工艺</w:t>
                  </w:r>
                </w:p>
              </w:tc>
              <w:tc>
                <w:tcPr>
                  <w:tcW w:w="301" w:type="pct"/>
                  <w:vMerge w:val="restart"/>
                  <w:vAlign w:val="center"/>
                </w:tcPr>
                <w:p>
                  <w:pPr>
                    <w:adjustRightInd w:val="0"/>
                    <w:snapToGrid w:val="0"/>
                    <w:spacing w:line="240" w:lineRule="exact"/>
                    <w:jc w:val="center"/>
                    <w:rPr>
                      <w:b/>
                      <w:bCs/>
                      <w:szCs w:val="21"/>
                      <w:highlight w:val="none"/>
                    </w:rPr>
                  </w:pPr>
                  <w:r>
                    <w:rPr>
                      <w:b/>
                      <w:bCs/>
                      <w:szCs w:val="21"/>
                      <w:highlight w:val="none"/>
                    </w:rPr>
                    <w:t>排放浓度</w:t>
                  </w:r>
                </w:p>
                <w:p>
                  <w:pPr>
                    <w:adjustRightInd w:val="0"/>
                    <w:snapToGrid w:val="0"/>
                    <w:spacing w:line="240" w:lineRule="exact"/>
                    <w:jc w:val="center"/>
                    <w:rPr>
                      <w:b/>
                      <w:bCs/>
                      <w:szCs w:val="21"/>
                      <w:highlight w:val="none"/>
                    </w:rPr>
                  </w:pPr>
                  <w:r>
                    <w:rPr>
                      <w:b/>
                      <w:bCs/>
                      <w:szCs w:val="21"/>
                      <w:highlight w:val="none"/>
                    </w:rPr>
                    <w:t>mg/m</w:t>
                  </w:r>
                  <w:r>
                    <w:rPr>
                      <w:b/>
                      <w:bCs/>
                      <w:szCs w:val="21"/>
                      <w:highlight w:val="none"/>
                      <w:vertAlign w:val="superscript"/>
                    </w:rPr>
                    <w:t>3</w:t>
                  </w:r>
                </w:p>
              </w:tc>
              <w:tc>
                <w:tcPr>
                  <w:tcW w:w="486" w:type="pct"/>
                  <w:gridSpan w:val="2"/>
                  <w:vAlign w:val="center"/>
                </w:tcPr>
                <w:p>
                  <w:pPr>
                    <w:adjustRightInd w:val="0"/>
                    <w:snapToGrid w:val="0"/>
                    <w:spacing w:line="240" w:lineRule="exact"/>
                    <w:jc w:val="center"/>
                    <w:rPr>
                      <w:b/>
                      <w:bCs/>
                      <w:szCs w:val="21"/>
                      <w:highlight w:val="none"/>
                    </w:rPr>
                  </w:pPr>
                  <w:r>
                    <w:rPr>
                      <w:b/>
                      <w:bCs/>
                      <w:szCs w:val="21"/>
                      <w:highlight w:val="none"/>
                    </w:rPr>
                    <w:t>排放量</w:t>
                  </w:r>
                </w:p>
              </w:tc>
              <w:tc>
                <w:tcPr>
                  <w:tcW w:w="207" w:type="pct"/>
                  <w:vMerge w:val="restart"/>
                  <w:vAlign w:val="center"/>
                </w:tcPr>
                <w:p>
                  <w:pPr>
                    <w:adjustRightInd w:val="0"/>
                    <w:snapToGrid w:val="0"/>
                    <w:spacing w:line="240" w:lineRule="exact"/>
                    <w:jc w:val="center"/>
                    <w:rPr>
                      <w:b/>
                      <w:bCs/>
                      <w:spacing w:val="-10"/>
                      <w:szCs w:val="21"/>
                      <w:highlight w:val="none"/>
                    </w:rPr>
                  </w:pPr>
                  <w:r>
                    <w:rPr>
                      <w:b/>
                      <w:bCs/>
                      <w:spacing w:val="-10"/>
                      <w:szCs w:val="21"/>
                      <w:highlight w:val="none"/>
                    </w:rPr>
                    <w:t>编号及名称</w:t>
                  </w:r>
                </w:p>
              </w:tc>
              <w:tc>
                <w:tcPr>
                  <w:tcW w:w="207" w:type="pct"/>
                  <w:vAlign w:val="center"/>
                </w:tcPr>
                <w:p>
                  <w:pPr>
                    <w:adjustRightInd w:val="0"/>
                    <w:snapToGrid w:val="0"/>
                    <w:spacing w:line="240" w:lineRule="exact"/>
                    <w:jc w:val="center"/>
                    <w:rPr>
                      <w:b/>
                      <w:bCs/>
                      <w:szCs w:val="21"/>
                      <w:highlight w:val="none"/>
                    </w:rPr>
                  </w:pPr>
                  <w:r>
                    <w:rPr>
                      <w:b/>
                      <w:bCs/>
                      <w:szCs w:val="21"/>
                      <w:highlight w:val="none"/>
                    </w:rPr>
                    <w:t>高度</w:t>
                  </w:r>
                </w:p>
              </w:tc>
              <w:tc>
                <w:tcPr>
                  <w:tcW w:w="207" w:type="pct"/>
                  <w:vAlign w:val="center"/>
                </w:tcPr>
                <w:p>
                  <w:pPr>
                    <w:adjustRightInd w:val="0"/>
                    <w:snapToGrid w:val="0"/>
                    <w:spacing w:line="240" w:lineRule="exact"/>
                    <w:jc w:val="center"/>
                    <w:rPr>
                      <w:b/>
                      <w:bCs/>
                      <w:szCs w:val="21"/>
                      <w:highlight w:val="none"/>
                    </w:rPr>
                  </w:pPr>
                  <w:r>
                    <w:rPr>
                      <w:b/>
                      <w:bCs/>
                      <w:szCs w:val="21"/>
                      <w:highlight w:val="none"/>
                    </w:rPr>
                    <w:t>内径</w:t>
                  </w:r>
                </w:p>
              </w:tc>
              <w:tc>
                <w:tcPr>
                  <w:tcW w:w="208" w:type="pct"/>
                  <w:vAlign w:val="center"/>
                </w:tcPr>
                <w:p>
                  <w:pPr>
                    <w:adjustRightInd w:val="0"/>
                    <w:snapToGrid w:val="0"/>
                    <w:spacing w:line="240" w:lineRule="exact"/>
                    <w:jc w:val="center"/>
                    <w:rPr>
                      <w:b/>
                      <w:bCs/>
                      <w:szCs w:val="21"/>
                      <w:highlight w:val="none"/>
                    </w:rPr>
                  </w:pPr>
                  <w:r>
                    <w:rPr>
                      <w:b/>
                      <w:bCs/>
                      <w:szCs w:val="21"/>
                      <w:highlight w:val="none"/>
                    </w:rPr>
                    <w:t>温度</w:t>
                  </w:r>
                </w:p>
              </w:tc>
              <w:tc>
                <w:tcPr>
                  <w:tcW w:w="134" w:type="pct"/>
                  <w:vMerge w:val="restart"/>
                  <w:vAlign w:val="center"/>
                </w:tcPr>
                <w:p>
                  <w:pPr>
                    <w:adjustRightInd w:val="0"/>
                    <w:snapToGrid w:val="0"/>
                    <w:spacing w:line="240" w:lineRule="exact"/>
                    <w:jc w:val="center"/>
                    <w:rPr>
                      <w:b/>
                      <w:bCs/>
                      <w:szCs w:val="21"/>
                      <w:highlight w:val="none"/>
                    </w:rPr>
                  </w:pPr>
                  <w:r>
                    <w:rPr>
                      <w:b/>
                      <w:bCs/>
                      <w:szCs w:val="21"/>
                      <w:highlight w:val="none"/>
                    </w:rPr>
                    <w:t>类型</w:t>
                  </w:r>
                </w:p>
              </w:tc>
              <w:tc>
                <w:tcPr>
                  <w:tcW w:w="357" w:type="pct"/>
                  <w:vMerge w:val="restart"/>
                  <w:vAlign w:val="center"/>
                </w:tcPr>
                <w:p>
                  <w:pPr>
                    <w:adjustRightInd w:val="0"/>
                    <w:snapToGrid w:val="0"/>
                    <w:spacing w:line="240" w:lineRule="exact"/>
                    <w:jc w:val="center"/>
                    <w:rPr>
                      <w:b/>
                      <w:bCs/>
                      <w:szCs w:val="21"/>
                      <w:highlight w:val="none"/>
                    </w:rPr>
                  </w:pPr>
                  <w:r>
                    <w:rPr>
                      <w:b/>
                      <w:bCs/>
                      <w:szCs w:val="21"/>
                      <w:highlight w:val="none"/>
                    </w:rPr>
                    <w:t>地理</w:t>
                  </w:r>
                </w:p>
                <w:p>
                  <w:pPr>
                    <w:adjustRightInd w:val="0"/>
                    <w:snapToGrid w:val="0"/>
                    <w:spacing w:line="240" w:lineRule="exact"/>
                    <w:jc w:val="center"/>
                    <w:rPr>
                      <w:b/>
                      <w:bCs/>
                      <w:szCs w:val="21"/>
                      <w:highlight w:val="none"/>
                    </w:rPr>
                  </w:pPr>
                  <w:r>
                    <w:rPr>
                      <w:b/>
                      <w:bCs/>
                      <w:szCs w:val="21"/>
                      <w:highlight w:val="none"/>
                    </w:rPr>
                    <w:t>坐标</w:t>
                  </w:r>
                </w:p>
              </w:tc>
              <w:tc>
                <w:tcPr>
                  <w:tcW w:w="328" w:type="pct"/>
                  <w:vAlign w:val="center"/>
                </w:tcPr>
                <w:p>
                  <w:pPr>
                    <w:adjustRightInd w:val="0"/>
                    <w:snapToGrid w:val="0"/>
                    <w:spacing w:line="240" w:lineRule="exact"/>
                    <w:jc w:val="center"/>
                    <w:rPr>
                      <w:b/>
                      <w:bCs/>
                      <w:szCs w:val="21"/>
                      <w:highlight w:val="none"/>
                    </w:rPr>
                  </w:pPr>
                  <w:r>
                    <w:rPr>
                      <w:b/>
                      <w:bCs/>
                      <w:szCs w:val="21"/>
                      <w:highlight w:val="none"/>
                    </w:rPr>
                    <w:t>浓度</w:t>
                  </w:r>
                </w:p>
              </w:tc>
              <w:tc>
                <w:tcPr>
                  <w:tcW w:w="249" w:type="pct"/>
                  <w:vAlign w:val="center"/>
                </w:tcPr>
                <w:p>
                  <w:pPr>
                    <w:adjustRightInd w:val="0"/>
                    <w:snapToGrid w:val="0"/>
                    <w:spacing w:line="240" w:lineRule="exact"/>
                    <w:jc w:val="center"/>
                    <w:rPr>
                      <w:b/>
                      <w:bCs/>
                      <w:szCs w:val="21"/>
                      <w:highlight w:val="none"/>
                    </w:rPr>
                  </w:pPr>
                  <w:r>
                    <w:rPr>
                      <w:b/>
                      <w:bCs/>
                      <w:szCs w:val="21"/>
                      <w:highlight w:val="none"/>
                    </w:rPr>
                    <w:t>速率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 w:type="pct"/>
                  <w:vMerge w:val="continue"/>
                  <w:vAlign w:val="center"/>
                </w:tcPr>
                <w:p>
                  <w:pPr>
                    <w:adjustRightInd w:val="0"/>
                    <w:snapToGrid w:val="0"/>
                    <w:spacing w:line="240" w:lineRule="exact"/>
                    <w:jc w:val="center"/>
                    <w:rPr>
                      <w:bCs/>
                      <w:szCs w:val="21"/>
                      <w:highlight w:val="none"/>
                    </w:rPr>
                  </w:pPr>
                </w:p>
              </w:tc>
              <w:tc>
                <w:tcPr>
                  <w:tcW w:w="134" w:type="pct"/>
                  <w:vMerge w:val="continue"/>
                  <w:vAlign w:val="center"/>
                </w:tcPr>
                <w:p>
                  <w:pPr>
                    <w:adjustRightInd w:val="0"/>
                    <w:snapToGrid w:val="0"/>
                    <w:spacing w:line="240" w:lineRule="exact"/>
                    <w:jc w:val="center"/>
                    <w:rPr>
                      <w:bCs/>
                      <w:szCs w:val="21"/>
                      <w:highlight w:val="none"/>
                    </w:rPr>
                  </w:pPr>
                </w:p>
              </w:tc>
              <w:tc>
                <w:tcPr>
                  <w:tcW w:w="251" w:type="pct"/>
                  <w:vMerge w:val="continue"/>
                  <w:vAlign w:val="center"/>
                </w:tcPr>
                <w:p>
                  <w:pPr>
                    <w:adjustRightInd w:val="0"/>
                    <w:snapToGrid w:val="0"/>
                    <w:spacing w:line="240" w:lineRule="exact"/>
                    <w:jc w:val="center"/>
                    <w:rPr>
                      <w:bCs/>
                      <w:szCs w:val="21"/>
                      <w:highlight w:val="none"/>
                    </w:rPr>
                  </w:pPr>
                </w:p>
              </w:tc>
              <w:tc>
                <w:tcPr>
                  <w:tcW w:w="292" w:type="pct"/>
                  <w:vMerge w:val="continue"/>
                  <w:vAlign w:val="center"/>
                </w:tcPr>
                <w:p>
                  <w:pPr>
                    <w:adjustRightInd w:val="0"/>
                    <w:snapToGrid w:val="0"/>
                    <w:spacing w:line="240" w:lineRule="exact"/>
                    <w:jc w:val="center"/>
                    <w:rPr>
                      <w:bCs/>
                      <w:szCs w:val="21"/>
                      <w:highlight w:val="none"/>
                    </w:rPr>
                  </w:pPr>
                </w:p>
              </w:tc>
              <w:tc>
                <w:tcPr>
                  <w:tcW w:w="247" w:type="pct"/>
                  <w:vAlign w:val="center"/>
                </w:tcPr>
                <w:p>
                  <w:pPr>
                    <w:adjustRightInd w:val="0"/>
                    <w:snapToGrid w:val="0"/>
                    <w:spacing w:line="240" w:lineRule="exact"/>
                    <w:jc w:val="center"/>
                    <w:rPr>
                      <w:b/>
                      <w:bCs/>
                      <w:szCs w:val="21"/>
                      <w:highlight w:val="none"/>
                    </w:rPr>
                  </w:pPr>
                  <w:r>
                    <w:rPr>
                      <w:b/>
                      <w:bCs/>
                      <w:szCs w:val="21"/>
                      <w:highlight w:val="none"/>
                    </w:rPr>
                    <w:t>kg/h</w:t>
                  </w:r>
                </w:p>
              </w:tc>
              <w:tc>
                <w:tcPr>
                  <w:tcW w:w="239" w:type="pct"/>
                  <w:vAlign w:val="center"/>
                </w:tcPr>
                <w:p>
                  <w:pPr>
                    <w:adjustRightInd w:val="0"/>
                    <w:snapToGrid w:val="0"/>
                    <w:spacing w:line="240" w:lineRule="exact"/>
                    <w:jc w:val="center"/>
                    <w:rPr>
                      <w:b/>
                      <w:bCs/>
                      <w:szCs w:val="21"/>
                      <w:highlight w:val="none"/>
                    </w:rPr>
                  </w:pPr>
                  <w:r>
                    <w:rPr>
                      <w:b/>
                      <w:bCs/>
                      <w:szCs w:val="21"/>
                      <w:highlight w:val="none"/>
                    </w:rPr>
                    <w:t>t/a</w:t>
                  </w:r>
                </w:p>
              </w:tc>
              <w:tc>
                <w:tcPr>
                  <w:tcW w:w="258" w:type="pct"/>
                  <w:vAlign w:val="center"/>
                </w:tcPr>
                <w:p>
                  <w:pPr>
                    <w:adjustRightInd w:val="0"/>
                    <w:snapToGrid w:val="0"/>
                    <w:spacing w:line="240" w:lineRule="exact"/>
                    <w:jc w:val="center"/>
                    <w:rPr>
                      <w:b/>
                      <w:bCs/>
                      <w:szCs w:val="21"/>
                      <w:highlight w:val="none"/>
                    </w:rPr>
                  </w:pPr>
                  <w:r>
                    <w:rPr>
                      <w:b/>
                      <w:bCs/>
                      <w:szCs w:val="21"/>
                      <w:highlight w:val="none"/>
                    </w:rPr>
                    <w:t>m</w:t>
                  </w:r>
                  <w:r>
                    <w:rPr>
                      <w:b/>
                      <w:bCs/>
                      <w:szCs w:val="21"/>
                      <w:highlight w:val="none"/>
                      <w:vertAlign w:val="superscript"/>
                    </w:rPr>
                    <w:t>3</w:t>
                  </w:r>
                  <w:r>
                    <w:rPr>
                      <w:b/>
                      <w:bCs/>
                      <w:szCs w:val="21"/>
                      <w:highlight w:val="none"/>
                    </w:rPr>
                    <w:t>/</w:t>
                  </w:r>
                  <w:r>
                    <w:rPr>
                      <w:rFonts w:hint="eastAsia"/>
                      <w:b/>
                      <w:bCs/>
                      <w:szCs w:val="21"/>
                      <w:highlight w:val="none"/>
                    </w:rPr>
                    <w:t>h</w:t>
                  </w:r>
                </w:p>
              </w:tc>
              <w:tc>
                <w:tcPr>
                  <w:tcW w:w="154" w:type="pct"/>
                  <w:vAlign w:val="center"/>
                </w:tcPr>
                <w:p>
                  <w:pPr>
                    <w:adjustRightInd w:val="0"/>
                    <w:snapToGrid w:val="0"/>
                    <w:spacing w:line="240" w:lineRule="exact"/>
                    <w:jc w:val="center"/>
                    <w:rPr>
                      <w:b/>
                      <w:bCs/>
                      <w:szCs w:val="21"/>
                      <w:highlight w:val="none"/>
                    </w:rPr>
                  </w:pPr>
                  <w:r>
                    <w:rPr>
                      <w:b/>
                      <w:bCs/>
                      <w:szCs w:val="21"/>
                      <w:highlight w:val="none"/>
                    </w:rPr>
                    <w:t>%</w:t>
                  </w:r>
                </w:p>
              </w:tc>
              <w:tc>
                <w:tcPr>
                  <w:tcW w:w="154" w:type="pct"/>
                  <w:vAlign w:val="center"/>
                </w:tcPr>
                <w:p>
                  <w:pPr>
                    <w:adjustRightInd w:val="0"/>
                    <w:snapToGrid w:val="0"/>
                    <w:spacing w:line="240" w:lineRule="exact"/>
                    <w:jc w:val="center"/>
                    <w:rPr>
                      <w:b/>
                      <w:bCs/>
                      <w:szCs w:val="21"/>
                      <w:highlight w:val="none"/>
                    </w:rPr>
                  </w:pPr>
                  <w:r>
                    <w:rPr>
                      <w:b/>
                      <w:bCs/>
                      <w:szCs w:val="21"/>
                      <w:highlight w:val="none"/>
                    </w:rPr>
                    <w:t>%</w:t>
                  </w:r>
                </w:p>
              </w:tc>
              <w:tc>
                <w:tcPr>
                  <w:tcW w:w="154" w:type="pct"/>
                  <w:vMerge w:val="continue"/>
                  <w:vAlign w:val="center"/>
                </w:tcPr>
                <w:p>
                  <w:pPr>
                    <w:adjustRightInd w:val="0"/>
                    <w:snapToGrid w:val="0"/>
                    <w:spacing w:line="240" w:lineRule="exact"/>
                    <w:jc w:val="center"/>
                    <w:rPr>
                      <w:bCs/>
                      <w:szCs w:val="21"/>
                      <w:highlight w:val="none"/>
                    </w:rPr>
                  </w:pPr>
                </w:p>
              </w:tc>
              <w:tc>
                <w:tcPr>
                  <w:tcW w:w="255" w:type="pct"/>
                  <w:vMerge w:val="continue"/>
                  <w:vAlign w:val="center"/>
                </w:tcPr>
                <w:p>
                  <w:pPr>
                    <w:adjustRightInd w:val="0"/>
                    <w:snapToGrid w:val="0"/>
                    <w:spacing w:line="240" w:lineRule="exact"/>
                    <w:jc w:val="center"/>
                    <w:rPr>
                      <w:bCs/>
                      <w:szCs w:val="21"/>
                      <w:highlight w:val="none"/>
                    </w:rPr>
                  </w:pPr>
                </w:p>
              </w:tc>
              <w:tc>
                <w:tcPr>
                  <w:tcW w:w="301" w:type="pct"/>
                  <w:vMerge w:val="continue"/>
                  <w:vAlign w:val="center"/>
                </w:tcPr>
                <w:p>
                  <w:pPr>
                    <w:adjustRightInd w:val="0"/>
                    <w:snapToGrid w:val="0"/>
                    <w:spacing w:line="240" w:lineRule="exact"/>
                    <w:jc w:val="center"/>
                    <w:rPr>
                      <w:bCs/>
                      <w:szCs w:val="21"/>
                      <w:highlight w:val="none"/>
                    </w:rPr>
                  </w:pPr>
                </w:p>
              </w:tc>
              <w:tc>
                <w:tcPr>
                  <w:tcW w:w="247" w:type="pct"/>
                  <w:vAlign w:val="center"/>
                </w:tcPr>
                <w:p>
                  <w:pPr>
                    <w:adjustRightInd w:val="0"/>
                    <w:snapToGrid w:val="0"/>
                    <w:spacing w:line="240" w:lineRule="exact"/>
                    <w:jc w:val="center"/>
                    <w:rPr>
                      <w:b/>
                      <w:bCs/>
                      <w:szCs w:val="21"/>
                      <w:highlight w:val="none"/>
                    </w:rPr>
                  </w:pPr>
                  <w:r>
                    <w:rPr>
                      <w:b/>
                      <w:bCs/>
                      <w:szCs w:val="21"/>
                      <w:highlight w:val="none"/>
                    </w:rPr>
                    <w:t>kg/h</w:t>
                  </w:r>
                </w:p>
              </w:tc>
              <w:tc>
                <w:tcPr>
                  <w:tcW w:w="239" w:type="pct"/>
                  <w:vAlign w:val="center"/>
                </w:tcPr>
                <w:p>
                  <w:pPr>
                    <w:adjustRightInd w:val="0"/>
                    <w:snapToGrid w:val="0"/>
                    <w:spacing w:line="240" w:lineRule="exact"/>
                    <w:jc w:val="center"/>
                    <w:rPr>
                      <w:b/>
                      <w:bCs/>
                      <w:szCs w:val="21"/>
                      <w:highlight w:val="none"/>
                    </w:rPr>
                  </w:pPr>
                  <w:r>
                    <w:rPr>
                      <w:b/>
                      <w:bCs/>
                      <w:szCs w:val="21"/>
                      <w:highlight w:val="none"/>
                    </w:rPr>
                    <w:t>t/a</w:t>
                  </w:r>
                </w:p>
              </w:tc>
              <w:tc>
                <w:tcPr>
                  <w:tcW w:w="207" w:type="pct"/>
                  <w:vMerge w:val="continue"/>
                  <w:vAlign w:val="center"/>
                </w:tcPr>
                <w:p>
                  <w:pPr>
                    <w:adjustRightInd w:val="0"/>
                    <w:snapToGrid w:val="0"/>
                    <w:spacing w:line="240" w:lineRule="exact"/>
                    <w:jc w:val="center"/>
                    <w:rPr>
                      <w:b/>
                      <w:bCs/>
                      <w:szCs w:val="21"/>
                      <w:highlight w:val="none"/>
                    </w:rPr>
                  </w:pPr>
                </w:p>
              </w:tc>
              <w:tc>
                <w:tcPr>
                  <w:tcW w:w="207" w:type="pct"/>
                  <w:vAlign w:val="center"/>
                </w:tcPr>
                <w:p>
                  <w:pPr>
                    <w:adjustRightInd w:val="0"/>
                    <w:snapToGrid w:val="0"/>
                    <w:spacing w:line="240" w:lineRule="exact"/>
                    <w:jc w:val="center"/>
                    <w:rPr>
                      <w:b/>
                      <w:bCs/>
                      <w:szCs w:val="21"/>
                      <w:highlight w:val="none"/>
                    </w:rPr>
                  </w:pPr>
                  <w:r>
                    <w:rPr>
                      <w:b/>
                      <w:bCs/>
                      <w:szCs w:val="21"/>
                      <w:highlight w:val="none"/>
                    </w:rPr>
                    <w:t>m</w:t>
                  </w:r>
                </w:p>
              </w:tc>
              <w:tc>
                <w:tcPr>
                  <w:tcW w:w="207" w:type="pct"/>
                  <w:vAlign w:val="center"/>
                </w:tcPr>
                <w:p>
                  <w:pPr>
                    <w:adjustRightInd w:val="0"/>
                    <w:snapToGrid w:val="0"/>
                    <w:spacing w:line="240" w:lineRule="exact"/>
                    <w:jc w:val="center"/>
                    <w:rPr>
                      <w:b/>
                      <w:bCs/>
                      <w:szCs w:val="21"/>
                      <w:highlight w:val="none"/>
                    </w:rPr>
                  </w:pPr>
                  <w:r>
                    <w:rPr>
                      <w:b/>
                      <w:bCs/>
                      <w:szCs w:val="21"/>
                      <w:highlight w:val="none"/>
                    </w:rPr>
                    <w:t>m</w:t>
                  </w:r>
                </w:p>
              </w:tc>
              <w:tc>
                <w:tcPr>
                  <w:tcW w:w="208" w:type="pct"/>
                  <w:vAlign w:val="center"/>
                </w:tcPr>
                <w:p>
                  <w:pPr>
                    <w:adjustRightInd w:val="0"/>
                    <w:snapToGrid w:val="0"/>
                    <w:spacing w:line="240" w:lineRule="exact"/>
                    <w:jc w:val="center"/>
                    <w:rPr>
                      <w:b/>
                      <w:bCs/>
                      <w:szCs w:val="21"/>
                      <w:highlight w:val="none"/>
                    </w:rPr>
                  </w:pPr>
                  <w:r>
                    <w:rPr>
                      <w:b/>
                      <w:bCs/>
                      <w:szCs w:val="21"/>
                      <w:highlight w:val="none"/>
                    </w:rPr>
                    <w:t>℃</w:t>
                  </w:r>
                </w:p>
              </w:tc>
              <w:tc>
                <w:tcPr>
                  <w:tcW w:w="134" w:type="pct"/>
                  <w:vMerge w:val="continue"/>
                  <w:vAlign w:val="center"/>
                </w:tcPr>
                <w:p>
                  <w:pPr>
                    <w:adjustRightInd w:val="0"/>
                    <w:snapToGrid w:val="0"/>
                    <w:spacing w:line="240" w:lineRule="exact"/>
                    <w:jc w:val="center"/>
                    <w:rPr>
                      <w:b/>
                      <w:bCs/>
                      <w:szCs w:val="21"/>
                      <w:highlight w:val="none"/>
                    </w:rPr>
                  </w:pPr>
                </w:p>
              </w:tc>
              <w:tc>
                <w:tcPr>
                  <w:tcW w:w="357" w:type="pct"/>
                  <w:vMerge w:val="continue"/>
                  <w:vAlign w:val="center"/>
                </w:tcPr>
                <w:p>
                  <w:pPr>
                    <w:adjustRightInd w:val="0"/>
                    <w:snapToGrid w:val="0"/>
                    <w:spacing w:line="240" w:lineRule="exact"/>
                    <w:jc w:val="center"/>
                    <w:rPr>
                      <w:b/>
                      <w:bCs/>
                      <w:szCs w:val="21"/>
                      <w:highlight w:val="none"/>
                    </w:rPr>
                  </w:pPr>
                </w:p>
              </w:tc>
              <w:tc>
                <w:tcPr>
                  <w:tcW w:w="328" w:type="pct"/>
                  <w:vAlign w:val="center"/>
                </w:tcPr>
                <w:p>
                  <w:pPr>
                    <w:adjustRightInd w:val="0"/>
                    <w:snapToGrid w:val="0"/>
                    <w:spacing w:line="240" w:lineRule="exact"/>
                    <w:jc w:val="center"/>
                    <w:rPr>
                      <w:bCs/>
                      <w:szCs w:val="21"/>
                      <w:highlight w:val="none"/>
                    </w:rPr>
                  </w:pPr>
                  <w:r>
                    <w:rPr>
                      <w:b/>
                      <w:bCs/>
                      <w:szCs w:val="21"/>
                      <w:highlight w:val="none"/>
                    </w:rPr>
                    <w:t>mg/m</w:t>
                  </w:r>
                  <w:r>
                    <w:rPr>
                      <w:b/>
                      <w:bCs/>
                      <w:szCs w:val="21"/>
                      <w:highlight w:val="none"/>
                      <w:vertAlign w:val="superscript"/>
                    </w:rPr>
                    <w:t>3</w:t>
                  </w:r>
                </w:p>
              </w:tc>
              <w:tc>
                <w:tcPr>
                  <w:tcW w:w="249" w:type="pct"/>
                  <w:vAlign w:val="center"/>
                </w:tcPr>
                <w:p>
                  <w:pPr>
                    <w:adjustRightInd w:val="0"/>
                    <w:snapToGrid w:val="0"/>
                    <w:spacing w:line="240" w:lineRule="exact"/>
                    <w:jc w:val="center"/>
                    <w:rPr>
                      <w:bCs/>
                      <w:szCs w:val="21"/>
                      <w:highlight w:val="none"/>
                    </w:rPr>
                  </w:pPr>
                  <w:r>
                    <w:rPr>
                      <w:b/>
                      <w:bCs/>
                      <w:szCs w:val="21"/>
                      <w:highlight w:val="none"/>
                    </w:rPr>
                    <w:t>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173" w:type="pct"/>
                  <w:vMerge w:val="restart"/>
                  <w:vAlign w:val="center"/>
                </w:tcPr>
                <w:p>
                  <w:pPr>
                    <w:snapToGrid w:val="0"/>
                    <w:spacing w:line="240" w:lineRule="atLeast"/>
                    <w:jc w:val="center"/>
                    <w:rPr>
                      <w:szCs w:val="21"/>
                      <w:highlight w:val="none"/>
                    </w:rPr>
                  </w:pPr>
                  <w:r>
                    <w:rPr>
                      <w:rFonts w:hint="eastAsia"/>
                      <w:szCs w:val="21"/>
                      <w:highlight w:val="none"/>
                    </w:rPr>
                    <w:t>锅炉燃烧废气</w:t>
                  </w:r>
                </w:p>
              </w:tc>
              <w:tc>
                <w:tcPr>
                  <w:tcW w:w="134" w:type="pct"/>
                  <w:vMerge w:val="restart"/>
                  <w:vAlign w:val="center"/>
                </w:tcPr>
                <w:p>
                  <w:pPr>
                    <w:snapToGrid w:val="0"/>
                    <w:spacing w:line="240" w:lineRule="atLeast"/>
                    <w:jc w:val="center"/>
                    <w:rPr>
                      <w:bCs/>
                      <w:szCs w:val="21"/>
                      <w:highlight w:val="none"/>
                    </w:rPr>
                  </w:pPr>
                  <w:r>
                    <w:rPr>
                      <w:rFonts w:hint="eastAsia"/>
                      <w:bCs/>
                      <w:szCs w:val="21"/>
                      <w:highlight w:val="none"/>
                    </w:rPr>
                    <w:t>有组织</w:t>
                  </w:r>
                </w:p>
              </w:tc>
              <w:tc>
                <w:tcPr>
                  <w:tcW w:w="251" w:type="pct"/>
                  <w:vAlign w:val="center"/>
                </w:tcPr>
                <w:p>
                  <w:pPr>
                    <w:adjustRightInd w:val="0"/>
                    <w:snapToGrid w:val="0"/>
                    <w:jc w:val="center"/>
                    <w:rPr>
                      <w:kern w:val="0"/>
                      <w:szCs w:val="21"/>
                      <w:highlight w:val="none"/>
                    </w:rPr>
                  </w:pPr>
                  <w:r>
                    <w:rPr>
                      <w:rFonts w:hint="eastAsia"/>
                      <w:kern w:val="0"/>
                      <w:szCs w:val="21"/>
                      <w:highlight w:val="none"/>
                    </w:rPr>
                    <w:t>颗粒物</w:t>
                  </w:r>
                </w:p>
              </w:tc>
              <w:tc>
                <w:tcPr>
                  <w:tcW w:w="292"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55.94</w:t>
                  </w:r>
                </w:p>
              </w:tc>
              <w:tc>
                <w:tcPr>
                  <w:tcW w:w="247"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0.168</w:t>
                  </w:r>
                </w:p>
              </w:tc>
              <w:tc>
                <w:tcPr>
                  <w:tcW w:w="239"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0.806</w:t>
                  </w:r>
                </w:p>
              </w:tc>
              <w:tc>
                <w:tcPr>
                  <w:tcW w:w="258"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3000</w:t>
                  </w: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100</w:t>
                  </w: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99.7</w:t>
                  </w:r>
                </w:p>
              </w:tc>
              <w:tc>
                <w:tcPr>
                  <w:tcW w:w="154"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是</w:t>
                  </w:r>
                </w:p>
                <w:p>
                  <w:pPr>
                    <w:adjustRightInd w:val="0"/>
                    <w:snapToGrid w:val="0"/>
                    <w:spacing w:line="240" w:lineRule="exact"/>
                    <w:jc w:val="center"/>
                    <w:rPr>
                      <w:sz w:val="18"/>
                      <w:szCs w:val="18"/>
                      <w:highlight w:val="none"/>
                    </w:rPr>
                  </w:pPr>
                </w:p>
              </w:tc>
              <w:tc>
                <w:tcPr>
                  <w:tcW w:w="255"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布袋除尘</w:t>
                  </w:r>
                </w:p>
              </w:tc>
              <w:tc>
                <w:tcPr>
                  <w:tcW w:w="301" w:type="pct"/>
                  <w:vAlign w:val="center"/>
                </w:tcPr>
                <w:p>
                  <w:pPr>
                    <w:adjustRightInd w:val="0"/>
                    <w:snapToGrid w:val="0"/>
                    <w:spacing w:line="240" w:lineRule="exact"/>
                    <w:jc w:val="center"/>
                    <w:rPr>
                      <w:sz w:val="18"/>
                      <w:szCs w:val="18"/>
                      <w:highlight w:val="none"/>
                    </w:rPr>
                  </w:pPr>
                  <w:r>
                    <w:rPr>
                      <w:rFonts w:hint="eastAsia"/>
                      <w:sz w:val="18"/>
                      <w:szCs w:val="18"/>
                      <w:highlight w:val="none"/>
                    </w:rPr>
                    <w:t>0.17</w:t>
                  </w:r>
                </w:p>
              </w:tc>
              <w:tc>
                <w:tcPr>
                  <w:tcW w:w="247"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0.0005</w:t>
                  </w:r>
                </w:p>
              </w:tc>
              <w:tc>
                <w:tcPr>
                  <w:tcW w:w="239"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0.0024</w:t>
                  </w:r>
                </w:p>
              </w:tc>
              <w:tc>
                <w:tcPr>
                  <w:tcW w:w="207"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DA001</w:t>
                  </w:r>
                </w:p>
              </w:tc>
              <w:tc>
                <w:tcPr>
                  <w:tcW w:w="207"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30</w:t>
                  </w:r>
                </w:p>
              </w:tc>
              <w:tc>
                <w:tcPr>
                  <w:tcW w:w="207"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0.5</w:t>
                  </w:r>
                </w:p>
              </w:tc>
              <w:tc>
                <w:tcPr>
                  <w:tcW w:w="208"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60</w:t>
                  </w:r>
                </w:p>
              </w:tc>
              <w:tc>
                <w:tcPr>
                  <w:tcW w:w="134" w:type="pct"/>
                  <w:vMerge w:val="restart"/>
                  <w:vAlign w:val="center"/>
                </w:tcPr>
                <w:p>
                  <w:pPr>
                    <w:adjustRightInd w:val="0"/>
                    <w:snapToGrid w:val="0"/>
                    <w:spacing w:line="240" w:lineRule="exact"/>
                    <w:jc w:val="center"/>
                    <w:rPr>
                      <w:sz w:val="18"/>
                      <w:szCs w:val="18"/>
                      <w:highlight w:val="none"/>
                    </w:rPr>
                  </w:pPr>
                  <w:r>
                    <w:rPr>
                      <w:rFonts w:hint="eastAsia"/>
                      <w:sz w:val="18"/>
                      <w:szCs w:val="18"/>
                      <w:highlight w:val="none"/>
                    </w:rPr>
                    <w:t>一般排放口</w:t>
                  </w:r>
                </w:p>
              </w:tc>
              <w:tc>
                <w:tcPr>
                  <w:tcW w:w="357" w:type="pct"/>
                  <w:vMerge w:val="restart"/>
                  <w:vAlign w:val="center"/>
                </w:tcPr>
                <w:p>
                  <w:pPr>
                    <w:adjustRightInd w:val="0"/>
                    <w:snapToGrid w:val="0"/>
                    <w:spacing w:line="240" w:lineRule="exact"/>
                    <w:jc w:val="center"/>
                    <w:rPr>
                      <w:sz w:val="18"/>
                      <w:szCs w:val="18"/>
                      <w:highlight w:val="none"/>
                    </w:rPr>
                  </w:pPr>
                  <w:r>
                    <w:rPr>
                      <w:sz w:val="18"/>
                      <w:szCs w:val="18"/>
                      <w:highlight w:val="none"/>
                    </w:rPr>
                    <w:t>E115°56′9.731″,</w:t>
                  </w:r>
                  <w:r>
                    <w:rPr>
                      <w:rFonts w:hint="eastAsia"/>
                      <w:sz w:val="18"/>
                      <w:szCs w:val="18"/>
                      <w:highlight w:val="none"/>
                    </w:rPr>
                    <w:t>N</w:t>
                  </w:r>
                  <w:r>
                    <w:rPr>
                      <w:sz w:val="18"/>
                      <w:szCs w:val="18"/>
                      <w:highlight w:val="none"/>
                    </w:rPr>
                    <w:t>29°20′49.808″</w:t>
                  </w:r>
                </w:p>
              </w:tc>
              <w:tc>
                <w:tcPr>
                  <w:tcW w:w="328" w:type="pct"/>
                  <w:vAlign w:val="center"/>
                </w:tcPr>
                <w:p>
                  <w:pPr>
                    <w:widowControl/>
                    <w:snapToGrid w:val="0"/>
                    <w:spacing w:line="240" w:lineRule="atLeast"/>
                    <w:jc w:val="center"/>
                    <w:textAlignment w:val="center"/>
                    <w:rPr>
                      <w:sz w:val="18"/>
                      <w:szCs w:val="18"/>
                      <w:highlight w:val="none"/>
                    </w:rPr>
                  </w:pPr>
                  <w:r>
                    <w:rPr>
                      <w:rFonts w:hint="eastAsia"/>
                      <w:spacing w:val="6"/>
                      <w:kern w:val="0"/>
                      <w:sz w:val="18"/>
                      <w:szCs w:val="18"/>
                      <w:highlight w:val="none"/>
                    </w:rPr>
                    <w:t>50</w:t>
                  </w:r>
                </w:p>
              </w:tc>
              <w:tc>
                <w:tcPr>
                  <w:tcW w:w="249" w:type="pct"/>
                  <w:vAlign w:val="center"/>
                </w:tcPr>
                <w:p>
                  <w:pPr>
                    <w:snapToGrid w:val="0"/>
                    <w:spacing w:line="240" w:lineRule="atLeast"/>
                    <w:jc w:val="center"/>
                    <w:rPr>
                      <w:sz w:val="18"/>
                      <w:szCs w:val="18"/>
                      <w:highlight w:val="none"/>
                    </w:rPr>
                  </w:pPr>
                  <w:r>
                    <w:rPr>
                      <w:rFonts w:hint="eastAsia"/>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 w:type="pct"/>
                  <w:vMerge w:val="continue"/>
                  <w:vAlign w:val="center"/>
                </w:tcPr>
                <w:p>
                  <w:pPr>
                    <w:snapToGrid w:val="0"/>
                    <w:spacing w:line="240" w:lineRule="atLeast"/>
                    <w:jc w:val="center"/>
                    <w:rPr>
                      <w:szCs w:val="21"/>
                      <w:highlight w:val="none"/>
                    </w:rPr>
                  </w:pPr>
                </w:p>
              </w:tc>
              <w:tc>
                <w:tcPr>
                  <w:tcW w:w="134" w:type="pct"/>
                  <w:vMerge w:val="continue"/>
                  <w:vAlign w:val="center"/>
                </w:tcPr>
                <w:p>
                  <w:pPr>
                    <w:snapToGrid w:val="0"/>
                    <w:spacing w:line="240" w:lineRule="atLeast"/>
                    <w:jc w:val="center"/>
                    <w:rPr>
                      <w:bCs/>
                      <w:szCs w:val="21"/>
                      <w:highlight w:val="none"/>
                    </w:rPr>
                  </w:pPr>
                </w:p>
              </w:tc>
              <w:tc>
                <w:tcPr>
                  <w:tcW w:w="251" w:type="pct"/>
                  <w:vAlign w:val="center"/>
                </w:tcPr>
                <w:p>
                  <w:pPr>
                    <w:adjustRightInd w:val="0"/>
                    <w:snapToGrid w:val="0"/>
                    <w:jc w:val="center"/>
                    <w:rPr>
                      <w:bCs/>
                      <w:szCs w:val="21"/>
                      <w:highlight w:val="none"/>
                    </w:rPr>
                  </w:pPr>
                  <w:r>
                    <w:rPr>
                      <w:rFonts w:hint="eastAsia"/>
                      <w:bCs/>
                      <w:szCs w:val="21"/>
                      <w:highlight w:val="none"/>
                    </w:rPr>
                    <w:t>二氧化硫</w:t>
                  </w:r>
                </w:p>
              </w:tc>
              <w:tc>
                <w:tcPr>
                  <w:tcW w:w="292"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19.02</w:t>
                  </w:r>
                </w:p>
              </w:tc>
              <w:tc>
                <w:tcPr>
                  <w:tcW w:w="247" w:type="pct"/>
                  <w:vAlign w:val="center"/>
                </w:tcPr>
                <w:p>
                  <w:pPr>
                    <w:adjustRightInd w:val="0"/>
                    <w:snapToGrid w:val="0"/>
                    <w:spacing w:line="240" w:lineRule="exact"/>
                    <w:jc w:val="center"/>
                    <w:rPr>
                      <w:sz w:val="18"/>
                      <w:szCs w:val="18"/>
                      <w:highlight w:val="none"/>
                    </w:rPr>
                  </w:pPr>
                  <w:r>
                    <w:rPr>
                      <w:rFonts w:hint="eastAsia"/>
                      <w:sz w:val="18"/>
                      <w:szCs w:val="18"/>
                      <w:highlight w:val="none"/>
                    </w:rPr>
                    <w:t>0.057</w:t>
                  </w:r>
                </w:p>
              </w:tc>
              <w:tc>
                <w:tcPr>
                  <w:tcW w:w="239"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0.274</w:t>
                  </w:r>
                </w:p>
              </w:tc>
              <w:tc>
                <w:tcPr>
                  <w:tcW w:w="258" w:type="pct"/>
                  <w:vMerge w:val="continue"/>
                  <w:vAlign w:val="center"/>
                </w:tcPr>
                <w:p>
                  <w:pPr>
                    <w:adjustRightInd w:val="0"/>
                    <w:snapToGrid w:val="0"/>
                    <w:spacing w:line="240" w:lineRule="exact"/>
                    <w:jc w:val="center"/>
                    <w:rPr>
                      <w:sz w:val="18"/>
                      <w:szCs w:val="18"/>
                      <w:highlight w:val="none"/>
                    </w:rPr>
                  </w:pP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100</w:t>
                  </w: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154" w:type="pct"/>
                  <w:vMerge w:val="continue"/>
                  <w:vAlign w:val="center"/>
                </w:tcPr>
                <w:p>
                  <w:pPr>
                    <w:adjustRightInd w:val="0"/>
                    <w:snapToGrid w:val="0"/>
                    <w:spacing w:line="240" w:lineRule="exact"/>
                    <w:jc w:val="center"/>
                    <w:rPr>
                      <w:sz w:val="18"/>
                      <w:szCs w:val="18"/>
                      <w:highlight w:val="none"/>
                    </w:rPr>
                  </w:pPr>
                </w:p>
              </w:tc>
              <w:tc>
                <w:tcPr>
                  <w:tcW w:w="255" w:type="pct"/>
                  <w:vMerge w:val="continue"/>
                  <w:vAlign w:val="center"/>
                </w:tcPr>
                <w:p>
                  <w:pPr>
                    <w:adjustRightInd w:val="0"/>
                    <w:snapToGrid w:val="0"/>
                    <w:spacing w:line="240" w:lineRule="exact"/>
                    <w:jc w:val="center"/>
                    <w:rPr>
                      <w:sz w:val="18"/>
                      <w:szCs w:val="18"/>
                      <w:highlight w:val="none"/>
                    </w:rPr>
                  </w:pPr>
                </w:p>
              </w:tc>
              <w:tc>
                <w:tcPr>
                  <w:tcW w:w="301"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19.02</w:t>
                  </w:r>
                </w:p>
              </w:tc>
              <w:tc>
                <w:tcPr>
                  <w:tcW w:w="247" w:type="pct"/>
                  <w:vAlign w:val="center"/>
                </w:tcPr>
                <w:p>
                  <w:pPr>
                    <w:adjustRightInd w:val="0"/>
                    <w:snapToGrid w:val="0"/>
                    <w:spacing w:line="240" w:lineRule="exact"/>
                    <w:jc w:val="center"/>
                    <w:rPr>
                      <w:sz w:val="18"/>
                      <w:szCs w:val="18"/>
                      <w:highlight w:val="none"/>
                    </w:rPr>
                  </w:pPr>
                  <w:r>
                    <w:rPr>
                      <w:rFonts w:hint="eastAsia"/>
                      <w:sz w:val="18"/>
                      <w:szCs w:val="18"/>
                      <w:highlight w:val="none"/>
                    </w:rPr>
                    <w:t>0.057</w:t>
                  </w:r>
                </w:p>
              </w:tc>
              <w:tc>
                <w:tcPr>
                  <w:tcW w:w="239" w:type="pct"/>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0.274</w:t>
                  </w:r>
                </w:p>
              </w:tc>
              <w:tc>
                <w:tcPr>
                  <w:tcW w:w="207" w:type="pct"/>
                  <w:vMerge w:val="continue"/>
                  <w:vAlign w:val="center"/>
                </w:tcPr>
                <w:p>
                  <w:pPr>
                    <w:adjustRightInd w:val="0"/>
                    <w:snapToGrid w:val="0"/>
                    <w:spacing w:line="240" w:lineRule="exact"/>
                    <w:jc w:val="center"/>
                    <w:rPr>
                      <w:sz w:val="18"/>
                      <w:szCs w:val="18"/>
                      <w:highlight w:val="none"/>
                    </w:rPr>
                  </w:pPr>
                </w:p>
              </w:tc>
              <w:tc>
                <w:tcPr>
                  <w:tcW w:w="207" w:type="pct"/>
                  <w:vMerge w:val="continue"/>
                  <w:vAlign w:val="center"/>
                </w:tcPr>
                <w:p>
                  <w:pPr>
                    <w:adjustRightInd w:val="0"/>
                    <w:snapToGrid w:val="0"/>
                    <w:spacing w:line="240" w:lineRule="exact"/>
                    <w:jc w:val="center"/>
                    <w:rPr>
                      <w:sz w:val="18"/>
                      <w:szCs w:val="18"/>
                      <w:highlight w:val="none"/>
                    </w:rPr>
                  </w:pPr>
                </w:p>
              </w:tc>
              <w:tc>
                <w:tcPr>
                  <w:tcW w:w="207" w:type="pct"/>
                  <w:vMerge w:val="continue"/>
                  <w:vAlign w:val="center"/>
                </w:tcPr>
                <w:p>
                  <w:pPr>
                    <w:adjustRightInd w:val="0"/>
                    <w:snapToGrid w:val="0"/>
                    <w:spacing w:line="240" w:lineRule="exact"/>
                    <w:jc w:val="center"/>
                    <w:rPr>
                      <w:sz w:val="18"/>
                      <w:szCs w:val="18"/>
                      <w:highlight w:val="none"/>
                    </w:rPr>
                  </w:pPr>
                </w:p>
              </w:tc>
              <w:tc>
                <w:tcPr>
                  <w:tcW w:w="208" w:type="pct"/>
                  <w:vMerge w:val="continue"/>
                  <w:vAlign w:val="center"/>
                </w:tcPr>
                <w:p>
                  <w:pPr>
                    <w:adjustRightInd w:val="0"/>
                    <w:snapToGrid w:val="0"/>
                    <w:spacing w:line="240" w:lineRule="exact"/>
                    <w:jc w:val="center"/>
                    <w:rPr>
                      <w:sz w:val="18"/>
                      <w:szCs w:val="18"/>
                      <w:highlight w:val="none"/>
                    </w:rPr>
                  </w:pPr>
                </w:p>
              </w:tc>
              <w:tc>
                <w:tcPr>
                  <w:tcW w:w="134" w:type="pct"/>
                  <w:vMerge w:val="continue"/>
                  <w:vAlign w:val="center"/>
                </w:tcPr>
                <w:p>
                  <w:pPr>
                    <w:adjustRightInd w:val="0"/>
                    <w:snapToGrid w:val="0"/>
                    <w:spacing w:line="240" w:lineRule="exact"/>
                    <w:jc w:val="center"/>
                    <w:rPr>
                      <w:sz w:val="18"/>
                      <w:szCs w:val="18"/>
                      <w:highlight w:val="none"/>
                    </w:rPr>
                  </w:pPr>
                </w:p>
              </w:tc>
              <w:tc>
                <w:tcPr>
                  <w:tcW w:w="357" w:type="pct"/>
                  <w:vMerge w:val="continue"/>
                  <w:vAlign w:val="center"/>
                </w:tcPr>
                <w:p>
                  <w:pPr>
                    <w:adjustRightInd w:val="0"/>
                    <w:snapToGrid w:val="0"/>
                    <w:spacing w:line="240" w:lineRule="exact"/>
                    <w:jc w:val="center"/>
                    <w:rPr>
                      <w:sz w:val="18"/>
                      <w:szCs w:val="18"/>
                      <w:highlight w:val="none"/>
                    </w:rPr>
                  </w:pPr>
                </w:p>
              </w:tc>
              <w:tc>
                <w:tcPr>
                  <w:tcW w:w="328" w:type="pct"/>
                  <w:vAlign w:val="center"/>
                </w:tcPr>
                <w:p>
                  <w:pPr>
                    <w:widowControl/>
                    <w:jc w:val="center"/>
                    <w:textAlignment w:val="center"/>
                    <w:rPr>
                      <w:sz w:val="18"/>
                      <w:szCs w:val="18"/>
                      <w:highlight w:val="none"/>
                    </w:rPr>
                  </w:pPr>
                  <w:r>
                    <w:rPr>
                      <w:rFonts w:hint="eastAsia"/>
                      <w:bCs/>
                      <w:sz w:val="18"/>
                      <w:szCs w:val="18"/>
                      <w:highlight w:val="none"/>
                    </w:rPr>
                    <w:t>300</w:t>
                  </w:r>
                </w:p>
              </w:tc>
              <w:tc>
                <w:tcPr>
                  <w:tcW w:w="249" w:type="pct"/>
                  <w:vAlign w:val="center"/>
                </w:tcPr>
                <w:p>
                  <w:pPr>
                    <w:widowControl/>
                    <w:jc w:val="center"/>
                    <w:textAlignment w:val="center"/>
                    <w:rPr>
                      <w:sz w:val="18"/>
                      <w:szCs w:val="18"/>
                      <w:highlight w:val="none"/>
                    </w:rPr>
                  </w:pPr>
                  <w:r>
                    <w:rPr>
                      <w:rFonts w:hint="eastAsia"/>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 w:type="pct"/>
                  <w:vMerge w:val="continue"/>
                  <w:tcBorders>
                    <w:tl2br w:val="nil"/>
                    <w:tr2bl w:val="nil"/>
                  </w:tcBorders>
                  <w:vAlign w:val="center"/>
                </w:tcPr>
                <w:p>
                  <w:pPr>
                    <w:snapToGrid w:val="0"/>
                    <w:spacing w:line="240" w:lineRule="atLeast"/>
                    <w:jc w:val="center"/>
                    <w:rPr>
                      <w:bCs/>
                      <w:szCs w:val="21"/>
                      <w:highlight w:val="none"/>
                    </w:rPr>
                  </w:pPr>
                </w:p>
              </w:tc>
              <w:tc>
                <w:tcPr>
                  <w:tcW w:w="134" w:type="pct"/>
                  <w:vMerge w:val="continue"/>
                  <w:tcBorders>
                    <w:tl2br w:val="nil"/>
                    <w:tr2bl w:val="nil"/>
                  </w:tcBorders>
                  <w:vAlign w:val="center"/>
                </w:tcPr>
                <w:p>
                  <w:pPr>
                    <w:snapToGrid w:val="0"/>
                    <w:spacing w:line="240" w:lineRule="atLeast"/>
                    <w:jc w:val="center"/>
                    <w:rPr>
                      <w:bCs/>
                      <w:szCs w:val="21"/>
                      <w:highlight w:val="none"/>
                    </w:rPr>
                  </w:pPr>
                </w:p>
              </w:tc>
              <w:tc>
                <w:tcPr>
                  <w:tcW w:w="251" w:type="pct"/>
                  <w:tcBorders>
                    <w:tl2br w:val="nil"/>
                    <w:tr2bl w:val="nil"/>
                  </w:tcBorders>
                  <w:vAlign w:val="center"/>
                </w:tcPr>
                <w:p>
                  <w:pPr>
                    <w:jc w:val="center"/>
                    <w:rPr>
                      <w:kern w:val="0"/>
                      <w:szCs w:val="21"/>
                      <w:highlight w:val="none"/>
                    </w:rPr>
                  </w:pPr>
                  <w:r>
                    <w:rPr>
                      <w:rFonts w:hint="eastAsia"/>
                      <w:kern w:val="0"/>
                      <w:szCs w:val="21"/>
                      <w:highlight w:val="none"/>
                    </w:rPr>
                    <w:t>氮氧化物</w:t>
                  </w:r>
                </w:p>
              </w:tc>
              <w:tc>
                <w:tcPr>
                  <w:tcW w:w="292" w:type="pct"/>
                  <w:tcBorders>
                    <w:tl2br w:val="nil"/>
                    <w:tr2bl w:val="nil"/>
                  </w:tcBorders>
                  <w:vAlign w:val="center"/>
                </w:tcPr>
                <w:p>
                  <w:pPr>
                    <w:adjustRightInd w:val="0"/>
                    <w:snapToGrid w:val="0"/>
                    <w:spacing w:line="240" w:lineRule="exact"/>
                    <w:jc w:val="center"/>
                    <w:rPr>
                      <w:rFonts w:hint="default" w:eastAsia="宋体"/>
                      <w:bCs/>
                      <w:sz w:val="18"/>
                      <w:szCs w:val="18"/>
                      <w:highlight w:val="none"/>
                      <w:lang w:val="en-US" w:eastAsia="zh-CN"/>
                    </w:rPr>
                  </w:pPr>
                  <w:r>
                    <w:rPr>
                      <w:rFonts w:hint="eastAsia"/>
                      <w:sz w:val="18"/>
                      <w:szCs w:val="18"/>
                      <w:highlight w:val="none"/>
                      <w:lang w:val="en-US" w:eastAsia="zh-CN"/>
                    </w:rPr>
                    <w:t>114.11</w:t>
                  </w:r>
                </w:p>
              </w:tc>
              <w:tc>
                <w:tcPr>
                  <w:tcW w:w="247" w:type="pct"/>
                  <w:tcBorders>
                    <w:tl2br w:val="nil"/>
                    <w:tr2bl w:val="nil"/>
                  </w:tcBorders>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0.342</w:t>
                  </w:r>
                </w:p>
              </w:tc>
              <w:tc>
                <w:tcPr>
                  <w:tcW w:w="239" w:type="pct"/>
                  <w:tcBorders>
                    <w:tl2br w:val="nil"/>
                    <w:tr2bl w:val="nil"/>
                  </w:tcBorders>
                  <w:vAlign w:val="center"/>
                </w:tcPr>
                <w:p>
                  <w:pPr>
                    <w:adjustRightInd w:val="0"/>
                    <w:snapToGrid w:val="0"/>
                    <w:spacing w:line="240" w:lineRule="exact"/>
                    <w:jc w:val="center"/>
                    <w:rPr>
                      <w:rFonts w:hint="default" w:eastAsia="宋体"/>
                      <w:kern w:val="0"/>
                      <w:sz w:val="18"/>
                      <w:szCs w:val="18"/>
                      <w:highlight w:val="none"/>
                      <w:lang w:val="en-US" w:eastAsia="zh-CN" w:bidi="ar"/>
                    </w:rPr>
                  </w:pPr>
                  <w:r>
                    <w:rPr>
                      <w:rFonts w:hint="eastAsia"/>
                      <w:sz w:val="18"/>
                      <w:szCs w:val="18"/>
                      <w:highlight w:val="none"/>
                      <w:lang w:val="en-US" w:eastAsia="zh-CN"/>
                    </w:rPr>
                    <w:t>1.643</w:t>
                  </w:r>
                </w:p>
              </w:tc>
              <w:tc>
                <w:tcPr>
                  <w:tcW w:w="258" w:type="pct"/>
                  <w:vMerge w:val="continue"/>
                  <w:tcBorders>
                    <w:tl2br w:val="nil"/>
                    <w:tr2bl w:val="nil"/>
                  </w:tcBorders>
                  <w:vAlign w:val="center"/>
                </w:tcPr>
                <w:p>
                  <w:pPr>
                    <w:adjustRightInd w:val="0"/>
                    <w:snapToGrid w:val="0"/>
                    <w:spacing w:line="240" w:lineRule="exact"/>
                    <w:jc w:val="center"/>
                    <w:rPr>
                      <w:sz w:val="18"/>
                      <w:szCs w:val="18"/>
                      <w:highlight w:val="none"/>
                    </w:rPr>
                  </w:pPr>
                </w:p>
              </w:tc>
              <w:tc>
                <w:tcPr>
                  <w:tcW w:w="154" w:type="pct"/>
                  <w:tcBorders>
                    <w:tl2br w:val="nil"/>
                    <w:tr2bl w:val="nil"/>
                  </w:tcBorders>
                  <w:vAlign w:val="center"/>
                </w:tcPr>
                <w:p>
                  <w:pPr>
                    <w:adjustRightInd w:val="0"/>
                    <w:snapToGrid w:val="0"/>
                    <w:spacing w:line="240" w:lineRule="exact"/>
                    <w:jc w:val="center"/>
                    <w:rPr>
                      <w:sz w:val="18"/>
                      <w:szCs w:val="18"/>
                      <w:highlight w:val="none"/>
                    </w:rPr>
                  </w:pPr>
                  <w:r>
                    <w:rPr>
                      <w:rFonts w:hint="eastAsia"/>
                      <w:sz w:val="18"/>
                      <w:szCs w:val="18"/>
                      <w:highlight w:val="none"/>
                    </w:rPr>
                    <w:t>100</w:t>
                  </w:r>
                </w:p>
              </w:tc>
              <w:tc>
                <w:tcPr>
                  <w:tcW w:w="154" w:type="pct"/>
                  <w:tcBorders>
                    <w:tl2br w:val="nil"/>
                    <w:tr2bl w:val="nil"/>
                  </w:tcBorders>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154" w:type="pct"/>
                  <w:vMerge w:val="continue"/>
                  <w:tcBorders>
                    <w:tl2br w:val="nil"/>
                    <w:tr2bl w:val="nil"/>
                  </w:tcBorders>
                  <w:vAlign w:val="center"/>
                </w:tcPr>
                <w:p>
                  <w:pPr>
                    <w:adjustRightInd w:val="0"/>
                    <w:snapToGrid w:val="0"/>
                    <w:spacing w:line="240" w:lineRule="exact"/>
                    <w:jc w:val="center"/>
                    <w:rPr>
                      <w:sz w:val="18"/>
                      <w:szCs w:val="18"/>
                      <w:highlight w:val="none"/>
                    </w:rPr>
                  </w:pPr>
                </w:p>
              </w:tc>
              <w:tc>
                <w:tcPr>
                  <w:tcW w:w="255" w:type="pct"/>
                  <w:vMerge w:val="continue"/>
                  <w:tcBorders>
                    <w:tl2br w:val="nil"/>
                    <w:tr2bl w:val="nil"/>
                  </w:tcBorders>
                  <w:vAlign w:val="center"/>
                </w:tcPr>
                <w:p>
                  <w:pPr>
                    <w:adjustRightInd w:val="0"/>
                    <w:snapToGrid w:val="0"/>
                    <w:spacing w:line="240" w:lineRule="exact"/>
                    <w:jc w:val="center"/>
                    <w:rPr>
                      <w:sz w:val="18"/>
                      <w:szCs w:val="18"/>
                      <w:highlight w:val="none"/>
                    </w:rPr>
                  </w:pPr>
                </w:p>
              </w:tc>
              <w:tc>
                <w:tcPr>
                  <w:tcW w:w="301" w:type="pct"/>
                  <w:tcBorders>
                    <w:tl2br w:val="nil"/>
                    <w:tr2bl w:val="nil"/>
                  </w:tcBorders>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114.11</w:t>
                  </w:r>
                </w:p>
              </w:tc>
              <w:tc>
                <w:tcPr>
                  <w:tcW w:w="247" w:type="pct"/>
                  <w:tcBorders>
                    <w:tl2br w:val="nil"/>
                    <w:tr2bl w:val="nil"/>
                  </w:tcBorders>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0.342</w:t>
                  </w:r>
                </w:p>
              </w:tc>
              <w:tc>
                <w:tcPr>
                  <w:tcW w:w="239" w:type="pct"/>
                  <w:tcBorders>
                    <w:tl2br w:val="nil"/>
                    <w:tr2bl w:val="nil"/>
                  </w:tcBorders>
                  <w:vAlign w:val="center"/>
                </w:tcPr>
                <w:p>
                  <w:pPr>
                    <w:adjustRightInd w:val="0"/>
                    <w:snapToGrid w:val="0"/>
                    <w:spacing w:line="240" w:lineRule="exact"/>
                    <w:jc w:val="center"/>
                    <w:rPr>
                      <w:rFonts w:hint="default" w:eastAsia="宋体"/>
                      <w:sz w:val="18"/>
                      <w:szCs w:val="18"/>
                      <w:highlight w:val="none"/>
                      <w:lang w:val="en-US" w:eastAsia="zh-CN"/>
                    </w:rPr>
                  </w:pPr>
                  <w:r>
                    <w:rPr>
                      <w:rFonts w:hint="eastAsia"/>
                      <w:sz w:val="18"/>
                      <w:szCs w:val="18"/>
                      <w:highlight w:val="none"/>
                      <w:lang w:val="en-US" w:eastAsia="zh-CN"/>
                    </w:rPr>
                    <w:t>1.643</w:t>
                  </w:r>
                </w:p>
              </w:tc>
              <w:tc>
                <w:tcPr>
                  <w:tcW w:w="207" w:type="pct"/>
                  <w:vMerge w:val="continue"/>
                  <w:tcBorders>
                    <w:tl2br w:val="nil"/>
                    <w:tr2bl w:val="nil"/>
                  </w:tcBorders>
                  <w:shd w:val="clear" w:color="auto" w:fill="auto"/>
                  <w:vAlign w:val="center"/>
                </w:tcPr>
                <w:p>
                  <w:pPr>
                    <w:adjustRightInd w:val="0"/>
                    <w:snapToGrid w:val="0"/>
                    <w:spacing w:line="240" w:lineRule="exact"/>
                    <w:jc w:val="center"/>
                    <w:rPr>
                      <w:sz w:val="18"/>
                      <w:szCs w:val="18"/>
                      <w:highlight w:val="none"/>
                    </w:rPr>
                  </w:pPr>
                </w:p>
              </w:tc>
              <w:tc>
                <w:tcPr>
                  <w:tcW w:w="207" w:type="pct"/>
                  <w:vMerge w:val="continue"/>
                  <w:tcBorders>
                    <w:tl2br w:val="nil"/>
                    <w:tr2bl w:val="nil"/>
                  </w:tcBorders>
                  <w:shd w:val="clear" w:color="auto" w:fill="auto"/>
                  <w:vAlign w:val="center"/>
                </w:tcPr>
                <w:p>
                  <w:pPr>
                    <w:adjustRightInd w:val="0"/>
                    <w:snapToGrid w:val="0"/>
                    <w:spacing w:line="240" w:lineRule="exact"/>
                    <w:jc w:val="center"/>
                    <w:rPr>
                      <w:sz w:val="18"/>
                      <w:szCs w:val="18"/>
                      <w:highlight w:val="none"/>
                    </w:rPr>
                  </w:pPr>
                </w:p>
              </w:tc>
              <w:tc>
                <w:tcPr>
                  <w:tcW w:w="207" w:type="pct"/>
                  <w:vMerge w:val="continue"/>
                  <w:tcBorders>
                    <w:tl2br w:val="nil"/>
                    <w:tr2bl w:val="nil"/>
                  </w:tcBorders>
                  <w:shd w:val="clear" w:color="auto" w:fill="auto"/>
                  <w:vAlign w:val="center"/>
                </w:tcPr>
                <w:p>
                  <w:pPr>
                    <w:adjustRightInd w:val="0"/>
                    <w:snapToGrid w:val="0"/>
                    <w:spacing w:line="240" w:lineRule="exact"/>
                    <w:jc w:val="center"/>
                    <w:rPr>
                      <w:sz w:val="18"/>
                      <w:szCs w:val="18"/>
                      <w:highlight w:val="none"/>
                    </w:rPr>
                  </w:pPr>
                </w:p>
              </w:tc>
              <w:tc>
                <w:tcPr>
                  <w:tcW w:w="208" w:type="pct"/>
                  <w:vMerge w:val="continue"/>
                  <w:tcBorders>
                    <w:tl2br w:val="nil"/>
                    <w:tr2bl w:val="nil"/>
                  </w:tcBorders>
                  <w:shd w:val="clear" w:color="auto" w:fill="auto"/>
                  <w:vAlign w:val="center"/>
                </w:tcPr>
                <w:p>
                  <w:pPr>
                    <w:adjustRightInd w:val="0"/>
                    <w:snapToGrid w:val="0"/>
                    <w:spacing w:line="240" w:lineRule="exact"/>
                    <w:jc w:val="center"/>
                    <w:rPr>
                      <w:sz w:val="18"/>
                      <w:szCs w:val="18"/>
                      <w:highlight w:val="none"/>
                    </w:rPr>
                  </w:pPr>
                </w:p>
              </w:tc>
              <w:tc>
                <w:tcPr>
                  <w:tcW w:w="134" w:type="pct"/>
                  <w:vMerge w:val="continue"/>
                  <w:tcBorders>
                    <w:tl2br w:val="nil"/>
                    <w:tr2bl w:val="nil"/>
                  </w:tcBorders>
                  <w:shd w:val="clear" w:color="auto" w:fill="auto"/>
                  <w:vAlign w:val="center"/>
                </w:tcPr>
                <w:p>
                  <w:pPr>
                    <w:adjustRightInd w:val="0"/>
                    <w:snapToGrid w:val="0"/>
                    <w:spacing w:line="240" w:lineRule="exact"/>
                    <w:jc w:val="center"/>
                    <w:rPr>
                      <w:sz w:val="18"/>
                      <w:szCs w:val="18"/>
                      <w:highlight w:val="none"/>
                    </w:rPr>
                  </w:pPr>
                </w:p>
              </w:tc>
              <w:tc>
                <w:tcPr>
                  <w:tcW w:w="357" w:type="pct"/>
                  <w:vMerge w:val="continue"/>
                  <w:tcBorders>
                    <w:tl2br w:val="nil"/>
                    <w:tr2bl w:val="nil"/>
                  </w:tcBorders>
                  <w:shd w:val="clear" w:color="auto" w:fill="auto"/>
                  <w:vAlign w:val="center"/>
                </w:tcPr>
                <w:p>
                  <w:pPr>
                    <w:adjustRightInd w:val="0"/>
                    <w:snapToGrid w:val="0"/>
                    <w:spacing w:line="240" w:lineRule="exact"/>
                    <w:jc w:val="center"/>
                    <w:rPr>
                      <w:bCs/>
                      <w:sz w:val="18"/>
                      <w:szCs w:val="18"/>
                      <w:highlight w:val="none"/>
                    </w:rPr>
                  </w:pPr>
                </w:p>
              </w:tc>
              <w:tc>
                <w:tcPr>
                  <w:tcW w:w="328" w:type="pct"/>
                  <w:tcBorders>
                    <w:tl2br w:val="nil"/>
                    <w:tr2bl w:val="nil"/>
                  </w:tcBorders>
                  <w:vAlign w:val="center"/>
                </w:tcPr>
                <w:p>
                  <w:pPr>
                    <w:widowControl/>
                    <w:jc w:val="center"/>
                    <w:textAlignment w:val="center"/>
                    <w:rPr>
                      <w:bCs/>
                      <w:sz w:val="18"/>
                      <w:szCs w:val="18"/>
                      <w:highlight w:val="none"/>
                    </w:rPr>
                  </w:pPr>
                  <w:r>
                    <w:rPr>
                      <w:rFonts w:hint="eastAsia"/>
                      <w:bCs/>
                      <w:sz w:val="18"/>
                      <w:szCs w:val="18"/>
                      <w:highlight w:val="none"/>
                    </w:rPr>
                    <w:t>300</w:t>
                  </w:r>
                </w:p>
              </w:tc>
              <w:tc>
                <w:tcPr>
                  <w:tcW w:w="249" w:type="pct"/>
                  <w:tcBorders>
                    <w:tl2br w:val="nil"/>
                    <w:tr2bl w:val="nil"/>
                  </w:tcBorders>
                  <w:vAlign w:val="center"/>
                </w:tcPr>
                <w:p>
                  <w:pPr>
                    <w:widowControl/>
                    <w:jc w:val="center"/>
                    <w:textAlignment w:val="center"/>
                    <w:rPr>
                      <w:bCs/>
                      <w:sz w:val="18"/>
                      <w:szCs w:val="18"/>
                      <w:highlight w:val="none"/>
                    </w:rPr>
                  </w:pPr>
                  <w:r>
                    <w:rPr>
                      <w:rFonts w:hint="eastAsia"/>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 w:type="pct"/>
                  <w:vMerge w:val="continue"/>
                  <w:vAlign w:val="center"/>
                </w:tcPr>
                <w:p>
                  <w:pPr>
                    <w:snapToGrid w:val="0"/>
                    <w:spacing w:line="240" w:lineRule="atLeast"/>
                    <w:jc w:val="center"/>
                    <w:rPr>
                      <w:szCs w:val="21"/>
                      <w:highlight w:val="none"/>
                    </w:rPr>
                  </w:pPr>
                </w:p>
              </w:tc>
              <w:tc>
                <w:tcPr>
                  <w:tcW w:w="134" w:type="pct"/>
                  <w:vMerge w:val="continue"/>
                  <w:vAlign w:val="center"/>
                </w:tcPr>
                <w:p>
                  <w:pPr>
                    <w:snapToGrid w:val="0"/>
                    <w:spacing w:line="240" w:lineRule="atLeast"/>
                    <w:jc w:val="center"/>
                    <w:rPr>
                      <w:bCs/>
                      <w:szCs w:val="21"/>
                      <w:highlight w:val="none"/>
                    </w:rPr>
                  </w:pPr>
                </w:p>
              </w:tc>
              <w:tc>
                <w:tcPr>
                  <w:tcW w:w="251" w:type="pct"/>
                  <w:vAlign w:val="center"/>
                </w:tcPr>
                <w:p>
                  <w:pPr>
                    <w:adjustRightInd w:val="0"/>
                    <w:snapToGrid w:val="0"/>
                    <w:jc w:val="center"/>
                    <w:rPr>
                      <w:bCs/>
                      <w:szCs w:val="21"/>
                      <w:highlight w:val="none"/>
                    </w:rPr>
                  </w:pPr>
                  <w:r>
                    <w:rPr>
                      <w:rFonts w:hint="eastAsia"/>
                      <w:kern w:val="0"/>
                      <w:szCs w:val="21"/>
                      <w:highlight w:val="none"/>
                    </w:rPr>
                    <w:t>汞及其化合物</w:t>
                  </w:r>
                </w:p>
              </w:tc>
              <w:tc>
                <w:tcPr>
                  <w:tcW w:w="292" w:type="pct"/>
                  <w:vAlign w:val="center"/>
                </w:tcPr>
                <w:p>
                  <w:pPr>
                    <w:widowControl/>
                    <w:jc w:val="center"/>
                    <w:textAlignment w:val="center"/>
                    <w:rPr>
                      <w:sz w:val="18"/>
                      <w:szCs w:val="18"/>
                      <w:highlight w:val="none"/>
                    </w:rPr>
                  </w:pPr>
                  <w:r>
                    <w:rPr>
                      <w:rFonts w:hint="eastAsia"/>
                      <w:sz w:val="18"/>
                      <w:szCs w:val="18"/>
                      <w:highlight w:val="none"/>
                    </w:rPr>
                    <w:t>＜0.05</w:t>
                  </w:r>
                </w:p>
              </w:tc>
              <w:tc>
                <w:tcPr>
                  <w:tcW w:w="247" w:type="pct"/>
                  <w:vAlign w:val="center"/>
                </w:tcPr>
                <w:p>
                  <w:pPr>
                    <w:widowControl/>
                    <w:jc w:val="center"/>
                    <w:textAlignment w:val="center"/>
                    <w:rPr>
                      <w:sz w:val="18"/>
                      <w:szCs w:val="18"/>
                      <w:highlight w:val="none"/>
                    </w:rPr>
                  </w:pPr>
                  <w:r>
                    <w:rPr>
                      <w:rFonts w:hint="eastAsia"/>
                      <w:sz w:val="18"/>
                      <w:szCs w:val="18"/>
                      <w:highlight w:val="none"/>
                    </w:rPr>
                    <w:t>/</w:t>
                  </w:r>
                </w:p>
              </w:tc>
              <w:tc>
                <w:tcPr>
                  <w:tcW w:w="239" w:type="pct"/>
                  <w:vAlign w:val="center"/>
                </w:tcPr>
                <w:p>
                  <w:pPr>
                    <w:widowControl/>
                    <w:jc w:val="center"/>
                    <w:textAlignment w:val="center"/>
                    <w:rPr>
                      <w:sz w:val="18"/>
                      <w:szCs w:val="18"/>
                      <w:highlight w:val="none"/>
                    </w:rPr>
                  </w:pPr>
                  <w:r>
                    <w:rPr>
                      <w:rFonts w:hint="eastAsia"/>
                      <w:sz w:val="18"/>
                      <w:szCs w:val="18"/>
                      <w:highlight w:val="none"/>
                    </w:rPr>
                    <w:t>/</w:t>
                  </w:r>
                </w:p>
              </w:tc>
              <w:tc>
                <w:tcPr>
                  <w:tcW w:w="258" w:type="pct"/>
                  <w:vMerge w:val="continue"/>
                  <w:vAlign w:val="center"/>
                </w:tcPr>
                <w:p>
                  <w:pPr>
                    <w:adjustRightInd w:val="0"/>
                    <w:snapToGrid w:val="0"/>
                    <w:spacing w:line="240" w:lineRule="exact"/>
                    <w:jc w:val="center"/>
                    <w:rPr>
                      <w:sz w:val="18"/>
                      <w:szCs w:val="18"/>
                      <w:highlight w:val="none"/>
                    </w:rPr>
                  </w:pP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154" w:type="pct"/>
                  <w:vMerge w:val="continue"/>
                  <w:vAlign w:val="center"/>
                </w:tcPr>
                <w:p>
                  <w:pPr>
                    <w:adjustRightInd w:val="0"/>
                    <w:snapToGrid w:val="0"/>
                    <w:spacing w:line="240" w:lineRule="exact"/>
                    <w:jc w:val="center"/>
                    <w:rPr>
                      <w:sz w:val="18"/>
                      <w:szCs w:val="18"/>
                      <w:highlight w:val="none"/>
                    </w:rPr>
                  </w:pPr>
                </w:p>
              </w:tc>
              <w:tc>
                <w:tcPr>
                  <w:tcW w:w="255" w:type="pct"/>
                  <w:vMerge w:val="continue"/>
                  <w:vAlign w:val="center"/>
                </w:tcPr>
                <w:p>
                  <w:pPr>
                    <w:adjustRightInd w:val="0"/>
                    <w:snapToGrid w:val="0"/>
                    <w:spacing w:line="240" w:lineRule="exact"/>
                    <w:jc w:val="center"/>
                    <w:rPr>
                      <w:sz w:val="18"/>
                      <w:szCs w:val="18"/>
                      <w:highlight w:val="none"/>
                    </w:rPr>
                  </w:pPr>
                </w:p>
              </w:tc>
              <w:tc>
                <w:tcPr>
                  <w:tcW w:w="301" w:type="pct"/>
                  <w:vAlign w:val="center"/>
                </w:tcPr>
                <w:p>
                  <w:pPr>
                    <w:widowControl/>
                    <w:jc w:val="center"/>
                    <w:textAlignment w:val="center"/>
                    <w:rPr>
                      <w:sz w:val="18"/>
                      <w:szCs w:val="18"/>
                      <w:highlight w:val="none"/>
                    </w:rPr>
                  </w:pPr>
                  <w:r>
                    <w:rPr>
                      <w:rFonts w:hint="eastAsia"/>
                      <w:sz w:val="18"/>
                      <w:szCs w:val="18"/>
                      <w:highlight w:val="none"/>
                      <w:lang w:val="en-US" w:eastAsia="zh-CN"/>
                    </w:rPr>
                    <w:t>＜</w:t>
                  </w:r>
                  <w:r>
                    <w:rPr>
                      <w:rFonts w:hint="eastAsia"/>
                      <w:sz w:val="18"/>
                      <w:szCs w:val="18"/>
                      <w:highlight w:val="none"/>
                    </w:rPr>
                    <w:t>0.05</w:t>
                  </w:r>
                </w:p>
              </w:tc>
              <w:tc>
                <w:tcPr>
                  <w:tcW w:w="247" w:type="pct"/>
                  <w:vAlign w:val="center"/>
                </w:tcPr>
                <w:p>
                  <w:pPr>
                    <w:widowControl/>
                    <w:jc w:val="center"/>
                    <w:textAlignment w:val="center"/>
                    <w:rPr>
                      <w:sz w:val="18"/>
                      <w:szCs w:val="18"/>
                      <w:highlight w:val="none"/>
                    </w:rPr>
                  </w:pPr>
                  <w:r>
                    <w:rPr>
                      <w:rFonts w:hint="eastAsia"/>
                      <w:sz w:val="18"/>
                      <w:szCs w:val="18"/>
                      <w:highlight w:val="none"/>
                    </w:rPr>
                    <w:t>/</w:t>
                  </w:r>
                </w:p>
              </w:tc>
              <w:tc>
                <w:tcPr>
                  <w:tcW w:w="239" w:type="pct"/>
                  <w:vAlign w:val="center"/>
                </w:tcPr>
                <w:p>
                  <w:pPr>
                    <w:widowControl/>
                    <w:jc w:val="center"/>
                    <w:textAlignment w:val="center"/>
                    <w:rPr>
                      <w:sz w:val="18"/>
                      <w:szCs w:val="18"/>
                      <w:highlight w:val="none"/>
                    </w:rPr>
                  </w:pPr>
                  <w:r>
                    <w:rPr>
                      <w:rFonts w:hint="eastAsia"/>
                      <w:sz w:val="18"/>
                      <w:szCs w:val="18"/>
                      <w:highlight w:val="none"/>
                    </w:rPr>
                    <w:t>/</w:t>
                  </w:r>
                </w:p>
              </w:tc>
              <w:tc>
                <w:tcPr>
                  <w:tcW w:w="207" w:type="pct"/>
                  <w:vMerge w:val="continue"/>
                  <w:vAlign w:val="center"/>
                </w:tcPr>
                <w:p>
                  <w:pPr>
                    <w:adjustRightInd w:val="0"/>
                    <w:snapToGrid w:val="0"/>
                    <w:spacing w:line="240" w:lineRule="exact"/>
                    <w:jc w:val="center"/>
                    <w:rPr>
                      <w:sz w:val="18"/>
                      <w:szCs w:val="18"/>
                      <w:highlight w:val="none"/>
                    </w:rPr>
                  </w:pPr>
                </w:p>
              </w:tc>
              <w:tc>
                <w:tcPr>
                  <w:tcW w:w="207" w:type="pct"/>
                  <w:vMerge w:val="continue"/>
                  <w:vAlign w:val="center"/>
                </w:tcPr>
                <w:p>
                  <w:pPr>
                    <w:adjustRightInd w:val="0"/>
                    <w:snapToGrid w:val="0"/>
                    <w:spacing w:line="240" w:lineRule="exact"/>
                    <w:jc w:val="center"/>
                    <w:rPr>
                      <w:sz w:val="18"/>
                      <w:szCs w:val="18"/>
                      <w:highlight w:val="none"/>
                    </w:rPr>
                  </w:pPr>
                </w:p>
              </w:tc>
              <w:tc>
                <w:tcPr>
                  <w:tcW w:w="207" w:type="pct"/>
                  <w:vMerge w:val="continue"/>
                  <w:vAlign w:val="center"/>
                </w:tcPr>
                <w:p>
                  <w:pPr>
                    <w:adjustRightInd w:val="0"/>
                    <w:snapToGrid w:val="0"/>
                    <w:spacing w:line="240" w:lineRule="exact"/>
                    <w:jc w:val="center"/>
                    <w:rPr>
                      <w:sz w:val="18"/>
                      <w:szCs w:val="18"/>
                      <w:highlight w:val="none"/>
                    </w:rPr>
                  </w:pPr>
                </w:p>
              </w:tc>
              <w:tc>
                <w:tcPr>
                  <w:tcW w:w="208" w:type="pct"/>
                  <w:vMerge w:val="continue"/>
                  <w:vAlign w:val="center"/>
                </w:tcPr>
                <w:p>
                  <w:pPr>
                    <w:adjustRightInd w:val="0"/>
                    <w:snapToGrid w:val="0"/>
                    <w:spacing w:line="240" w:lineRule="exact"/>
                    <w:jc w:val="center"/>
                    <w:rPr>
                      <w:sz w:val="18"/>
                      <w:szCs w:val="18"/>
                      <w:highlight w:val="none"/>
                    </w:rPr>
                  </w:pPr>
                </w:p>
              </w:tc>
              <w:tc>
                <w:tcPr>
                  <w:tcW w:w="134" w:type="pct"/>
                  <w:vMerge w:val="continue"/>
                  <w:vAlign w:val="center"/>
                </w:tcPr>
                <w:p>
                  <w:pPr>
                    <w:adjustRightInd w:val="0"/>
                    <w:snapToGrid w:val="0"/>
                    <w:spacing w:line="240" w:lineRule="exact"/>
                    <w:jc w:val="center"/>
                    <w:rPr>
                      <w:sz w:val="18"/>
                      <w:szCs w:val="18"/>
                      <w:highlight w:val="none"/>
                    </w:rPr>
                  </w:pPr>
                </w:p>
              </w:tc>
              <w:tc>
                <w:tcPr>
                  <w:tcW w:w="357" w:type="pct"/>
                  <w:vMerge w:val="continue"/>
                  <w:vAlign w:val="center"/>
                </w:tcPr>
                <w:p>
                  <w:pPr>
                    <w:adjustRightInd w:val="0"/>
                    <w:snapToGrid w:val="0"/>
                    <w:spacing w:line="240" w:lineRule="exact"/>
                    <w:jc w:val="center"/>
                    <w:rPr>
                      <w:sz w:val="18"/>
                      <w:szCs w:val="18"/>
                      <w:highlight w:val="none"/>
                    </w:rPr>
                  </w:pPr>
                </w:p>
              </w:tc>
              <w:tc>
                <w:tcPr>
                  <w:tcW w:w="328" w:type="pct"/>
                  <w:vAlign w:val="center"/>
                </w:tcPr>
                <w:p>
                  <w:pPr>
                    <w:widowControl/>
                    <w:snapToGrid w:val="0"/>
                    <w:spacing w:line="240" w:lineRule="atLeast"/>
                    <w:jc w:val="center"/>
                    <w:textAlignment w:val="center"/>
                    <w:rPr>
                      <w:sz w:val="18"/>
                      <w:szCs w:val="18"/>
                      <w:highlight w:val="none"/>
                    </w:rPr>
                  </w:pPr>
                  <w:r>
                    <w:rPr>
                      <w:rFonts w:hint="eastAsia"/>
                      <w:spacing w:val="6"/>
                      <w:kern w:val="0"/>
                      <w:sz w:val="18"/>
                      <w:szCs w:val="18"/>
                      <w:highlight w:val="none"/>
                    </w:rPr>
                    <w:t>0.05</w:t>
                  </w:r>
                </w:p>
              </w:tc>
              <w:tc>
                <w:tcPr>
                  <w:tcW w:w="249" w:type="pct"/>
                  <w:vAlign w:val="center"/>
                </w:tcPr>
                <w:p>
                  <w:pPr>
                    <w:snapToGrid w:val="0"/>
                    <w:spacing w:line="240" w:lineRule="atLeast"/>
                    <w:jc w:val="center"/>
                    <w:rPr>
                      <w:sz w:val="18"/>
                      <w:szCs w:val="18"/>
                      <w:highlight w:val="none"/>
                    </w:rPr>
                  </w:pPr>
                  <w:r>
                    <w:rPr>
                      <w:rFonts w:hint="eastAsia"/>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 w:type="pct"/>
                  <w:vMerge w:val="restart"/>
                  <w:vAlign w:val="center"/>
                </w:tcPr>
                <w:p>
                  <w:pPr>
                    <w:snapToGrid w:val="0"/>
                    <w:spacing w:line="240" w:lineRule="atLeast"/>
                    <w:jc w:val="center"/>
                    <w:rPr>
                      <w:szCs w:val="21"/>
                      <w:highlight w:val="none"/>
                    </w:rPr>
                  </w:pPr>
                  <w:r>
                    <w:rPr>
                      <w:rFonts w:hint="eastAsia"/>
                      <w:szCs w:val="21"/>
                      <w:highlight w:val="none"/>
                    </w:rPr>
                    <w:t>污水处理站废气</w:t>
                  </w:r>
                </w:p>
              </w:tc>
              <w:tc>
                <w:tcPr>
                  <w:tcW w:w="134" w:type="pct"/>
                  <w:vMerge w:val="restart"/>
                  <w:vAlign w:val="center"/>
                </w:tcPr>
                <w:p>
                  <w:pPr>
                    <w:snapToGrid w:val="0"/>
                    <w:spacing w:line="240" w:lineRule="atLeast"/>
                    <w:jc w:val="center"/>
                    <w:rPr>
                      <w:bCs/>
                      <w:szCs w:val="21"/>
                      <w:highlight w:val="none"/>
                    </w:rPr>
                  </w:pPr>
                  <w:r>
                    <w:rPr>
                      <w:rFonts w:hint="eastAsia"/>
                      <w:bCs/>
                      <w:szCs w:val="21"/>
                      <w:highlight w:val="none"/>
                    </w:rPr>
                    <w:t>无组织</w:t>
                  </w:r>
                </w:p>
              </w:tc>
              <w:tc>
                <w:tcPr>
                  <w:tcW w:w="251" w:type="pct"/>
                  <w:vAlign w:val="center"/>
                </w:tcPr>
                <w:p>
                  <w:pPr>
                    <w:adjustRightInd w:val="0"/>
                    <w:snapToGrid w:val="0"/>
                    <w:jc w:val="center"/>
                    <w:rPr>
                      <w:bCs/>
                      <w:szCs w:val="21"/>
                      <w:highlight w:val="none"/>
                    </w:rPr>
                  </w:pPr>
                  <w:r>
                    <w:rPr>
                      <w:rFonts w:hint="eastAsia"/>
                      <w:bCs/>
                      <w:szCs w:val="21"/>
                      <w:highlight w:val="none"/>
                    </w:rPr>
                    <w:t>氨</w:t>
                  </w:r>
                </w:p>
              </w:tc>
              <w:tc>
                <w:tcPr>
                  <w:tcW w:w="292" w:type="pct"/>
                  <w:vAlign w:val="center"/>
                </w:tcPr>
                <w:p>
                  <w:pPr>
                    <w:widowControl/>
                    <w:jc w:val="center"/>
                    <w:textAlignment w:val="center"/>
                    <w:rPr>
                      <w:sz w:val="18"/>
                      <w:szCs w:val="18"/>
                      <w:highlight w:val="none"/>
                    </w:rPr>
                  </w:pPr>
                  <w:r>
                    <w:rPr>
                      <w:rFonts w:hint="eastAsia"/>
                      <w:sz w:val="18"/>
                      <w:szCs w:val="18"/>
                      <w:highlight w:val="none"/>
                    </w:rPr>
                    <w:t>/</w:t>
                  </w:r>
                </w:p>
              </w:tc>
              <w:tc>
                <w:tcPr>
                  <w:tcW w:w="247" w:type="pct"/>
                  <w:vAlign w:val="center"/>
                </w:tcPr>
                <w:p>
                  <w:pPr>
                    <w:widowControl/>
                    <w:jc w:val="center"/>
                    <w:textAlignment w:val="center"/>
                    <w:rPr>
                      <w:sz w:val="18"/>
                      <w:szCs w:val="18"/>
                      <w:highlight w:val="none"/>
                    </w:rPr>
                  </w:pPr>
                  <w:r>
                    <w:rPr>
                      <w:rFonts w:hint="eastAsia"/>
                      <w:sz w:val="18"/>
                      <w:szCs w:val="18"/>
                      <w:highlight w:val="none"/>
                    </w:rPr>
                    <w:t>0.019</w:t>
                  </w:r>
                </w:p>
              </w:tc>
              <w:tc>
                <w:tcPr>
                  <w:tcW w:w="239" w:type="pct"/>
                  <w:vAlign w:val="center"/>
                </w:tcPr>
                <w:p>
                  <w:pPr>
                    <w:widowControl/>
                    <w:jc w:val="center"/>
                    <w:textAlignment w:val="center"/>
                    <w:rPr>
                      <w:sz w:val="18"/>
                      <w:szCs w:val="18"/>
                      <w:highlight w:val="none"/>
                    </w:rPr>
                  </w:pPr>
                  <w:r>
                    <w:rPr>
                      <w:rFonts w:hint="eastAsia"/>
                      <w:sz w:val="18"/>
                      <w:szCs w:val="18"/>
                      <w:highlight w:val="none"/>
                    </w:rPr>
                    <w:t>0.139</w:t>
                  </w:r>
                </w:p>
              </w:tc>
              <w:tc>
                <w:tcPr>
                  <w:tcW w:w="258" w:type="pct"/>
                  <w:vAlign w:val="center"/>
                </w:tcPr>
                <w:p>
                  <w:pPr>
                    <w:adjustRightInd w:val="0"/>
                    <w:snapToGrid w:val="0"/>
                    <w:spacing w:line="240" w:lineRule="exact"/>
                    <w:jc w:val="center"/>
                    <w:rPr>
                      <w:sz w:val="18"/>
                      <w:szCs w:val="18"/>
                      <w:highlight w:val="none"/>
                    </w:rPr>
                  </w:pP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154" w:type="pct"/>
                  <w:vAlign w:val="center"/>
                </w:tcPr>
                <w:p>
                  <w:pPr>
                    <w:adjustRightInd w:val="0"/>
                    <w:snapToGrid w:val="0"/>
                    <w:spacing w:line="240" w:lineRule="exact"/>
                    <w:jc w:val="center"/>
                    <w:rPr>
                      <w:sz w:val="18"/>
                      <w:szCs w:val="18"/>
                      <w:highlight w:val="none"/>
                    </w:rPr>
                  </w:pPr>
                  <w:r>
                    <w:rPr>
                      <w:rFonts w:hint="eastAsia"/>
                      <w:sz w:val="18"/>
                      <w:szCs w:val="18"/>
                      <w:highlight w:val="none"/>
                    </w:rPr>
                    <w:t>/</w:t>
                  </w:r>
                </w:p>
              </w:tc>
              <w:tc>
                <w:tcPr>
                  <w:tcW w:w="255" w:type="pct"/>
                  <w:vAlign w:val="center"/>
                </w:tcPr>
                <w:p>
                  <w:pPr>
                    <w:adjustRightInd w:val="0"/>
                    <w:snapToGrid w:val="0"/>
                    <w:spacing w:line="240" w:lineRule="exact"/>
                    <w:jc w:val="center"/>
                    <w:rPr>
                      <w:sz w:val="18"/>
                      <w:szCs w:val="18"/>
                      <w:highlight w:val="none"/>
                    </w:rPr>
                  </w:pPr>
                </w:p>
              </w:tc>
              <w:tc>
                <w:tcPr>
                  <w:tcW w:w="301" w:type="pct"/>
                  <w:vAlign w:val="center"/>
                </w:tcPr>
                <w:p>
                  <w:pPr>
                    <w:widowControl/>
                    <w:jc w:val="center"/>
                    <w:textAlignment w:val="center"/>
                    <w:rPr>
                      <w:sz w:val="18"/>
                      <w:szCs w:val="18"/>
                      <w:highlight w:val="none"/>
                    </w:rPr>
                  </w:pPr>
                  <w:r>
                    <w:rPr>
                      <w:rFonts w:hint="eastAsia"/>
                      <w:sz w:val="18"/>
                      <w:szCs w:val="18"/>
                      <w:highlight w:val="none"/>
                    </w:rPr>
                    <w:t>/</w:t>
                  </w:r>
                </w:p>
              </w:tc>
              <w:tc>
                <w:tcPr>
                  <w:tcW w:w="247" w:type="pct"/>
                  <w:vAlign w:val="center"/>
                </w:tcPr>
                <w:p>
                  <w:pPr>
                    <w:widowControl/>
                    <w:jc w:val="center"/>
                    <w:textAlignment w:val="center"/>
                    <w:rPr>
                      <w:sz w:val="18"/>
                      <w:szCs w:val="18"/>
                      <w:highlight w:val="none"/>
                    </w:rPr>
                  </w:pPr>
                  <w:r>
                    <w:rPr>
                      <w:rFonts w:hint="eastAsia"/>
                      <w:sz w:val="18"/>
                      <w:szCs w:val="18"/>
                      <w:highlight w:val="none"/>
                    </w:rPr>
                    <w:t>0.019</w:t>
                  </w:r>
                </w:p>
              </w:tc>
              <w:tc>
                <w:tcPr>
                  <w:tcW w:w="239" w:type="pct"/>
                  <w:vAlign w:val="center"/>
                </w:tcPr>
                <w:p>
                  <w:pPr>
                    <w:widowControl/>
                    <w:jc w:val="center"/>
                    <w:textAlignment w:val="center"/>
                    <w:rPr>
                      <w:sz w:val="18"/>
                      <w:szCs w:val="18"/>
                      <w:highlight w:val="none"/>
                    </w:rPr>
                  </w:pPr>
                  <w:r>
                    <w:rPr>
                      <w:rFonts w:hint="eastAsia"/>
                      <w:sz w:val="18"/>
                      <w:szCs w:val="18"/>
                      <w:highlight w:val="none"/>
                    </w:rPr>
                    <w:t>0.139</w:t>
                  </w:r>
                </w:p>
              </w:tc>
              <w:tc>
                <w:tcPr>
                  <w:tcW w:w="207" w:type="pct"/>
                  <w:vAlign w:val="center"/>
                </w:tcPr>
                <w:p>
                  <w:pPr>
                    <w:adjustRightInd w:val="0"/>
                    <w:snapToGrid w:val="0"/>
                    <w:spacing w:line="240" w:lineRule="exact"/>
                    <w:jc w:val="center"/>
                    <w:rPr>
                      <w:sz w:val="18"/>
                      <w:szCs w:val="18"/>
                      <w:highlight w:val="none"/>
                    </w:rPr>
                  </w:pPr>
                </w:p>
              </w:tc>
              <w:tc>
                <w:tcPr>
                  <w:tcW w:w="207" w:type="pct"/>
                  <w:vAlign w:val="center"/>
                </w:tcPr>
                <w:p>
                  <w:pPr>
                    <w:adjustRightInd w:val="0"/>
                    <w:snapToGrid w:val="0"/>
                    <w:spacing w:line="240" w:lineRule="exact"/>
                    <w:jc w:val="center"/>
                    <w:rPr>
                      <w:sz w:val="18"/>
                      <w:szCs w:val="18"/>
                      <w:highlight w:val="none"/>
                    </w:rPr>
                  </w:pPr>
                </w:p>
              </w:tc>
              <w:tc>
                <w:tcPr>
                  <w:tcW w:w="207" w:type="pct"/>
                  <w:vAlign w:val="center"/>
                </w:tcPr>
                <w:p>
                  <w:pPr>
                    <w:adjustRightInd w:val="0"/>
                    <w:snapToGrid w:val="0"/>
                    <w:spacing w:line="240" w:lineRule="exact"/>
                    <w:jc w:val="center"/>
                    <w:rPr>
                      <w:sz w:val="18"/>
                      <w:szCs w:val="18"/>
                      <w:highlight w:val="none"/>
                    </w:rPr>
                  </w:pPr>
                </w:p>
              </w:tc>
              <w:tc>
                <w:tcPr>
                  <w:tcW w:w="208" w:type="pct"/>
                  <w:vAlign w:val="center"/>
                </w:tcPr>
                <w:p>
                  <w:pPr>
                    <w:adjustRightInd w:val="0"/>
                    <w:snapToGrid w:val="0"/>
                    <w:spacing w:line="240" w:lineRule="exact"/>
                    <w:jc w:val="center"/>
                    <w:rPr>
                      <w:sz w:val="18"/>
                      <w:szCs w:val="18"/>
                      <w:highlight w:val="none"/>
                    </w:rPr>
                  </w:pPr>
                </w:p>
              </w:tc>
              <w:tc>
                <w:tcPr>
                  <w:tcW w:w="134" w:type="pct"/>
                  <w:vAlign w:val="center"/>
                </w:tcPr>
                <w:p>
                  <w:pPr>
                    <w:adjustRightInd w:val="0"/>
                    <w:snapToGrid w:val="0"/>
                    <w:spacing w:line="240" w:lineRule="exact"/>
                    <w:jc w:val="center"/>
                    <w:rPr>
                      <w:sz w:val="18"/>
                      <w:szCs w:val="18"/>
                      <w:highlight w:val="none"/>
                    </w:rPr>
                  </w:pPr>
                </w:p>
              </w:tc>
              <w:tc>
                <w:tcPr>
                  <w:tcW w:w="357" w:type="pct"/>
                  <w:vAlign w:val="center"/>
                </w:tcPr>
                <w:p>
                  <w:pPr>
                    <w:adjustRightInd w:val="0"/>
                    <w:snapToGrid w:val="0"/>
                    <w:spacing w:line="240" w:lineRule="exact"/>
                    <w:jc w:val="center"/>
                    <w:rPr>
                      <w:sz w:val="18"/>
                      <w:szCs w:val="18"/>
                      <w:highlight w:val="none"/>
                    </w:rPr>
                  </w:pPr>
                </w:p>
              </w:tc>
              <w:tc>
                <w:tcPr>
                  <w:tcW w:w="328" w:type="pct"/>
                  <w:vAlign w:val="center"/>
                </w:tcPr>
                <w:p>
                  <w:pPr>
                    <w:widowControl/>
                    <w:jc w:val="center"/>
                    <w:textAlignment w:val="center"/>
                    <w:rPr>
                      <w:sz w:val="18"/>
                      <w:szCs w:val="18"/>
                      <w:highlight w:val="none"/>
                    </w:rPr>
                  </w:pPr>
                  <w:r>
                    <w:rPr>
                      <w:rFonts w:hint="eastAsia"/>
                      <w:bCs/>
                      <w:sz w:val="18"/>
                      <w:szCs w:val="18"/>
                      <w:highlight w:val="none"/>
                    </w:rPr>
                    <w:t>1.0</w:t>
                  </w:r>
                </w:p>
              </w:tc>
              <w:tc>
                <w:tcPr>
                  <w:tcW w:w="249" w:type="pct"/>
                  <w:vAlign w:val="center"/>
                </w:tcPr>
                <w:p>
                  <w:pPr>
                    <w:widowControl/>
                    <w:jc w:val="center"/>
                    <w:textAlignment w:val="center"/>
                    <w:rPr>
                      <w:sz w:val="18"/>
                      <w:szCs w:val="18"/>
                      <w:highlight w:val="none"/>
                    </w:rPr>
                  </w:pPr>
                  <w:r>
                    <w:rPr>
                      <w:rFonts w:hint="eastAsia"/>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 w:type="pct"/>
                  <w:vMerge w:val="continue"/>
                  <w:vAlign w:val="center"/>
                </w:tcPr>
                <w:p>
                  <w:pPr>
                    <w:snapToGrid w:val="0"/>
                    <w:spacing w:line="240" w:lineRule="atLeast"/>
                    <w:jc w:val="center"/>
                    <w:rPr>
                      <w:szCs w:val="21"/>
                      <w:highlight w:val="none"/>
                    </w:rPr>
                  </w:pPr>
                </w:p>
              </w:tc>
              <w:tc>
                <w:tcPr>
                  <w:tcW w:w="134" w:type="pct"/>
                  <w:vMerge w:val="continue"/>
                  <w:vAlign w:val="center"/>
                </w:tcPr>
                <w:p>
                  <w:pPr>
                    <w:snapToGrid w:val="0"/>
                    <w:spacing w:line="240" w:lineRule="atLeast"/>
                    <w:jc w:val="center"/>
                    <w:rPr>
                      <w:bCs/>
                      <w:szCs w:val="21"/>
                      <w:highlight w:val="none"/>
                    </w:rPr>
                  </w:pPr>
                </w:p>
              </w:tc>
              <w:tc>
                <w:tcPr>
                  <w:tcW w:w="251" w:type="pct"/>
                  <w:vAlign w:val="center"/>
                </w:tcPr>
                <w:p>
                  <w:pPr>
                    <w:adjustRightInd w:val="0"/>
                    <w:snapToGrid w:val="0"/>
                    <w:jc w:val="center"/>
                    <w:rPr>
                      <w:bCs/>
                      <w:szCs w:val="21"/>
                      <w:highlight w:val="none"/>
                    </w:rPr>
                  </w:pPr>
                  <w:r>
                    <w:rPr>
                      <w:rFonts w:hint="eastAsia"/>
                      <w:bCs/>
                      <w:szCs w:val="21"/>
                      <w:highlight w:val="none"/>
                    </w:rPr>
                    <w:t>硫化氢</w:t>
                  </w:r>
                </w:p>
              </w:tc>
              <w:tc>
                <w:tcPr>
                  <w:tcW w:w="292" w:type="pct"/>
                  <w:vAlign w:val="center"/>
                </w:tcPr>
                <w:p>
                  <w:pPr>
                    <w:widowControl/>
                    <w:jc w:val="center"/>
                    <w:textAlignment w:val="center"/>
                    <w:rPr>
                      <w:color w:val="0000FF"/>
                      <w:sz w:val="18"/>
                      <w:szCs w:val="18"/>
                      <w:highlight w:val="none"/>
                    </w:rPr>
                  </w:pPr>
                </w:p>
              </w:tc>
              <w:tc>
                <w:tcPr>
                  <w:tcW w:w="247" w:type="pct"/>
                  <w:vAlign w:val="center"/>
                </w:tcPr>
                <w:p>
                  <w:pPr>
                    <w:widowControl/>
                    <w:jc w:val="center"/>
                    <w:textAlignment w:val="center"/>
                    <w:rPr>
                      <w:sz w:val="18"/>
                      <w:szCs w:val="18"/>
                      <w:highlight w:val="none"/>
                    </w:rPr>
                  </w:pPr>
                  <w:r>
                    <w:rPr>
                      <w:rFonts w:hint="eastAsia"/>
                      <w:sz w:val="18"/>
                      <w:szCs w:val="18"/>
                      <w:highlight w:val="none"/>
                    </w:rPr>
                    <w:t>0.0007</w:t>
                  </w:r>
                </w:p>
              </w:tc>
              <w:tc>
                <w:tcPr>
                  <w:tcW w:w="239" w:type="pct"/>
                  <w:vAlign w:val="center"/>
                </w:tcPr>
                <w:p>
                  <w:pPr>
                    <w:widowControl/>
                    <w:jc w:val="center"/>
                    <w:textAlignment w:val="center"/>
                    <w:rPr>
                      <w:sz w:val="18"/>
                      <w:szCs w:val="18"/>
                      <w:highlight w:val="none"/>
                    </w:rPr>
                  </w:pPr>
                  <w:r>
                    <w:rPr>
                      <w:rFonts w:hint="eastAsia"/>
                      <w:sz w:val="18"/>
                      <w:szCs w:val="18"/>
                      <w:highlight w:val="none"/>
                    </w:rPr>
                    <w:t>0.005</w:t>
                  </w:r>
                </w:p>
              </w:tc>
              <w:tc>
                <w:tcPr>
                  <w:tcW w:w="258" w:type="pct"/>
                  <w:vAlign w:val="center"/>
                </w:tcPr>
                <w:p>
                  <w:pPr>
                    <w:adjustRightInd w:val="0"/>
                    <w:snapToGrid w:val="0"/>
                    <w:spacing w:line="240" w:lineRule="exact"/>
                    <w:jc w:val="center"/>
                    <w:rPr>
                      <w:sz w:val="18"/>
                      <w:szCs w:val="18"/>
                      <w:highlight w:val="none"/>
                    </w:rPr>
                  </w:pPr>
                </w:p>
              </w:tc>
              <w:tc>
                <w:tcPr>
                  <w:tcW w:w="154" w:type="pct"/>
                  <w:vAlign w:val="center"/>
                </w:tcPr>
                <w:p>
                  <w:pPr>
                    <w:adjustRightInd w:val="0"/>
                    <w:snapToGrid w:val="0"/>
                    <w:spacing w:line="240" w:lineRule="exact"/>
                    <w:jc w:val="center"/>
                    <w:rPr>
                      <w:sz w:val="18"/>
                      <w:szCs w:val="18"/>
                      <w:highlight w:val="none"/>
                    </w:rPr>
                  </w:pPr>
                </w:p>
              </w:tc>
              <w:tc>
                <w:tcPr>
                  <w:tcW w:w="154" w:type="pct"/>
                  <w:vAlign w:val="center"/>
                </w:tcPr>
                <w:p>
                  <w:pPr>
                    <w:adjustRightInd w:val="0"/>
                    <w:snapToGrid w:val="0"/>
                    <w:spacing w:line="240" w:lineRule="exact"/>
                    <w:jc w:val="center"/>
                    <w:rPr>
                      <w:sz w:val="18"/>
                      <w:szCs w:val="18"/>
                      <w:highlight w:val="none"/>
                    </w:rPr>
                  </w:pPr>
                </w:p>
              </w:tc>
              <w:tc>
                <w:tcPr>
                  <w:tcW w:w="154" w:type="pct"/>
                  <w:vAlign w:val="center"/>
                </w:tcPr>
                <w:p>
                  <w:pPr>
                    <w:adjustRightInd w:val="0"/>
                    <w:snapToGrid w:val="0"/>
                    <w:spacing w:line="240" w:lineRule="exact"/>
                    <w:jc w:val="center"/>
                    <w:rPr>
                      <w:sz w:val="18"/>
                      <w:szCs w:val="18"/>
                      <w:highlight w:val="none"/>
                    </w:rPr>
                  </w:pPr>
                </w:p>
              </w:tc>
              <w:tc>
                <w:tcPr>
                  <w:tcW w:w="255" w:type="pct"/>
                  <w:vAlign w:val="center"/>
                </w:tcPr>
                <w:p>
                  <w:pPr>
                    <w:adjustRightInd w:val="0"/>
                    <w:snapToGrid w:val="0"/>
                    <w:spacing w:line="240" w:lineRule="exact"/>
                    <w:jc w:val="center"/>
                    <w:rPr>
                      <w:sz w:val="18"/>
                      <w:szCs w:val="18"/>
                      <w:highlight w:val="none"/>
                    </w:rPr>
                  </w:pPr>
                </w:p>
              </w:tc>
              <w:tc>
                <w:tcPr>
                  <w:tcW w:w="301" w:type="pct"/>
                  <w:vAlign w:val="center"/>
                </w:tcPr>
                <w:p>
                  <w:pPr>
                    <w:widowControl/>
                    <w:jc w:val="center"/>
                    <w:textAlignment w:val="center"/>
                    <w:rPr>
                      <w:sz w:val="18"/>
                      <w:szCs w:val="18"/>
                      <w:highlight w:val="none"/>
                    </w:rPr>
                  </w:pPr>
                </w:p>
              </w:tc>
              <w:tc>
                <w:tcPr>
                  <w:tcW w:w="247" w:type="pct"/>
                  <w:vAlign w:val="center"/>
                </w:tcPr>
                <w:p>
                  <w:pPr>
                    <w:widowControl/>
                    <w:jc w:val="center"/>
                    <w:textAlignment w:val="center"/>
                    <w:rPr>
                      <w:sz w:val="18"/>
                      <w:szCs w:val="18"/>
                      <w:highlight w:val="none"/>
                    </w:rPr>
                  </w:pPr>
                  <w:r>
                    <w:rPr>
                      <w:rFonts w:hint="eastAsia"/>
                      <w:sz w:val="18"/>
                      <w:szCs w:val="18"/>
                      <w:highlight w:val="none"/>
                    </w:rPr>
                    <w:t>0.0007</w:t>
                  </w:r>
                </w:p>
              </w:tc>
              <w:tc>
                <w:tcPr>
                  <w:tcW w:w="239" w:type="pct"/>
                  <w:vAlign w:val="center"/>
                </w:tcPr>
                <w:p>
                  <w:pPr>
                    <w:widowControl/>
                    <w:jc w:val="center"/>
                    <w:textAlignment w:val="center"/>
                    <w:rPr>
                      <w:sz w:val="18"/>
                      <w:szCs w:val="18"/>
                      <w:highlight w:val="none"/>
                    </w:rPr>
                  </w:pPr>
                  <w:r>
                    <w:rPr>
                      <w:rFonts w:hint="eastAsia"/>
                      <w:sz w:val="18"/>
                      <w:szCs w:val="18"/>
                      <w:highlight w:val="none"/>
                    </w:rPr>
                    <w:t>0.005</w:t>
                  </w:r>
                </w:p>
              </w:tc>
              <w:tc>
                <w:tcPr>
                  <w:tcW w:w="207" w:type="pct"/>
                  <w:vAlign w:val="center"/>
                </w:tcPr>
                <w:p>
                  <w:pPr>
                    <w:adjustRightInd w:val="0"/>
                    <w:snapToGrid w:val="0"/>
                    <w:spacing w:line="240" w:lineRule="exact"/>
                    <w:jc w:val="center"/>
                    <w:rPr>
                      <w:sz w:val="18"/>
                      <w:szCs w:val="18"/>
                      <w:highlight w:val="none"/>
                    </w:rPr>
                  </w:pPr>
                </w:p>
              </w:tc>
              <w:tc>
                <w:tcPr>
                  <w:tcW w:w="207" w:type="pct"/>
                  <w:vAlign w:val="center"/>
                </w:tcPr>
                <w:p>
                  <w:pPr>
                    <w:adjustRightInd w:val="0"/>
                    <w:snapToGrid w:val="0"/>
                    <w:spacing w:line="240" w:lineRule="exact"/>
                    <w:jc w:val="center"/>
                    <w:rPr>
                      <w:sz w:val="18"/>
                      <w:szCs w:val="18"/>
                      <w:highlight w:val="none"/>
                    </w:rPr>
                  </w:pPr>
                </w:p>
              </w:tc>
              <w:tc>
                <w:tcPr>
                  <w:tcW w:w="207" w:type="pct"/>
                  <w:vAlign w:val="center"/>
                </w:tcPr>
                <w:p>
                  <w:pPr>
                    <w:adjustRightInd w:val="0"/>
                    <w:snapToGrid w:val="0"/>
                    <w:spacing w:line="240" w:lineRule="exact"/>
                    <w:jc w:val="center"/>
                    <w:rPr>
                      <w:sz w:val="18"/>
                      <w:szCs w:val="18"/>
                      <w:highlight w:val="none"/>
                    </w:rPr>
                  </w:pPr>
                </w:p>
              </w:tc>
              <w:tc>
                <w:tcPr>
                  <w:tcW w:w="208" w:type="pct"/>
                  <w:vAlign w:val="center"/>
                </w:tcPr>
                <w:p>
                  <w:pPr>
                    <w:adjustRightInd w:val="0"/>
                    <w:snapToGrid w:val="0"/>
                    <w:spacing w:line="240" w:lineRule="exact"/>
                    <w:jc w:val="center"/>
                    <w:rPr>
                      <w:sz w:val="18"/>
                      <w:szCs w:val="18"/>
                      <w:highlight w:val="none"/>
                    </w:rPr>
                  </w:pPr>
                </w:p>
              </w:tc>
              <w:tc>
                <w:tcPr>
                  <w:tcW w:w="134" w:type="pct"/>
                  <w:vAlign w:val="center"/>
                </w:tcPr>
                <w:p>
                  <w:pPr>
                    <w:adjustRightInd w:val="0"/>
                    <w:snapToGrid w:val="0"/>
                    <w:spacing w:line="240" w:lineRule="exact"/>
                    <w:jc w:val="center"/>
                    <w:rPr>
                      <w:sz w:val="18"/>
                      <w:szCs w:val="18"/>
                      <w:highlight w:val="none"/>
                    </w:rPr>
                  </w:pPr>
                </w:p>
              </w:tc>
              <w:tc>
                <w:tcPr>
                  <w:tcW w:w="357" w:type="pct"/>
                  <w:vAlign w:val="center"/>
                </w:tcPr>
                <w:p>
                  <w:pPr>
                    <w:adjustRightInd w:val="0"/>
                    <w:snapToGrid w:val="0"/>
                    <w:spacing w:line="240" w:lineRule="exact"/>
                    <w:jc w:val="center"/>
                    <w:rPr>
                      <w:sz w:val="18"/>
                      <w:szCs w:val="18"/>
                      <w:highlight w:val="none"/>
                    </w:rPr>
                  </w:pPr>
                </w:p>
              </w:tc>
              <w:tc>
                <w:tcPr>
                  <w:tcW w:w="328" w:type="pct"/>
                  <w:vAlign w:val="center"/>
                </w:tcPr>
                <w:p>
                  <w:pPr>
                    <w:widowControl/>
                    <w:jc w:val="center"/>
                    <w:textAlignment w:val="center"/>
                    <w:rPr>
                      <w:bCs/>
                      <w:sz w:val="18"/>
                      <w:szCs w:val="18"/>
                      <w:highlight w:val="none"/>
                    </w:rPr>
                  </w:pPr>
                  <w:r>
                    <w:rPr>
                      <w:rFonts w:hint="eastAsia"/>
                      <w:bCs/>
                      <w:sz w:val="18"/>
                      <w:szCs w:val="18"/>
                      <w:highlight w:val="none"/>
                    </w:rPr>
                    <w:t>0.06</w:t>
                  </w:r>
                </w:p>
              </w:tc>
              <w:tc>
                <w:tcPr>
                  <w:tcW w:w="249" w:type="pct"/>
                  <w:vAlign w:val="center"/>
                </w:tcPr>
                <w:p>
                  <w:pPr>
                    <w:widowControl/>
                    <w:jc w:val="center"/>
                    <w:textAlignment w:val="center"/>
                    <w:rPr>
                      <w:sz w:val="18"/>
                      <w:szCs w:val="18"/>
                      <w:highlight w:val="none"/>
                    </w:rPr>
                  </w:pPr>
                </w:p>
              </w:tc>
            </w:tr>
          </w:tbl>
          <w:p>
            <w:pPr>
              <w:pStyle w:val="101"/>
              <w:numPr>
                <w:ilvl w:val="5"/>
                <w:numId w:val="0"/>
              </w:numPr>
              <w:rPr>
                <w:sz w:val="21"/>
                <w:szCs w:val="21"/>
                <w:highlight w:val="none"/>
              </w:rPr>
            </w:pPr>
          </w:p>
          <w:p>
            <w:pPr>
              <w:pStyle w:val="101"/>
              <w:numPr>
                <w:ilvl w:val="5"/>
                <w:numId w:val="0"/>
              </w:numPr>
              <w:rPr>
                <w:sz w:val="21"/>
                <w:szCs w:val="21"/>
                <w:highlight w:val="none"/>
              </w:rPr>
            </w:pPr>
          </w:p>
          <w:p>
            <w:pPr>
              <w:pStyle w:val="101"/>
              <w:numPr>
                <w:ilvl w:val="5"/>
                <w:numId w:val="0"/>
              </w:numPr>
              <w:rPr>
                <w:sz w:val="21"/>
                <w:szCs w:val="21"/>
                <w:highlight w:val="none"/>
              </w:rPr>
            </w:pPr>
          </w:p>
          <w:p>
            <w:pPr>
              <w:pStyle w:val="101"/>
              <w:numPr>
                <w:ilvl w:val="5"/>
                <w:numId w:val="0"/>
              </w:numPr>
              <w:rPr>
                <w:sz w:val="21"/>
                <w:szCs w:val="21"/>
                <w:highlight w:val="none"/>
              </w:rPr>
            </w:pPr>
          </w:p>
          <w:p>
            <w:pPr>
              <w:pStyle w:val="101"/>
              <w:numPr>
                <w:ilvl w:val="5"/>
                <w:numId w:val="0"/>
              </w:numPr>
              <w:rPr>
                <w:sz w:val="21"/>
                <w:szCs w:val="21"/>
                <w:highlight w:val="none"/>
              </w:rPr>
            </w:pPr>
          </w:p>
          <w:p>
            <w:pPr>
              <w:pStyle w:val="101"/>
              <w:numPr>
                <w:ilvl w:val="5"/>
                <w:numId w:val="0"/>
              </w:numPr>
              <w:rPr>
                <w:sz w:val="21"/>
                <w:szCs w:val="21"/>
                <w:highlight w:val="none"/>
              </w:rPr>
            </w:pPr>
          </w:p>
          <w:p>
            <w:pPr>
              <w:pStyle w:val="101"/>
              <w:numPr>
                <w:ilvl w:val="5"/>
                <w:numId w:val="0"/>
              </w:numPr>
              <w:rPr>
                <w:sz w:val="21"/>
                <w:szCs w:val="21"/>
                <w:highlight w:val="none"/>
              </w:rPr>
            </w:pPr>
            <w:r>
              <w:rPr>
                <w:sz w:val="21"/>
                <w:szCs w:val="21"/>
                <w:highlight w:val="none"/>
              </w:rPr>
              <w:t>表4-</w:t>
            </w:r>
            <w:r>
              <w:rPr>
                <w:rFonts w:hint="eastAsia"/>
                <w:sz w:val="21"/>
                <w:szCs w:val="21"/>
                <w:highlight w:val="none"/>
              </w:rPr>
              <w:t xml:space="preserve">2 </w:t>
            </w:r>
            <w:r>
              <w:rPr>
                <w:sz w:val="21"/>
                <w:szCs w:val="21"/>
                <w:highlight w:val="none"/>
              </w:rPr>
              <w:t xml:space="preserve"> 废气污染源非正常排放汇总表</w:t>
            </w:r>
          </w:p>
          <w:tbl>
            <w:tblPr>
              <w:tblStyle w:val="3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53"/>
              <w:gridCol w:w="733"/>
              <w:gridCol w:w="501"/>
              <w:gridCol w:w="750"/>
              <w:gridCol w:w="733"/>
              <w:gridCol w:w="820"/>
              <w:gridCol w:w="731"/>
              <w:gridCol w:w="1001"/>
              <w:gridCol w:w="857"/>
              <w:gridCol w:w="442"/>
              <w:gridCol w:w="481"/>
              <w:gridCol w:w="453"/>
              <w:gridCol w:w="681"/>
              <w:gridCol w:w="1605"/>
              <w:gridCol w:w="27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pPr>
                    <w:pStyle w:val="102"/>
                    <w:rPr>
                      <w:highlight w:val="none"/>
                    </w:rPr>
                  </w:pPr>
                  <w:r>
                    <w:rPr>
                      <w:highlight w:val="none"/>
                    </w:rPr>
                    <w:t>产排污环节</w:t>
                  </w:r>
                </w:p>
              </w:tc>
              <w:tc>
                <w:tcPr>
                  <w:tcW w:w="653" w:type="dxa"/>
                  <w:vMerge w:val="restart"/>
                  <w:tcBorders>
                    <w:tl2br w:val="nil"/>
                    <w:tr2bl w:val="nil"/>
                  </w:tcBorders>
                  <w:vAlign w:val="center"/>
                </w:tcPr>
                <w:p>
                  <w:pPr>
                    <w:pStyle w:val="102"/>
                    <w:rPr>
                      <w:highlight w:val="none"/>
                    </w:rPr>
                  </w:pPr>
                  <w:r>
                    <w:rPr>
                      <w:highlight w:val="none"/>
                    </w:rPr>
                    <w:t>排放形式</w:t>
                  </w:r>
                </w:p>
              </w:tc>
              <w:tc>
                <w:tcPr>
                  <w:tcW w:w="733" w:type="dxa"/>
                  <w:vMerge w:val="restart"/>
                  <w:tcBorders>
                    <w:tl2br w:val="nil"/>
                    <w:tr2bl w:val="nil"/>
                  </w:tcBorders>
                  <w:vAlign w:val="center"/>
                </w:tcPr>
                <w:p>
                  <w:pPr>
                    <w:pStyle w:val="102"/>
                    <w:rPr>
                      <w:highlight w:val="none"/>
                    </w:rPr>
                  </w:pPr>
                  <w:r>
                    <w:rPr>
                      <w:highlight w:val="none"/>
                    </w:rPr>
                    <w:t>污染物种类</w:t>
                  </w:r>
                </w:p>
              </w:tc>
              <w:tc>
                <w:tcPr>
                  <w:tcW w:w="1984" w:type="dxa"/>
                  <w:gridSpan w:val="3"/>
                  <w:tcBorders>
                    <w:tl2br w:val="nil"/>
                    <w:tr2bl w:val="nil"/>
                  </w:tcBorders>
                  <w:vAlign w:val="center"/>
                </w:tcPr>
                <w:p>
                  <w:pPr>
                    <w:pStyle w:val="102"/>
                    <w:rPr>
                      <w:highlight w:val="none"/>
                    </w:rPr>
                  </w:pPr>
                  <w:r>
                    <w:rPr>
                      <w:highlight w:val="none"/>
                    </w:rPr>
                    <w:t>非正常排放频次</w:t>
                  </w:r>
                </w:p>
              </w:tc>
              <w:tc>
                <w:tcPr>
                  <w:tcW w:w="2552" w:type="dxa"/>
                  <w:gridSpan w:val="3"/>
                  <w:tcBorders>
                    <w:tl2br w:val="nil"/>
                    <w:tr2bl w:val="nil"/>
                  </w:tcBorders>
                  <w:vAlign w:val="center"/>
                </w:tcPr>
                <w:p>
                  <w:pPr>
                    <w:pStyle w:val="102"/>
                    <w:rPr>
                      <w:highlight w:val="none"/>
                    </w:rPr>
                  </w:pPr>
                  <w:r>
                    <w:rPr>
                      <w:highlight w:val="none"/>
                    </w:rPr>
                    <w:t>污染物排放量和浓度</w:t>
                  </w:r>
                </w:p>
              </w:tc>
              <w:tc>
                <w:tcPr>
                  <w:tcW w:w="4519" w:type="dxa"/>
                  <w:gridSpan w:val="6"/>
                  <w:tcBorders>
                    <w:tl2br w:val="nil"/>
                    <w:tr2bl w:val="nil"/>
                  </w:tcBorders>
                  <w:vAlign w:val="center"/>
                </w:tcPr>
                <w:p>
                  <w:pPr>
                    <w:pStyle w:val="102"/>
                    <w:rPr>
                      <w:highlight w:val="none"/>
                    </w:rPr>
                  </w:pPr>
                  <w:r>
                    <w:rPr>
                      <w:highlight w:val="none"/>
                    </w:rPr>
                    <w:t>排放口基本情况</w:t>
                  </w:r>
                </w:p>
              </w:tc>
              <w:tc>
                <w:tcPr>
                  <w:tcW w:w="2721" w:type="dxa"/>
                  <w:vMerge w:val="restart"/>
                  <w:tcBorders>
                    <w:tl2br w:val="nil"/>
                    <w:tr2bl w:val="nil"/>
                  </w:tcBorders>
                  <w:vAlign w:val="center"/>
                </w:tcPr>
                <w:p>
                  <w:pPr>
                    <w:pStyle w:val="102"/>
                    <w:rPr>
                      <w:highlight w:val="none"/>
                    </w:rPr>
                  </w:pPr>
                  <w:r>
                    <w:rPr>
                      <w:highlight w:val="none"/>
                    </w:rPr>
                    <w:t>控制措施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pPr>
                    <w:pStyle w:val="102"/>
                    <w:rPr>
                      <w:highlight w:val="none"/>
                    </w:rPr>
                  </w:pPr>
                </w:p>
              </w:tc>
              <w:tc>
                <w:tcPr>
                  <w:tcW w:w="653" w:type="dxa"/>
                  <w:vMerge w:val="continue"/>
                  <w:tcBorders>
                    <w:tl2br w:val="nil"/>
                    <w:tr2bl w:val="nil"/>
                  </w:tcBorders>
                  <w:vAlign w:val="center"/>
                </w:tcPr>
                <w:p>
                  <w:pPr>
                    <w:pStyle w:val="102"/>
                    <w:rPr>
                      <w:highlight w:val="none"/>
                    </w:rPr>
                  </w:pPr>
                </w:p>
              </w:tc>
              <w:tc>
                <w:tcPr>
                  <w:tcW w:w="733" w:type="dxa"/>
                  <w:vMerge w:val="continue"/>
                  <w:tcBorders>
                    <w:tl2br w:val="nil"/>
                    <w:tr2bl w:val="nil"/>
                  </w:tcBorders>
                  <w:vAlign w:val="center"/>
                </w:tcPr>
                <w:p>
                  <w:pPr>
                    <w:pStyle w:val="102"/>
                    <w:rPr>
                      <w:highlight w:val="none"/>
                    </w:rPr>
                  </w:pPr>
                </w:p>
              </w:tc>
              <w:tc>
                <w:tcPr>
                  <w:tcW w:w="501" w:type="dxa"/>
                  <w:tcBorders>
                    <w:tl2br w:val="nil"/>
                    <w:tr2bl w:val="nil"/>
                  </w:tcBorders>
                  <w:vAlign w:val="center"/>
                </w:tcPr>
                <w:p>
                  <w:pPr>
                    <w:pStyle w:val="102"/>
                    <w:rPr>
                      <w:highlight w:val="none"/>
                    </w:rPr>
                  </w:pPr>
                  <w:r>
                    <w:rPr>
                      <w:highlight w:val="none"/>
                    </w:rPr>
                    <w:t>次数</w:t>
                  </w:r>
                </w:p>
              </w:tc>
              <w:tc>
                <w:tcPr>
                  <w:tcW w:w="750" w:type="dxa"/>
                  <w:tcBorders>
                    <w:tl2br w:val="nil"/>
                    <w:tr2bl w:val="nil"/>
                  </w:tcBorders>
                  <w:vAlign w:val="center"/>
                </w:tcPr>
                <w:p>
                  <w:pPr>
                    <w:pStyle w:val="102"/>
                    <w:rPr>
                      <w:highlight w:val="none"/>
                    </w:rPr>
                  </w:pPr>
                  <w:r>
                    <w:rPr>
                      <w:highlight w:val="none"/>
                    </w:rPr>
                    <w:t>单次持续时间</w:t>
                  </w:r>
                </w:p>
              </w:tc>
              <w:tc>
                <w:tcPr>
                  <w:tcW w:w="733" w:type="dxa"/>
                  <w:tcBorders>
                    <w:tl2br w:val="nil"/>
                    <w:tr2bl w:val="nil"/>
                  </w:tcBorders>
                  <w:vAlign w:val="center"/>
                </w:tcPr>
                <w:p>
                  <w:pPr>
                    <w:pStyle w:val="102"/>
                    <w:rPr>
                      <w:highlight w:val="none"/>
                    </w:rPr>
                  </w:pPr>
                  <w:r>
                    <w:rPr>
                      <w:highlight w:val="none"/>
                    </w:rPr>
                    <w:t>总排放时间</w:t>
                  </w:r>
                </w:p>
              </w:tc>
              <w:tc>
                <w:tcPr>
                  <w:tcW w:w="820" w:type="dxa"/>
                  <w:vMerge w:val="restart"/>
                  <w:tcBorders>
                    <w:tl2br w:val="nil"/>
                    <w:tr2bl w:val="nil"/>
                  </w:tcBorders>
                  <w:vAlign w:val="center"/>
                </w:tcPr>
                <w:p>
                  <w:pPr>
                    <w:pStyle w:val="102"/>
                    <w:rPr>
                      <w:highlight w:val="none"/>
                    </w:rPr>
                  </w:pPr>
                  <w:r>
                    <w:rPr>
                      <w:highlight w:val="none"/>
                    </w:rPr>
                    <w:t>排放浓度</w:t>
                  </w:r>
                </w:p>
                <w:p>
                  <w:pPr>
                    <w:pStyle w:val="102"/>
                    <w:rPr>
                      <w:highlight w:val="none"/>
                    </w:rPr>
                  </w:pPr>
                  <w:r>
                    <w:rPr>
                      <w:highlight w:val="none"/>
                    </w:rPr>
                    <w:t>mg/</w:t>
                  </w:r>
                  <w:r>
                    <w:rPr>
                      <w:rFonts w:eastAsia="Times New Roman"/>
                      <w:spacing w:val="-5"/>
                      <w:szCs w:val="21"/>
                      <w:highlight w:val="none"/>
                    </w:rPr>
                    <w:t>m</w:t>
                  </w:r>
                  <w:r>
                    <w:rPr>
                      <w:rFonts w:eastAsia="Times New Roman"/>
                      <w:spacing w:val="-5"/>
                      <w:position w:val="6"/>
                      <w:sz w:val="13"/>
                      <w:szCs w:val="13"/>
                      <w:highlight w:val="none"/>
                    </w:rPr>
                    <w:t>3</w:t>
                  </w:r>
                </w:p>
              </w:tc>
              <w:tc>
                <w:tcPr>
                  <w:tcW w:w="1732" w:type="dxa"/>
                  <w:gridSpan w:val="2"/>
                  <w:tcBorders>
                    <w:tl2br w:val="nil"/>
                    <w:tr2bl w:val="nil"/>
                  </w:tcBorders>
                  <w:vAlign w:val="center"/>
                </w:tcPr>
                <w:p>
                  <w:pPr>
                    <w:pStyle w:val="102"/>
                    <w:rPr>
                      <w:highlight w:val="none"/>
                    </w:rPr>
                  </w:pPr>
                  <w:r>
                    <w:rPr>
                      <w:highlight w:val="none"/>
                    </w:rPr>
                    <w:t>排放量</w:t>
                  </w:r>
                </w:p>
              </w:tc>
              <w:tc>
                <w:tcPr>
                  <w:tcW w:w="857" w:type="dxa"/>
                  <w:vMerge w:val="restart"/>
                  <w:tcBorders>
                    <w:tl2br w:val="nil"/>
                    <w:tr2bl w:val="nil"/>
                  </w:tcBorders>
                  <w:vAlign w:val="center"/>
                </w:tcPr>
                <w:p>
                  <w:pPr>
                    <w:pStyle w:val="102"/>
                    <w:rPr>
                      <w:highlight w:val="none"/>
                    </w:rPr>
                  </w:pPr>
                  <w:r>
                    <w:rPr>
                      <w:highlight w:val="none"/>
                    </w:rPr>
                    <w:t>编号及名称</w:t>
                  </w:r>
                </w:p>
              </w:tc>
              <w:tc>
                <w:tcPr>
                  <w:tcW w:w="442" w:type="dxa"/>
                  <w:tcBorders>
                    <w:tl2br w:val="nil"/>
                    <w:tr2bl w:val="nil"/>
                  </w:tcBorders>
                  <w:vAlign w:val="center"/>
                </w:tcPr>
                <w:p>
                  <w:pPr>
                    <w:pStyle w:val="102"/>
                    <w:rPr>
                      <w:highlight w:val="none"/>
                    </w:rPr>
                  </w:pPr>
                  <w:r>
                    <w:rPr>
                      <w:highlight w:val="none"/>
                    </w:rPr>
                    <w:t>高度</w:t>
                  </w:r>
                </w:p>
              </w:tc>
              <w:tc>
                <w:tcPr>
                  <w:tcW w:w="481" w:type="dxa"/>
                  <w:tcBorders>
                    <w:tl2br w:val="nil"/>
                    <w:tr2bl w:val="nil"/>
                  </w:tcBorders>
                  <w:vAlign w:val="center"/>
                </w:tcPr>
                <w:p>
                  <w:pPr>
                    <w:pStyle w:val="102"/>
                    <w:rPr>
                      <w:highlight w:val="none"/>
                    </w:rPr>
                  </w:pPr>
                  <w:r>
                    <w:rPr>
                      <w:highlight w:val="none"/>
                    </w:rPr>
                    <w:t>内径</w:t>
                  </w:r>
                </w:p>
              </w:tc>
              <w:tc>
                <w:tcPr>
                  <w:tcW w:w="453" w:type="dxa"/>
                  <w:tcBorders>
                    <w:tl2br w:val="nil"/>
                    <w:tr2bl w:val="nil"/>
                  </w:tcBorders>
                  <w:vAlign w:val="center"/>
                </w:tcPr>
                <w:p>
                  <w:pPr>
                    <w:pStyle w:val="102"/>
                    <w:rPr>
                      <w:highlight w:val="none"/>
                    </w:rPr>
                  </w:pPr>
                  <w:r>
                    <w:rPr>
                      <w:highlight w:val="none"/>
                    </w:rPr>
                    <w:t>温度</w:t>
                  </w:r>
                </w:p>
              </w:tc>
              <w:tc>
                <w:tcPr>
                  <w:tcW w:w="681" w:type="dxa"/>
                  <w:vMerge w:val="restart"/>
                  <w:tcBorders>
                    <w:tl2br w:val="nil"/>
                    <w:tr2bl w:val="nil"/>
                  </w:tcBorders>
                  <w:vAlign w:val="center"/>
                </w:tcPr>
                <w:p>
                  <w:pPr>
                    <w:pStyle w:val="102"/>
                    <w:rPr>
                      <w:highlight w:val="none"/>
                    </w:rPr>
                  </w:pPr>
                  <w:r>
                    <w:rPr>
                      <w:highlight w:val="none"/>
                    </w:rPr>
                    <w:t>类型</w:t>
                  </w:r>
                </w:p>
              </w:tc>
              <w:tc>
                <w:tcPr>
                  <w:tcW w:w="1605" w:type="dxa"/>
                  <w:vMerge w:val="restart"/>
                  <w:tcBorders>
                    <w:tl2br w:val="nil"/>
                    <w:tr2bl w:val="nil"/>
                  </w:tcBorders>
                  <w:vAlign w:val="center"/>
                </w:tcPr>
                <w:p>
                  <w:pPr>
                    <w:pStyle w:val="102"/>
                    <w:rPr>
                      <w:highlight w:val="none"/>
                    </w:rPr>
                  </w:pPr>
                  <w:r>
                    <w:rPr>
                      <w:highlight w:val="none"/>
                    </w:rPr>
                    <w:t>地理坐标</w:t>
                  </w:r>
                </w:p>
              </w:tc>
              <w:tc>
                <w:tcPr>
                  <w:tcW w:w="2721"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pPr>
                    <w:pStyle w:val="102"/>
                    <w:rPr>
                      <w:highlight w:val="none"/>
                    </w:rPr>
                  </w:pPr>
                </w:p>
              </w:tc>
              <w:tc>
                <w:tcPr>
                  <w:tcW w:w="653" w:type="dxa"/>
                  <w:vMerge w:val="continue"/>
                  <w:tcBorders>
                    <w:tl2br w:val="nil"/>
                    <w:tr2bl w:val="nil"/>
                  </w:tcBorders>
                  <w:vAlign w:val="center"/>
                </w:tcPr>
                <w:p>
                  <w:pPr>
                    <w:pStyle w:val="102"/>
                    <w:rPr>
                      <w:highlight w:val="none"/>
                    </w:rPr>
                  </w:pPr>
                </w:p>
              </w:tc>
              <w:tc>
                <w:tcPr>
                  <w:tcW w:w="733" w:type="dxa"/>
                  <w:vMerge w:val="continue"/>
                  <w:tcBorders>
                    <w:tl2br w:val="nil"/>
                    <w:tr2bl w:val="nil"/>
                  </w:tcBorders>
                  <w:vAlign w:val="center"/>
                </w:tcPr>
                <w:p>
                  <w:pPr>
                    <w:pStyle w:val="102"/>
                    <w:rPr>
                      <w:highlight w:val="none"/>
                    </w:rPr>
                  </w:pPr>
                </w:p>
              </w:tc>
              <w:tc>
                <w:tcPr>
                  <w:tcW w:w="501" w:type="dxa"/>
                  <w:tcBorders>
                    <w:tl2br w:val="nil"/>
                    <w:tr2bl w:val="nil"/>
                  </w:tcBorders>
                  <w:vAlign w:val="center"/>
                </w:tcPr>
                <w:p>
                  <w:pPr>
                    <w:pStyle w:val="102"/>
                    <w:rPr>
                      <w:highlight w:val="none"/>
                    </w:rPr>
                  </w:pPr>
                  <w:r>
                    <w:rPr>
                      <w:highlight w:val="none"/>
                    </w:rPr>
                    <w:t>次/年</w:t>
                  </w:r>
                </w:p>
              </w:tc>
              <w:tc>
                <w:tcPr>
                  <w:tcW w:w="750" w:type="dxa"/>
                  <w:tcBorders>
                    <w:tl2br w:val="nil"/>
                    <w:tr2bl w:val="nil"/>
                  </w:tcBorders>
                  <w:vAlign w:val="center"/>
                </w:tcPr>
                <w:p>
                  <w:pPr>
                    <w:pStyle w:val="102"/>
                    <w:rPr>
                      <w:highlight w:val="none"/>
                    </w:rPr>
                  </w:pPr>
                  <w:r>
                    <w:rPr>
                      <w:highlight w:val="none"/>
                    </w:rPr>
                    <w:t>小时</w:t>
                  </w:r>
                </w:p>
              </w:tc>
              <w:tc>
                <w:tcPr>
                  <w:tcW w:w="733" w:type="dxa"/>
                  <w:tcBorders>
                    <w:tl2br w:val="nil"/>
                    <w:tr2bl w:val="nil"/>
                  </w:tcBorders>
                  <w:vAlign w:val="center"/>
                </w:tcPr>
                <w:p>
                  <w:pPr>
                    <w:pStyle w:val="102"/>
                    <w:rPr>
                      <w:highlight w:val="none"/>
                    </w:rPr>
                  </w:pPr>
                  <w:r>
                    <w:rPr>
                      <w:highlight w:val="none"/>
                    </w:rPr>
                    <w:t>小时</w:t>
                  </w:r>
                </w:p>
              </w:tc>
              <w:tc>
                <w:tcPr>
                  <w:tcW w:w="820" w:type="dxa"/>
                  <w:vMerge w:val="continue"/>
                  <w:tcBorders>
                    <w:tl2br w:val="nil"/>
                    <w:tr2bl w:val="nil"/>
                  </w:tcBorders>
                  <w:vAlign w:val="center"/>
                </w:tcPr>
                <w:p>
                  <w:pPr>
                    <w:pStyle w:val="102"/>
                    <w:rPr>
                      <w:highlight w:val="none"/>
                    </w:rPr>
                  </w:pPr>
                </w:p>
              </w:tc>
              <w:tc>
                <w:tcPr>
                  <w:tcW w:w="731" w:type="dxa"/>
                  <w:tcBorders>
                    <w:tl2br w:val="nil"/>
                    <w:tr2bl w:val="nil"/>
                  </w:tcBorders>
                  <w:vAlign w:val="center"/>
                </w:tcPr>
                <w:p>
                  <w:pPr>
                    <w:pStyle w:val="102"/>
                    <w:rPr>
                      <w:highlight w:val="none"/>
                    </w:rPr>
                  </w:pPr>
                  <w:r>
                    <w:rPr>
                      <w:highlight w:val="none"/>
                    </w:rPr>
                    <w:t>kg/h</w:t>
                  </w:r>
                </w:p>
              </w:tc>
              <w:tc>
                <w:tcPr>
                  <w:tcW w:w="1001" w:type="dxa"/>
                  <w:tcBorders>
                    <w:tl2br w:val="nil"/>
                    <w:tr2bl w:val="nil"/>
                  </w:tcBorders>
                  <w:vAlign w:val="center"/>
                </w:tcPr>
                <w:p>
                  <w:pPr>
                    <w:pStyle w:val="102"/>
                    <w:rPr>
                      <w:highlight w:val="none"/>
                    </w:rPr>
                  </w:pPr>
                  <w:r>
                    <w:rPr>
                      <w:rFonts w:hint="eastAsia"/>
                      <w:highlight w:val="none"/>
                    </w:rPr>
                    <w:t>kg</w:t>
                  </w:r>
                  <w:r>
                    <w:rPr>
                      <w:highlight w:val="none"/>
                    </w:rPr>
                    <w:t>/a</w:t>
                  </w:r>
                </w:p>
              </w:tc>
              <w:tc>
                <w:tcPr>
                  <w:tcW w:w="857" w:type="dxa"/>
                  <w:vMerge w:val="continue"/>
                  <w:tcBorders>
                    <w:tl2br w:val="nil"/>
                    <w:tr2bl w:val="nil"/>
                  </w:tcBorders>
                  <w:vAlign w:val="center"/>
                </w:tcPr>
                <w:p>
                  <w:pPr>
                    <w:pStyle w:val="102"/>
                    <w:rPr>
                      <w:highlight w:val="none"/>
                    </w:rPr>
                  </w:pPr>
                </w:p>
              </w:tc>
              <w:tc>
                <w:tcPr>
                  <w:tcW w:w="442" w:type="dxa"/>
                  <w:tcBorders>
                    <w:tl2br w:val="nil"/>
                    <w:tr2bl w:val="nil"/>
                  </w:tcBorders>
                  <w:vAlign w:val="center"/>
                </w:tcPr>
                <w:p>
                  <w:pPr>
                    <w:pStyle w:val="102"/>
                    <w:rPr>
                      <w:highlight w:val="none"/>
                    </w:rPr>
                  </w:pPr>
                  <w:r>
                    <w:rPr>
                      <w:highlight w:val="none"/>
                    </w:rPr>
                    <w:t>m</w:t>
                  </w:r>
                </w:p>
              </w:tc>
              <w:tc>
                <w:tcPr>
                  <w:tcW w:w="481" w:type="dxa"/>
                  <w:tcBorders>
                    <w:tl2br w:val="nil"/>
                    <w:tr2bl w:val="nil"/>
                  </w:tcBorders>
                  <w:vAlign w:val="center"/>
                </w:tcPr>
                <w:p>
                  <w:pPr>
                    <w:pStyle w:val="102"/>
                    <w:rPr>
                      <w:highlight w:val="none"/>
                    </w:rPr>
                  </w:pPr>
                  <w:r>
                    <w:rPr>
                      <w:highlight w:val="none"/>
                    </w:rPr>
                    <w:t>m</w:t>
                  </w:r>
                </w:p>
              </w:tc>
              <w:tc>
                <w:tcPr>
                  <w:tcW w:w="453" w:type="dxa"/>
                  <w:tcBorders>
                    <w:tl2br w:val="nil"/>
                    <w:tr2bl w:val="nil"/>
                  </w:tcBorders>
                  <w:vAlign w:val="center"/>
                </w:tcPr>
                <w:p>
                  <w:pPr>
                    <w:pStyle w:val="102"/>
                    <w:rPr>
                      <w:highlight w:val="none"/>
                    </w:rPr>
                  </w:pPr>
                  <w:r>
                    <w:rPr>
                      <w:highlight w:val="none"/>
                    </w:rPr>
                    <w:t>℃</w:t>
                  </w:r>
                </w:p>
              </w:tc>
              <w:tc>
                <w:tcPr>
                  <w:tcW w:w="681" w:type="dxa"/>
                  <w:vMerge w:val="continue"/>
                  <w:tcBorders>
                    <w:tl2br w:val="nil"/>
                    <w:tr2bl w:val="nil"/>
                  </w:tcBorders>
                  <w:vAlign w:val="center"/>
                </w:tcPr>
                <w:p>
                  <w:pPr>
                    <w:pStyle w:val="102"/>
                    <w:rPr>
                      <w:highlight w:val="none"/>
                    </w:rPr>
                  </w:pPr>
                </w:p>
              </w:tc>
              <w:tc>
                <w:tcPr>
                  <w:tcW w:w="1605" w:type="dxa"/>
                  <w:vMerge w:val="continue"/>
                  <w:tcBorders>
                    <w:tl2br w:val="nil"/>
                    <w:tr2bl w:val="nil"/>
                  </w:tcBorders>
                  <w:vAlign w:val="center"/>
                </w:tcPr>
                <w:p>
                  <w:pPr>
                    <w:pStyle w:val="102"/>
                    <w:rPr>
                      <w:highlight w:val="none"/>
                    </w:rPr>
                  </w:pPr>
                </w:p>
              </w:tc>
              <w:tc>
                <w:tcPr>
                  <w:tcW w:w="2721"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jc w:val="center"/>
              </w:trPr>
              <w:tc>
                <w:tcPr>
                  <w:tcW w:w="750" w:type="dxa"/>
                  <w:vMerge w:val="restart"/>
                  <w:tcBorders>
                    <w:tl2br w:val="nil"/>
                    <w:tr2bl w:val="nil"/>
                  </w:tcBorders>
                  <w:vAlign w:val="center"/>
                </w:tcPr>
                <w:p>
                  <w:pPr>
                    <w:pStyle w:val="102"/>
                    <w:rPr>
                      <w:highlight w:val="none"/>
                    </w:rPr>
                  </w:pPr>
                  <w:r>
                    <w:rPr>
                      <w:rFonts w:hint="eastAsia"/>
                      <w:highlight w:val="none"/>
                    </w:rPr>
                    <w:t>锅炉烟气</w:t>
                  </w:r>
                </w:p>
              </w:tc>
              <w:tc>
                <w:tcPr>
                  <w:tcW w:w="653" w:type="dxa"/>
                  <w:vMerge w:val="restart"/>
                  <w:tcBorders>
                    <w:tl2br w:val="nil"/>
                    <w:tr2bl w:val="nil"/>
                  </w:tcBorders>
                  <w:vAlign w:val="center"/>
                </w:tcPr>
                <w:p>
                  <w:pPr>
                    <w:pStyle w:val="102"/>
                    <w:rPr>
                      <w:highlight w:val="none"/>
                    </w:rPr>
                  </w:pPr>
                  <w:r>
                    <w:rPr>
                      <w:rFonts w:hint="eastAsia"/>
                      <w:highlight w:val="none"/>
                    </w:rPr>
                    <w:t>有组织</w:t>
                  </w:r>
                </w:p>
              </w:tc>
              <w:tc>
                <w:tcPr>
                  <w:tcW w:w="733" w:type="dxa"/>
                  <w:tcBorders>
                    <w:tl2br w:val="nil"/>
                    <w:tr2bl w:val="nil"/>
                  </w:tcBorders>
                  <w:vAlign w:val="center"/>
                </w:tcPr>
                <w:p>
                  <w:pPr>
                    <w:pStyle w:val="102"/>
                    <w:rPr>
                      <w:highlight w:val="none"/>
                    </w:rPr>
                  </w:pPr>
                  <w:r>
                    <w:rPr>
                      <w:rFonts w:hint="eastAsia"/>
                      <w:highlight w:val="none"/>
                    </w:rPr>
                    <w:t>颗粒物</w:t>
                  </w:r>
                </w:p>
              </w:tc>
              <w:tc>
                <w:tcPr>
                  <w:tcW w:w="501" w:type="dxa"/>
                  <w:tcBorders>
                    <w:tl2br w:val="nil"/>
                    <w:tr2bl w:val="nil"/>
                  </w:tcBorders>
                  <w:vAlign w:val="center"/>
                </w:tcPr>
                <w:p>
                  <w:pPr>
                    <w:pStyle w:val="102"/>
                    <w:rPr>
                      <w:highlight w:val="none"/>
                    </w:rPr>
                  </w:pPr>
                  <w:r>
                    <w:rPr>
                      <w:rFonts w:hint="eastAsia"/>
                      <w:highlight w:val="none"/>
                    </w:rPr>
                    <w:t>2</w:t>
                  </w:r>
                </w:p>
              </w:tc>
              <w:tc>
                <w:tcPr>
                  <w:tcW w:w="750" w:type="dxa"/>
                  <w:tcBorders>
                    <w:tl2br w:val="nil"/>
                    <w:tr2bl w:val="nil"/>
                  </w:tcBorders>
                  <w:vAlign w:val="center"/>
                </w:tcPr>
                <w:p>
                  <w:pPr>
                    <w:pStyle w:val="102"/>
                    <w:rPr>
                      <w:highlight w:val="none"/>
                    </w:rPr>
                  </w:pPr>
                  <w:r>
                    <w:rPr>
                      <w:rFonts w:hint="eastAsia"/>
                      <w:highlight w:val="none"/>
                    </w:rPr>
                    <w:t>1</w:t>
                  </w:r>
                </w:p>
              </w:tc>
              <w:tc>
                <w:tcPr>
                  <w:tcW w:w="733" w:type="dxa"/>
                  <w:tcBorders>
                    <w:tl2br w:val="nil"/>
                    <w:tr2bl w:val="nil"/>
                  </w:tcBorders>
                  <w:vAlign w:val="center"/>
                </w:tcPr>
                <w:p>
                  <w:pPr>
                    <w:pStyle w:val="102"/>
                    <w:rPr>
                      <w:highlight w:val="none"/>
                    </w:rPr>
                  </w:pPr>
                  <w:r>
                    <w:rPr>
                      <w:rFonts w:hint="eastAsia"/>
                      <w:highlight w:val="none"/>
                    </w:rPr>
                    <w:t>2</w:t>
                  </w:r>
                </w:p>
              </w:tc>
              <w:tc>
                <w:tcPr>
                  <w:tcW w:w="820"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55.94</w:t>
                  </w:r>
                </w:p>
              </w:tc>
              <w:tc>
                <w:tcPr>
                  <w:tcW w:w="731" w:type="dxa"/>
                  <w:tcBorders>
                    <w:tl2br w:val="nil"/>
                    <w:tr2bl w:val="nil"/>
                  </w:tcBorders>
                  <w:vAlign w:val="center"/>
                </w:tcPr>
                <w:p>
                  <w:pPr>
                    <w:pStyle w:val="102"/>
                    <w:rPr>
                      <w:rFonts w:hint="eastAsia" w:eastAsia="宋体"/>
                      <w:highlight w:val="none"/>
                      <w:lang w:eastAsia="zh-CN"/>
                    </w:rPr>
                  </w:pPr>
                  <w:r>
                    <w:rPr>
                      <w:rFonts w:hint="eastAsia"/>
                      <w:highlight w:val="none"/>
                    </w:rPr>
                    <w:t>0.16</w:t>
                  </w:r>
                  <w:r>
                    <w:rPr>
                      <w:rFonts w:hint="eastAsia"/>
                      <w:highlight w:val="none"/>
                      <w:lang w:val="en-US" w:eastAsia="zh-CN"/>
                    </w:rPr>
                    <w:t>8</w:t>
                  </w:r>
                </w:p>
              </w:tc>
              <w:tc>
                <w:tcPr>
                  <w:tcW w:w="1001" w:type="dxa"/>
                  <w:tcBorders>
                    <w:tl2br w:val="nil"/>
                    <w:tr2bl w:val="nil"/>
                  </w:tcBorders>
                  <w:vAlign w:val="center"/>
                </w:tcPr>
                <w:p>
                  <w:pPr>
                    <w:pStyle w:val="102"/>
                    <w:rPr>
                      <w:rFonts w:hint="eastAsia" w:eastAsia="宋体"/>
                      <w:highlight w:val="none"/>
                      <w:lang w:eastAsia="zh-CN"/>
                    </w:rPr>
                  </w:pPr>
                  <w:r>
                    <w:rPr>
                      <w:rFonts w:hint="eastAsia"/>
                      <w:highlight w:val="none"/>
                    </w:rPr>
                    <w:t>0.33</w:t>
                  </w:r>
                  <w:r>
                    <w:rPr>
                      <w:rFonts w:hint="eastAsia"/>
                      <w:highlight w:val="none"/>
                      <w:lang w:val="en-US" w:eastAsia="zh-CN"/>
                    </w:rPr>
                    <w:t>6</w:t>
                  </w:r>
                </w:p>
              </w:tc>
              <w:tc>
                <w:tcPr>
                  <w:tcW w:w="857" w:type="dxa"/>
                  <w:vMerge w:val="restart"/>
                  <w:tcBorders>
                    <w:tl2br w:val="nil"/>
                    <w:tr2bl w:val="nil"/>
                  </w:tcBorders>
                  <w:vAlign w:val="center"/>
                </w:tcPr>
                <w:p>
                  <w:pPr>
                    <w:pStyle w:val="102"/>
                    <w:rPr>
                      <w:highlight w:val="none"/>
                    </w:rPr>
                  </w:pPr>
                  <w:r>
                    <w:rPr>
                      <w:rFonts w:hint="eastAsia"/>
                      <w:highlight w:val="none"/>
                    </w:rPr>
                    <w:t>DA001</w:t>
                  </w:r>
                </w:p>
              </w:tc>
              <w:tc>
                <w:tcPr>
                  <w:tcW w:w="442" w:type="dxa"/>
                  <w:vMerge w:val="restart"/>
                  <w:tcBorders>
                    <w:tl2br w:val="nil"/>
                    <w:tr2bl w:val="nil"/>
                  </w:tcBorders>
                  <w:vAlign w:val="center"/>
                </w:tcPr>
                <w:p>
                  <w:pPr>
                    <w:pStyle w:val="102"/>
                    <w:rPr>
                      <w:highlight w:val="none"/>
                    </w:rPr>
                  </w:pPr>
                  <w:r>
                    <w:rPr>
                      <w:rFonts w:hint="eastAsia"/>
                      <w:highlight w:val="none"/>
                    </w:rPr>
                    <w:t>30</w:t>
                  </w:r>
                </w:p>
              </w:tc>
              <w:tc>
                <w:tcPr>
                  <w:tcW w:w="481" w:type="dxa"/>
                  <w:vMerge w:val="restart"/>
                  <w:tcBorders>
                    <w:tl2br w:val="nil"/>
                    <w:tr2bl w:val="nil"/>
                  </w:tcBorders>
                  <w:vAlign w:val="center"/>
                </w:tcPr>
                <w:p>
                  <w:pPr>
                    <w:pStyle w:val="102"/>
                    <w:rPr>
                      <w:highlight w:val="none"/>
                    </w:rPr>
                  </w:pPr>
                  <w:r>
                    <w:rPr>
                      <w:rFonts w:hint="eastAsia"/>
                      <w:highlight w:val="none"/>
                    </w:rPr>
                    <w:t>0.5</w:t>
                  </w:r>
                </w:p>
              </w:tc>
              <w:tc>
                <w:tcPr>
                  <w:tcW w:w="453" w:type="dxa"/>
                  <w:vMerge w:val="restart"/>
                  <w:tcBorders>
                    <w:tl2br w:val="nil"/>
                    <w:tr2bl w:val="nil"/>
                  </w:tcBorders>
                  <w:vAlign w:val="center"/>
                </w:tcPr>
                <w:p>
                  <w:pPr>
                    <w:pStyle w:val="102"/>
                    <w:rPr>
                      <w:highlight w:val="none"/>
                    </w:rPr>
                  </w:pPr>
                  <w:r>
                    <w:rPr>
                      <w:rFonts w:hint="eastAsia"/>
                      <w:highlight w:val="none"/>
                    </w:rPr>
                    <w:t>60</w:t>
                  </w:r>
                </w:p>
              </w:tc>
              <w:tc>
                <w:tcPr>
                  <w:tcW w:w="681" w:type="dxa"/>
                  <w:vMerge w:val="restart"/>
                  <w:tcBorders>
                    <w:tl2br w:val="nil"/>
                    <w:tr2bl w:val="nil"/>
                  </w:tcBorders>
                  <w:vAlign w:val="center"/>
                </w:tcPr>
                <w:p>
                  <w:pPr>
                    <w:pStyle w:val="102"/>
                    <w:rPr>
                      <w:highlight w:val="none"/>
                    </w:rPr>
                  </w:pPr>
                  <w:r>
                    <w:rPr>
                      <w:rFonts w:hint="eastAsia"/>
                      <w:highlight w:val="none"/>
                    </w:rPr>
                    <w:t>一般排放口</w:t>
                  </w:r>
                </w:p>
              </w:tc>
              <w:tc>
                <w:tcPr>
                  <w:tcW w:w="1605" w:type="dxa"/>
                  <w:vMerge w:val="restart"/>
                  <w:tcBorders>
                    <w:tl2br w:val="nil"/>
                    <w:tr2bl w:val="nil"/>
                  </w:tcBorders>
                  <w:vAlign w:val="center"/>
                </w:tcPr>
                <w:p>
                  <w:pPr>
                    <w:pStyle w:val="102"/>
                    <w:rPr>
                      <w:highlight w:val="none"/>
                    </w:rPr>
                  </w:pPr>
                  <w:r>
                    <w:rPr>
                      <w:szCs w:val="21"/>
                      <w:highlight w:val="none"/>
                    </w:rPr>
                    <w:t>E115°56′9.731″,</w:t>
                  </w:r>
                  <w:r>
                    <w:rPr>
                      <w:rFonts w:hint="eastAsia"/>
                      <w:szCs w:val="21"/>
                      <w:highlight w:val="none"/>
                    </w:rPr>
                    <w:t>N</w:t>
                  </w:r>
                  <w:r>
                    <w:rPr>
                      <w:szCs w:val="21"/>
                      <w:highlight w:val="none"/>
                    </w:rPr>
                    <w:t>29°20′49.808″</w:t>
                  </w:r>
                </w:p>
              </w:tc>
              <w:tc>
                <w:tcPr>
                  <w:tcW w:w="2721" w:type="dxa"/>
                  <w:vMerge w:val="restart"/>
                  <w:tcBorders>
                    <w:tl2br w:val="nil"/>
                    <w:tr2bl w:val="nil"/>
                  </w:tcBorders>
                  <w:vAlign w:val="center"/>
                </w:tcPr>
                <w:p>
                  <w:pPr>
                    <w:pStyle w:val="102"/>
                    <w:rPr>
                      <w:highlight w:val="none"/>
                    </w:rPr>
                  </w:pPr>
                  <w:r>
                    <w:rPr>
                      <w:sz w:val="18"/>
                      <w:szCs w:val="18"/>
                      <w:highlight w:val="none"/>
                    </w:rPr>
                    <w:t>企业应加强管理，一旦废气治理系统故障，立即停产检修，防止事故废气排放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pPr>
                    <w:pStyle w:val="102"/>
                    <w:rPr>
                      <w:highlight w:val="none"/>
                    </w:rPr>
                  </w:pPr>
                </w:p>
              </w:tc>
              <w:tc>
                <w:tcPr>
                  <w:tcW w:w="653" w:type="dxa"/>
                  <w:vMerge w:val="continue"/>
                  <w:tcBorders>
                    <w:tl2br w:val="nil"/>
                    <w:tr2bl w:val="nil"/>
                  </w:tcBorders>
                  <w:vAlign w:val="center"/>
                </w:tcPr>
                <w:p>
                  <w:pPr>
                    <w:pStyle w:val="102"/>
                    <w:rPr>
                      <w:highlight w:val="none"/>
                    </w:rPr>
                  </w:pPr>
                </w:p>
              </w:tc>
              <w:tc>
                <w:tcPr>
                  <w:tcW w:w="733" w:type="dxa"/>
                  <w:tcBorders>
                    <w:tl2br w:val="nil"/>
                    <w:tr2bl w:val="nil"/>
                  </w:tcBorders>
                  <w:vAlign w:val="center"/>
                </w:tcPr>
                <w:p>
                  <w:pPr>
                    <w:pStyle w:val="102"/>
                    <w:rPr>
                      <w:highlight w:val="none"/>
                    </w:rPr>
                  </w:pPr>
                  <w:r>
                    <w:rPr>
                      <w:rFonts w:hint="eastAsia"/>
                      <w:highlight w:val="none"/>
                    </w:rPr>
                    <w:t>氮氧化物</w:t>
                  </w:r>
                </w:p>
              </w:tc>
              <w:tc>
                <w:tcPr>
                  <w:tcW w:w="501" w:type="dxa"/>
                  <w:tcBorders>
                    <w:tl2br w:val="nil"/>
                    <w:tr2bl w:val="nil"/>
                  </w:tcBorders>
                  <w:vAlign w:val="center"/>
                </w:tcPr>
                <w:p>
                  <w:pPr>
                    <w:pStyle w:val="102"/>
                    <w:rPr>
                      <w:highlight w:val="none"/>
                    </w:rPr>
                  </w:pPr>
                  <w:r>
                    <w:rPr>
                      <w:rFonts w:hint="eastAsia"/>
                      <w:highlight w:val="none"/>
                    </w:rPr>
                    <w:t>2</w:t>
                  </w:r>
                </w:p>
              </w:tc>
              <w:tc>
                <w:tcPr>
                  <w:tcW w:w="750" w:type="dxa"/>
                  <w:tcBorders>
                    <w:tl2br w:val="nil"/>
                    <w:tr2bl w:val="nil"/>
                  </w:tcBorders>
                  <w:vAlign w:val="center"/>
                </w:tcPr>
                <w:p>
                  <w:pPr>
                    <w:pStyle w:val="102"/>
                    <w:rPr>
                      <w:highlight w:val="none"/>
                    </w:rPr>
                  </w:pPr>
                  <w:r>
                    <w:rPr>
                      <w:rFonts w:hint="eastAsia"/>
                      <w:highlight w:val="none"/>
                    </w:rPr>
                    <w:t>1</w:t>
                  </w:r>
                </w:p>
              </w:tc>
              <w:tc>
                <w:tcPr>
                  <w:tcW w:w="733" w:type="dxa"/>
                  <w:tcBorders>
                    <w:tl2br w:val="nil"/>
                    <w:tr2bl w:val="nil"/>
                  </w:tcBorders>
                  <w:vAlign w:val="center"/>
                </w:tcPr>
                <w:p>
                  <w:pPr>
                    <w:pStyle w:val="102"/>
                    <w:rPr>
                      <w:highlight w:val="none"/>
                    </w:rPr>
                  </w:pPr>
                  <w:r>
                    <w:rPr>
                      <w:rFonts w:hint="eastAsia"/>
                      <w:highlight w:val="none"/>
                    </w:rPr>
                    <w:t>2</w:t>
                  </w:r>
                </w:p>
              </w:tc>
              <w:tc>
                <w:tcPr>
                  <w:tcW w:w="820"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114.11</w:t>
                  </w:r>
                </w:p>
              </w:tc>
              <w:tc>
                <w:tcPr>
                  <w:tcW w:w="731" w:type="dxa"/>
                  <w:tcBorders>
                    <w:tl2br w:val="nil"/>
                    <w:tr2bl w:val="nil"/>
                  </w:tcBorders>
                  <w:vAlign w:val="center"/>
                </w:tcPr>
                <w:p>
                  <w:pPr>
                    <w:pStyle w:val="102"/>
                    <w:rPr>
                      <w:highlight w:val="none"/>
                    </w:rPr>
                  </w:pPr>
                  <w:r>
                    <w:rPr>
                      <w:rFonts w:hint="eastAsia"/>
                      <w:highlight w:val="none"/>
                    </w:rPr>
                    <w:t>0.057</w:t>
                  </w:r>
                </w:p>
              </w:tc>
              <w:tc>
                <w:tcPr>
                  <w:tcW w:w="1001" w:type="dxa"/>
                  <w:tcBorders>
                    <w:tl2br w:val="nil"/>
                    <w:tr2bl w:val="nil"/>
                  </w:tcBorders>
                  <w:vAlign w:val="center"/>
                </w:tcPr>
                <w:p>
                  <w:pPr>
                    <w:pStyle w:val="102"/>
                    <w:rPr>
                      <w:highlight w:val="none"/>
                    </w:rPr>
                  </w:pPr>
                  <w:r>
                    <w:rPr>
                      <w:rFonts w:hint="eastAsia"/>
                      <w:highlight w:val="none"/>
                    </w:rPr>
                    <w:t>0.114</w:t>
                  </w:r>
                </w:p>
              </w:tc>
              <w:tc>
                <w:tcPr>
                  <w:tcW w:w="857" w:type="dxa"/>
                  <w:vMerge w:val="continue"/>
                  <w:tcBorders>
                    <w:tl2br w:val="nil"/>
                    <w:tr2bl w:val="nil"/>
                  </w:tcBorders>
                  <w:vAlign w:val="center"/>
                </w:tcPr>
                <w:p>
                  <w:pPr>
                    <w:pStyle w:val="102"/>
                    <w:rPr>
                      <w:highlight w:val="none"/>
                    </w:rPr>
                  </w:pPr>
                </w:p>
              </w:tc>
              <w:tc>
                <w:tcPr>
                  <w:tcW w:w="442" w:type="dxa"/>
                  <w:vMerge w:val="continue"/>
                  <w:tcBorders>
                    <w:tl2br w:val="nil"/>
                    <w:tr2bl w:val="nil"/>
                  </w:tcBorders>
                  <w:vAlign w:val="center"/>
                </w:tcPr>
                <w:p>
                  <w:pPr>
                    <w:pStyle w:val="102"/>
                    <w:rPr>
                      <w:highlight w:val="none"/>
                    </w:rPr>
                  </w:pPr>
                </w:p>
              </w:tc>
              <w:tc>
                <w:tcPr>
                  <w:tcW w:w="481" w:type="dxa"/>
                  <w:vMerge w:val="continue"/>
                  <w:tcBorders>
                    <w:tl2br w:val="nil"/>
                    <w:tr2bl w:val="nil"/>
                  </w:tcBorders>
                  <w:vAlign w:val="center"/>
                </w:tcPr>
                <w:p>
                  <w:pPr>
                    <w:pStyle w:val="102"/>
                    <w:rPr>
                      <w:highlight w:val="none"/>
                    </w:rPr>
                  </w:pPr>
                </w:p>
              </w:tc>
              <w:tc>
                <w:tcPr>
                  <w:tcW w:w="453" w:type="dxa"/>
                  <w:vMerge w:val="continue"/>
                  <w:tcBorders>
                    <w:tl2br w:val="nil"/>
                    <w:tr2bl w:val="nil"/>
                  </w:tcBorders>
                  <w:vAlign w:val="center"/>
                </w:tcPr>
                <w:p>
                  <w:pPr>
                    <w:pStyle w:val="102"/>
                    <w:rPr>
                      <w:highlight w:val="none"/>
                    </w:rPr>
                  </w:pPr>
                </w:p>
              </w:tc>
              <w:tc>
                <w:tcPr>
                  <w:tcW w:w="681" w:type="dxa"/>
                  <w:vMerge w:val="continue"/>
                  <w:tcBorders>
                    <w:tl2br w:val="nil"/>
                    <w:tr2bl w:val="nil"/>
                  </w:tcBorders>
                  <w:vAlign w:val="center"/>
                </w:tcPr>
                <w:p>
                  <w:pPr>
                    <w:pStyle w:val="102"/>
                    <w:rPr>
                      <w:highlight w:val="none"/>
                    </w:rPr>
                  </w:pPr>
                </w:p>
              </w:tc>
              <w:tc>
                <w:tcPr>
                  <w:tcW w:w="1605" w:type="dxa"/>
                  <w:vMerge w:val="continue"/>
                  <w:tcBorders>
                    <w:tl2br w:val="nil"/>
                    <w:tr2bl w:val="nil"/>
                  </w:tcBorders>
                  <w:vAlign w:val="center"/>
                </w:tcPr>
                <w:p>
                  <w:pPr>
                    <w:pStyle w:val="102"/>
                    <w:rPr>
                      <w:highlight w:val="none"/>
                    </w:rPr>
                  </w:pPr>
                </w:p>
              </w:tc>
              <w:tc>
                <w:tcPr>
                  <w:tcW w:w="2721"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pPr>
                    <w:pStyle w:val="102"/>
                    <w:rPr>
                      <w:highlight w:val="none"/>
                    </w:rPr>
                  </w:pPr>
                </w:p>
              </w:tc>
              <w:tc>
                <w:tcPr>
                  <w:tcW w:w="653" w:type="dxa"/>
                  <w:vMerge w:val="continue"/>
                  <w:tcBorders>
                    <w:tl2br w:val="nil"/>
                    <w:tr2bl w:val="nil"/>
                  </w:tcBorders>
                  <w:vAlign w:val="center"/>
                </w:tcPr>
                <w:p>
                  <w:pPr>
                    <w:pStyle w:val="102"/>
                    <w:rPr>
                      <w:highlight w:val="none"/>
                    </w:rPr>
                  </w:pPr>
                </w:p>
              </w:tc>
              <w:tc>
                <w:tcPr>
                  <w:tcW w:w="733" w:type="dxa"/>
                  <w:tcBorders>
                    <w:tl2br w:val="nil"/>
                    <w:tr2bl w:val="nil"/>
                  </w:tcBorders>
                  <w:vAlign w:val="center"/>
                </w:tcPr>
                <w:p>
                  <w:pPr>
                    <w:pStyle w:val="102"/>
                    <w:rPr>
                      <w:highlight w:val="none"/>
                    </w:rPr>
                  </w:pPr>
                  <w:r>
                    <w:rPr>
                      <w:rFonts w:hint="eastAsia"/>
                      <w:highlight w:val="none"/>
                    </w:rPr>
                    <w:t>二氧化硫</w:t>
                  </w:r>
                </w:p>
              </w:tc>
              <w:tc>
                <w:tcPr>
                  <w:tcW w:w="501" w:type="dxa"/>
                  <w:tcBorders>
                    <w:tl2br w:val="nil"/>
                    <w:tr2bl w:val="nil"/>
                  </w:tcBorders>
                  <w:vAlign w:val="center"/>
                </w:tcPr>
                <w:p>
                  <w:pPr>
                    <w:pStyle w:val="102"/>
                    <w:rPr>
                      <w:highlight w:val="none"/>
                    </w:rPr>
                  </w:pPr>
                  <w:r>
                    <w:rPr>
                      <w:rFonts w:hint="eastAsia"/>
                      <w:highlight w:val="none"/>
                    </w:rPr>
                    <w:t>2</w:t>
                  </w:r>
                </w:p>
              </w:tc>
              <w:tc>
                <w:tcPr>
                  <w:tcW w:w="750" w:type="dxa"/>
                  <w:tcBorders>
                    <w:tl2br w:val="nil"/>
                    <w:tr2bl w:val="nil"/>
                  </w:tcBorders>
                  <w:vAlign w:val="center"/>
                </w:tcPr>
                <w:p>
                  <w:pPr>
                    <w:pStyle w:val="102"/>
                    <w:rPr>
                      <w:highlight w:val="none"/>
                    </w:rPr>
                  </w:pPr>
                  <w:r>
                    <w:rPr>
                      <w:rFonts w:hint="eastAsia"/>
                      <w:highlight w:val="none"/>
                    </w:rPr>
                    <w:t>1</w:t>
                  </w:r>
                </w:p>
              </w:tc>
              <w:tc>
                <w:tcPr>
                  <w:tcW w:w="733" w:type="dxa"/>
                  <w:tcBorders>
                    <w:tl2br w:val="nil"/>
                    <w:tr2bl w:val="nil"/>
                  </w:tcBorders>
                  <w:vAlign w:val="center"/>
                </w:tcPr>
                <w:p>
                  <w:pPr>
                    <w:pStyle w:val="102"/>
                    <w:rPr>
                      <w:highlight w:val="none"/>
                    </w:rPr>
                  </w:pPr>
                  <w:r>
                    <w:rPr>
                      <w:rFonts w:hint="eastAsia"/>
                      <w:highlight w:val="none"/>
                    </w:rPr>
                    <w:t>2</w:t>
                  </w:r>
                </w:p>
              </w:tc>
              <w:tc>
                <w:tcPr>
                  <w:tcW w:w="820" w:type="dxa"/>
                  <w:tcBorders>
                    <w:tl2br w:val="nil"/>
                    <w:tr2bl w:val="nil"/>
                  </w:tcBorders>
                  <w:vAlign w:val="center"/>
                </w:tcPr>
                <w:p>
                  <w:pPr>
                    <w:pStyle w:val="102"/>
                    <w:rPr>
                      <w:rFonts w:hint="default" w:eastAsia="宋体"/>
                      <w:highlight w:val="none"/>
                      <w:lang w:val="en-US" w:eastAsia="zh-CN"/>
                    </w:rPr>
                  </w:pPr>
                  <w:r>
                    <w:rPr>
                      <w:rFonts w:hint="eastAsia"/>
                      <w:highlight w:val="none"/>
                      <w:lang w:val="en-US" w:eastAsia="zh-CN"/>
                    </w:rPr>
                    <w:t>19.02</w:t>
                  </w:r>
                </w:p>
              </w:tc>
              <w:tc>
                <w:tcPr>
                  <w:tcW w:w="731" w:type="dxa"/>
                  <w:tcBorders>
                    <w:tl2br w:val="nil"/>
                    <w:tr2bl w:val="nil"/>
                  </w:tcBorders>
                  <w:vAlign w:val="center"/>
                </w:tcPr>
                <w:p>
                  <w:pPr>
                    <w:pStyle w:val="102"/>
                    <w:rPr>
                      <w:rFonts w:hint="eastAsia" w:eastAsia="宋体"/>
                      <w:highlight w:val="none"/>
                      <w:lang w:eastAsia="zh-CN"/>
                    </w:rPr>
                  </w:pPr>
                  <w:r>
                    <w:rPr>
                      <w:rFonts w:hint="eastAsia"/>
                      <w:highlight w:val="none"/>
                    </w:rPr>
                    <w:t>0.34</w:t>
                  </w:r>
                  <w:r>
                    <w:rPr>
                      <w:rFonts w:hint="eastAsia"/>
                      <w:highlight w:val="none"/>
                      <w:lang w:val="en-US" w:eastAsia="zh-CN"/>
                    </w:rPr>
                    <w:t>2</w:t>
                  </w:r>
                </w:p>
              </w:tc>
              <w:tc>
                <w:tcPr>
                  <w:tcW w:w="1001" w:type="dxa"/>
                  <w:tcBorders>
                    <w:tl2br w:val="nil"/>
                    <w:tr2bl w:val="nil"/>
                  </w:tcBorders>
                  <w:vAlign w:val="center"/>
                </w:tcPr>
                <w:p>
                  <w:pPr>
                    <w:pStyle w:val="102"/>
                    <w:rPr>
                      <w:rFonts w:hint="eastAsia" w:eastAsia="宋体"/>
                      <w:highlight w:val="none"/>
                      <w:lang w:eastAsia="zh-CN"/>
                    </w:rPr>
                  </w:pPr>
                  <w:r>
                    <w:rPr>
                      <w:rFonts w:hint="eastAsia"/>
                      <w:highlight w:val="none"/>
                    </w:rPr>
                    <w:t>0.68</w:t>
                  </w:r>
                  <w:r>
                    <w:rPr>
                      <w:rFonts w:hint="eastAsia"/>
                      <w:highlight w:val="none"/>
                      <w:lang w:val="en-US" w:eastAsia="zh-CN"/>
                    </w:rPr>
                    <w:t>4</w:t>
                  </w:r>
                </w:p>
              </w:tc>
              <w:tc>
                <w:tcPr>
                  <w:tcW w:w="857" w:type="dxa"/>
                  <w:vMerge w:val="continue"/>
                  <w:tcBorders>
                    <w:tl2br w:val="nil"/>
                    <w:tr2bl w:val="nil"/>
                  </w:tcBorders>
                  <w:vAlign w:val="center"/>
                </w:tcPr>
                <w:p>
                  <w:pPr>
                    <w:pStyle w:val="102"/>
                    <w:rPr>
                      <w:highlight w:val="none"/>
                    </w:rPr>
                  </w:pPr>
                </w:p>
              </w:tc>
              <w:tc>
                <w:tcPr>
                  <w:tcW w:w="442" w:type="dxa"/>
                  <w:vMerge w:val="continue"/>
                  <w:tcBorders>
                    <w:tl2br w:val="nil"/>
                    <w:tr2bl w:val="nil"/>
                  </w:tcBorders>
                  <w:vAlign w:val="center"/>
                </w:tcPr>
                <w:p>
                  <w:pPr>
                    <w:pStyle w:val="102"/>
                    <w:rPr>
                      <w:highlight w:val="none"/>
                    </w:rPr>
                  </w:pPr>
                </w:p>
              </w:tc>
              <w:tc>
                <w:tcPr>
                  <w:tcW w:w="481" w:type="dxa"/>
                  <w:vMerge w:val="continue"/>
                  <w:tcBorders>
                    <w:tl2br w:val="nil"/>
                    <w:tr2bl w:val="nil"/>
                  </w:tcBorders>
                  <w:vAlign w:val="center"/>
                </w:tcPr>
                <w:p>
                  <w:pPr>
                    <w:pStyle w:val="102"/>
                    <w:rPr>
                      <w:highlight w:val="none"/>
                    </w:rPr>
                  </w:pPr>
                </w:p>
              </w:tc>
              <w:tc>
                <w:tcPr>
                  <w:tcW w:w="453" w:type="dxa"/>
                  <w:vMerge w:val="continue"/>
                  <w:tcBorders>
                    <w:tl2br w:val="nil"/>
                    <w:tr2bl w:val="nil"/>
                  </w:tcBorders>
                  <w:vAlign w:val="center"/>
                </w:tcPr>
                <w:p>
                  <w:pPr>
                    <w:pStyle w:val="102"/>
                    <w:rPr>
                      <w:highlight w:val="none"/>
                    </w:rPr>
                  </w:pPr>
                </w:p>
              </w:tc>
              <w:tc>
                <w:tcPr>
                  <w:tcW w:w="681" w:type="dxa"/>
                  <w:vMerge w:val="continue"/>
                  <w:tcBorders>
                    <w:tl2br w:val="nil"/>
                    <w:tr2bl w:val="nil"/>
                  </w:tcBorders>
                  <w:vAlign w:val="center"/>
                </w:tcPr>
                <w:p>
                  <w:pPr>
                    <w:pStyle w:val="102"/>
                    <w:rPr>
                      <w:highlight w:val="none"/>
                    </w:rPr>
                  </w:pPr>
                </w:p>
              </w:tc>
              <w:tc>
                <w:tcPr>
                  <w:tcW w:w="1605" w:type="dxa"/>
                  <w:vMerge w:val="continue"/>
                  <w:tcBorders>
                    <w:tl2br w:val="nil"/>
                    <w:tr2bl w:val="nil"/>
                  </w:tcBorders>
                  <w:vAlign w:val="center"/>
                </w:tcPr>
                <w:p>
                  <w:pPr>
                    <w:pStyle w:val="102"/>
                    <w:rPr>
                      <w:highlight w:val="none"/>
                    </w:rPr>
                  </w:pPr>
                </w:p>
              </w:tc>
              <w:tc>
                <w:tcPr>
                  <w:tcW w:w="2721" w:type="dxa"/>
                  <w:vMerge w:val="continue"/>
                  <w:tcBorders>
                    <w:tl2br w:val="nil"/>
                    <w:tr2bl w:val="nil"/>
                  </w:tcBorders>
                  <w:vAlign w:val="center"/>
                </w:tcPr>
                <w:p>
                  <w:pPr>
                    <w:pStyle w:val="102"/>
                    <w:rPr>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pPr>
                    <w:pStyle w:val="102"/>
                    <w:rPr>
                      <w:highlight w:val="none"/>
                    </w:rPr>
                  </w:pPr>
                </w:p>
              </w:tc>
              <w:tc>
                <w:tcPr>
                  <w:tcW w:w="653" w:type="dxa"/>
                  <w:vMerge w:val="continue"/>
                  <w:tcBorders>
                    <w:tl2br w:val="nil"/>
                    <w:tr2bl w:val="nil"/>
                  </w:tcBorders>
                  <w:vAlign w:val="center"/>
                </w:tcPr>
                <w:p>
                  <w:pPr>
                    <w:pStyle w:val="102"/>
                    <w:rPr>
                      <w:highlight w:val="none"/>
                    </w:rPr>
                  </w:pPr>
                </w:p>
              </w:tc>
              <w:tc>
                <w:tcPr>
                  <w:tcW w:w="733" w:type="dxa"/>
                  <w:tcBorders>
                    <w:tl2br w:val="nil"/>
                    <w:tr2bl w:val="nil"/>
                  </w:tcBorders>
                  <w:vAlign w:val="center"/>
                </w:tcPr>
                <w:p>
                  <w:pPr>
                    <w:pStyle w:val="102"/>
                    <w:rPr>
                      <w:highlight w:val="none"/>
                    </w:rPr>
                  </w:pPr>
                  <w:r>
                    <w:rPr>
                      <w:rFonts w:hint="eastAsia"/>
                      <w:highlight w:val="none"/>
                    </w:rPr>
                    <w:t>汞及其化合物</w:t>
                  </w:r>
                </w:p>
              </w:tc>
              <w:tc>
                <w:tcPr>
                  <w:tcW w:w="501" w:type="dxa"/>
                  <w:tcBorders>
                    <w:tl2br w:val="nil"/>
                    <w:tr2bl w:val="nil"/>
                  </w:tcBorders>
                  <w:vAlign w:val="center"/>
                </w:tcPr>
                <w:p>
                  <w:pPr>
                    <w:pStyle w:val="102"/>
                    <w:rPr>
                      <w:highlight w:val="none"/>
                    </w:rPr>
                  </w:pPr>
                  <w:r>
                    <w:rPr>
                      <w:rFonts w:hint="eastAsia"/>
                      <w:highlight w:val="none"/>
                    </w:rPr>
                    <w:t>2</w:t>
                  </w:r>
                </w:p>
              </w:tc>
              <w:tc>
                <w:tcPr>
                  <w:tcW w:w="750" w:type="dxa"/>
                  <w:tcBorders>
                    <w:tl2br w:val="nil"/>
                    <w:tr2bl w:val="nil"/>
                  </w:tcBorders>
                  <w:vAlign w:val="center"/>
                </w:tcPr>
                <w:p>
                  <w:pPr>
                    <w:pStyle w:val="102"/>
                    <w:rPr>
                      <w:highlight w:val="none"/>
                    </w:rPr>
                  </w:pPr>
                  <w:r>
                    <w:rPr>
                      <w:rFonts w:hint="eastAsia"/>
                      <w:highlight w:val="none"/>
                    </w:rPr>
                    <w:t>1</w:t>
                  </w:r>
                </w:p>
              </w:tc>
              <w:tc>
                <w:tcPr>
                  <w:tcW w:w="733" w:type="dxa"/>
                  <w:tcBorders>
                    <w:tl2br w:val="nil"/>
                    <w:tr2bl w:val="nil"/>
                  </w:tcBorders>
                  <w:vAlign w:val="center"/>
                </w:tcPr>
                <w:p>
                  <w:pPr>
                    <w:pStyle w:val="102"/>
                    <w:rPr>
                      <w:highlight w:val="none"/>
                    </w:rPr>
                  </w:pPr>
                  <w:r>
                    <w:rPr>
                      <w:rFonts w:hint="eastAsia"/>
                      <w:highlight w:val="none"/>
                    </w:rPr>
                    <w:t>2</w:t>
                  </w:r>
                </w:p>
              </w:tc>
              <w:tc>
                <w:tcPr>
                  <w:tcW w:w="820" w:type="dxa"/>
                  <w:tcBorders>
                    <w:tl2br w:val="nil"/>
                    <w:tr2bl w:val="nil"/>
                  </w:tcBorders>
                  <w:vAlign w:val="center"/>
                </w:tcPr>
                <w:p>
                  <w:pPr>
                    <w:pStyle w:val="102"/>
                    <w:rPr>
                      <w:highlight w:val="none"/>
                    </w:rPr>
                  </w:pPr>
                  <w:r>
                    <w:rPr>
                      <w:rFonts w:hint="eastAsia"/>
                      <w:highlight w:val="none"/>
                    </w:rPr>
                    <w:t>＜0.05</w:t>
                  </w:r>
                </w:p>
              </w:tc>
              <w:tc>
                <w:tcPr>
                  <w:tcW w:w="731" w:type="dxa"/>
                  <w:tcBorders>
                    <w:tl2br w:val="nil"/>
                    <w:tr2bl w:val="nil"/>
                  </w:tcBorders>
                  <w:vAlign w:val="center"/>
                </w:tcPr>
                <w:p>
                  <w:pPr>
                    <w:pStyle w:val="102"/>
                    <w:rPr>
                      <w:highlight w:val="none"/>
                    </w:rPr>
                  </w:pPr>
                  <w:r>
                    <w:rPr>
                      <w:rFonts w:hint="eastAsia"/>
                      <w:highlight w:val="none"/>
                    </w:rPr>
                    <w:t>/</w:t>
                  </w:r>
                </w:p>
              </w:tc>
              <w:tc>
                <w:tcPr>
                  <w:tcW w:w="1001" w:type="dxa"/>
                  <w:tcBorders>
                    <w:tl2br w:val="nil"/>
                    <w:tr2bl w:val="nil"/>
                  </w:tcBorders>
                  <w:vAlign w:val="center"/>
                </w:tcPr>
                <w:p>
                  <w:pPr>
                    <w:pStyle w:val="102"/>
                    <w:rPr>
                      <w:highlight w:val="none"/>
                    </w:rPr>
                  </w:pPr>
                  <w:r>
                    <w:rPr>
                      <w:rFonts w:hint="eastAsia"/>
                      <w:highlight w:val="none"/>
                    </w:rPr>
                    <w:t>/</w:t>
                  </w:r>
                </w:p>
              </w:tc>
              <w:tc>
                <w:tcPr>
                  <w:tcW w:w="857" w:type="dxa"/>
                  <w:vMerge w:val="continue"/>
                  <w:tcBorders>
                    <w:tl2br w:val="nil"/>
                    <w:tr2bl w:val="nil"/>
                  </w:tcBorders>
                  <w:vAlign w:val="center"/>
                </w:tcPr>
                <w:p>
                  <w:pPr>
                    <w:pStyle w:val="102"/>
                    <w:rPr>
                      <w:highlight w:val="none"/>
                    </w:rPr>
                  </w:pPr>
                </w:p>
              </w:tc>
              <w:tc>
                <w:tcPr>
                  <w:tcW w:w="442" w:type="dxa"/>
                  <w:vMerge w:val="continue"/>
                  <w:tcBorders>
                    <w:tl2br w:val="nil"/>
                    <w:tr2bl w:val="nil"/>
                  </w:tcBorders>
                  <w:vAlign w:val="center"/>
                </w:tcPr>
                <w:p>
                  <w:pPr>
                    <w:pStyle w:val="102"/>
                    <w:rPr>
                      <w:highlight w:val="none"/>
                    </w:rPr>
                  </w:pPr>
                </w:p>
              </w:tc>
              <w:tc>
                <w:tcPr>
                  <w:tcW w:w="481" w:type="dxa"/>
                  <w:vMerge w:val="continue"/>
                  <w:tcBorders>
                    <w:tl2br w:val="nil"/>
                    <w:tr2bl w:val="nil"/>
                  </w:tcBorders>
                  <w:vAlign w:val="center"/>
                </w:tcPr>
                <w:p>
                  <w:pPr>
                    <w:pStyle w:val="102"/>
                    <w:rPr>
                      <w:highlight w:val="none"/>
                    </w:rPr>
                  </w:pPr>
                </w:p>
              </w:tc>
              <w:tc>
                <w:tcPr>
                  <w:tcW w:w="453" w:type="dxa"/>
                  <w:vMerge w:val="continue"/>
                  <w:tcBorders>
                    <w:tl2br w:val="nil"/>
                    <w:tr2bl w:val="nil"/>
                  </w:tcBorders>
                  <w:vAlign w:val="center"/>
                </w:tcPr>
                <w:p>
                  <w:pPr>
                    <w:pStyle w:val="102"/>
                    <w:rPr>
                      <w:highlight w:val="none"/>
                    </w:rPr>
                  </w:pPr>
                </w:p>
              </w:tc>
              <w:tc>
                <w:tcPr>
                  <w:tcW w:w="681" w:type="dxa"/>
                  <w:vMerge w:val="continue"/>
                  <w:tcBorders>
                    <w:tl2br w:val="nil"/>
                    <w:tr2bl w:val="nil"/>
                  </w:tcBorders>
                  <w:vAlign w:val="center"/>
                </w:tcPr>
                <w:p>
                  <w:pPr>
                    <w:pStyle w:val="102"/>
                    <w:rPr>
                      <w:highlight w:val="none"/>
                    </w:rPr>
                  </w:pPr>
                </w:p>
              </w:tc>
              <w:tc>
                <w:tcPr>
                  <w:tcW w:w="1605" w:type="dxa"/>
                  <w:vMerge w:val="continue"/>
                  <w:tcBorders>
                    <w:tl2br w:val="nil"/>
                    <w:tr2bl w:val="nil"/>
                  </w:tcBorders>
                  <w:vAlign w:val="center"/>
                </w:tcPr>
                <w:p>
                  <w:pPr>
                    <w:pStyle w:val="102"/>
                    <w:rPr>
                      <w:highlight w:val="none"/>
                    </w:rPr>
                  </w:pPr>
                </w:p>
              </w:tc>
              <w:tc>
                <w:tcPr>
                  <w:tcW w:w="2721" w:type="dxa"/>
                  <w:vMerge w:val="continue"/>
                  <w:tcBorders>
                    <w:tl2br w:val="nil"/>
                    <w:tr2bl w:val="nil"/>
                  </w:tcBorders>
                  <w:vAlign w:val="center"/>
                </w:tcPr>
                <w:p>
                  <w:pPr>
                    <w:pStyle w:val="102"/>
                    <w:rPr>
                      <w:highlight w:val="none"/>
                    </w:rPr>
                  </w:pPr>
                </w:p>
              </w:tc>
            </w:tr>
          </w:tbl>
          <w:p>
            <w:pPr>
              <w:pStyle w:val="101"/>
              <w:numPr>
                <w:ilvl w:val="5"/>
                <w:numId w:val="0"/>
              </w:numPr>
              <w:rPr>
                <w:sz w:val="21"/>
                <w:szCs w:val="21"/>
                <w:highlight w:val="none"/>
              </w:rPr>
            </w:pPr>
          </w:p>
          <w:p>
            <w:pPr>
              <w:pStyle w:val="101"/>
              <w:numPr>
                <w:ilvl w:val="5"/>
                <w:numId w:val="0"/>
              </w:numPr>
              <w:rPr>
                <w:sz w:val="21"/>
                <w:szCs w:val="21"/>
                <w:highlight w:val="none"/>
              </w:rPr>
            </w:pPr>
          </w:p>
          <w:p>
            <w:pPr>
              <w:pStyle w:val="101"/>
              <w:numPr>
                <w:ilvl w:val="5"/>
                <w:numId w:val="0"/>
              </w:numPr>
              <w:rPr>
                <w:sz w:val="21"/>
                <w:szCs w:val="21"/>
                <w:highlight w:val="none"/>
              </w:rPr>
            </w:pPr>
          </w:p>
          <w:p>
            <w:pPr>
              <w:spacing w:line="360" w:lineRule="auto"/>
              <w:rPr>
                <w:sz w:val="24"/>
                <w:highlight w:val="none"/>
              </w:rPr>
            </w:pPr>
          </w:p>
        </w:tc>
      </w:tr>
    </w:tbl>
    <w:p>
      <w:pPr>
        <w:rPr>
          <w:highlight w:val="none"/>
        </w:rPr>
        <w:sectPr>
          <w:pgSz w:w="16840" w:h="11907" w:orient="landscape"/>
          <w:pgMar w:top="1417" w:right="1304" w:bottom="1417" w:left="1304" w:header="851" w:footer="851" w:gutter="0"/>
          <w:pgBorders>
            <w:top w:val="none" w:sz="0" w:space="0"/>
            <w:left w:val="none" w:sz="0" w:space="0"/>
            <w:bottom w:val="none" w:sz="0" w:space="0"/>
            <w:right w:val="none" w:sz="0" w:space="0"/>
          </w:pgBorders>
          <w:cols w:space="720" w:num="1"/>
          <w:docGrid w:linePitch="312" w:charSpace="0"/>
        </w:sectPr>
      </w:pPr>
    </w:p>
    <w:tbl>
      <w:tblPr>
        <w:tblStyle w:val="39"/>
        <w:tblW w:w="50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88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7" w:hRule="atLeast"/>
          <w:jc w:val="center"/>
        </w:trPr>
        <w:tc>
          <w:tcPr>
            <w:tcW w:w="288" w:type="pct"/>
            <w:tcMar>
              <w:left w:w="28" w:type="dxa"/>
              <w:right w:w="28" w:type="dxa"/>
            </w:tcMar>
            <w:vAlign w:val="center"/>
          </w:tcPr>
          <w:p>
            <w:pPr>
              <w:jc w:val="center"/>
              <w:rPr>
                <w:b/>
                <w:bCs/>
                <w:highlight w:val="none"/>
              </w:rPr>
            </w:pPr>
            <w:r>
              <w:rPr>
                <w:b/>
                <w:bCs/>
                <w:highlight w:val="none"/>
              </w:rPr>
              <w:t>运</w:t>
            </w:r>
          </w:p>
          <w:p>
            <w:pPr>
              <w:jc w:val="center"/>
              <w:rPr>
                <w:b/>
                <w:bCs/>
                <w:highlight w:val="none"/>
              </w:rPr>
            </w:pPr>
            <w:r>
              <w:rPr>
                <w:b/>
                <w:bCs/>
                <w:highlight w:val="none"/>
              </w:rPr>
              <w:t>营</w:t>
            </w:r>
          </w:p>
          <w:p>
            <w:pPr>
              <w:jc w:val="center"/>
              <w:rPr>
                <w:b/>
                <w:bCs/>
                <w:highlight w:val="none"/>
              </w:rPr>
            </w:pPr>
            <w:r>
              <w:rPr>
                <w:b/>
                <w:bCs/>
                <w:highlight w:val="none"/>
              </w:rPr>
              <w:t>期</w:t>
            </w:r>
          </w:p>
          <w:p>
            <w:pPr>
              <w:jc w:val="center"/>
              <w:rPr>
                <w:b/>
                <w:bCs/>
                <w:highlight w:val="none"/>
              </w:rPr>
            </w:pPr>
            <w:r>
              <w:rPr>
                <w:b/>
                <w:bCs/>
                <w:highlight w:val="none"/>
              </w:rPr>
              <w:t>环</w:t>
            </w:r>
          </w:p>
          <w:p>
            <w:pPr>
              <w:jc w:val="center"/>
              <w:rPr>
                <w:b/>
                <w:bCs/>
                <w:highlight w:val="none"/>
              </w:rPr>
            </w:pPr>
            <w:r>
              <w:rPr>
                <w:b/>
                <w:bCs/>
                <w:highlight w:val="none"/>
              </w:rPr>
              <w:t>境</w:t>
            </w:r>
          </w:p>
          <w:p>
            <w:pPr>
              <w:jc w:val="center"/>
              <w:rPr>
                <w:b/>
                <w:bCs/>
                <w:highlight w:val="none"/>
              </w:rPr>
            </w:pPr>
            <w:r>
              <w:rPr>
                <w:b/>
                <w:bCs/>
                <w:highlight w:val="none"/>
              </w:rPr>
              <w:t>影</w:t>
            </w:r>
          </w:p>
          <w:p>
            <w:pPr>
              <w:jc w:val="center"/>
              <w:rPr>
                <w:b/>
                <w:bCs/>
                <w:highlight w:val="none"/>
              </w:rPr>
            </w:pPr>
            <w:r>
              <w:rPr>
                <w:b/>
                <w:bCs/>
                <w:highlight w:val="none"/>
              </w:rPr>
              <w:t>响</w:t>
            </w:r>
          </w:p>
          <w:p>
            <w:pPr>
              <w:jc w:val="center"/>
              <w:rPr>
                <w:b/>
                <w:bCs/>
                <w:highlight w:val="none"/>
              </w:rPr>
            </w:pPr>
            <w:r>
              <w:rPr>
                <w:b/>
                <w:bCs/>
                <w:highlight w:val="none"/>
              </w:rPr>
              <w:t>和</w:t>
            </w:r>
          </w:p>
          <w:p>
            <w:pPr>
              <w:jc w:val="center"/>
              <w:rPr>
                <w:b/>
                <w:bCs/>
                <w:highlight w:val="none"/>
              </w:rPr>
            </w:pPr>
            <w:r>
              <w:rPr>
                <w:b/>
                <w:bCs/>
                <w:highlight w:val="none"/>
              </w:rPr>
              <w:t>保</w:t>
            </w:r>
          </w:p>
          <w:p>
            <w:pPr>
              <w:jc w:val="center"/>
              <w:rPr>
                <w:b/>
                <w:bCs/>
                <w:highlight w:val="none"/>
              </w:rPr>
            </w:pPr>
            <w:r>
              <w:rPr>
                <w:b/>
                <w:bCs/>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4711" w:type="pct"/>
            <w:vAlign w:val="center"/>
          </w:tcPr>
          <w:p>
            <w:pPr>
              <w:pStyle w:val="64"/>
              <w:tabs>
                <w:tab w:val="left" w:pos="2595"/>
              </w:tabs>
              <w:adjustRightInd/>
              <w:textAlignment w:val="auto"/>
              <w:rPr>
                <w:rFonts w:ascii="Times New Roman" w:hAnsi="Times New Roman" w:cs="Times New Roman" w:eastAsiaTheme="minorEastAsia"/>
                <w:kern w:val="0"/>
                <w:highlight w:val="none"/>
              </w:rPr>
            </w:pPr>
            <w:r>
              <w:rPr>
                <w:rFonts w:ascii="Times New Roman" w:hAnsi="Times New Roman" w:cs="Times New Roman" w:eastAsiaTheme="minorEastAsia"/>
                <w:kern w:val="0"/>
                <w:highlight w:val="none"/>
                <w:lang w:val="zh-CN"/>
              </w:rPr>
              <w:t>（</w:t>
            </w:r>
            <w:r>
              <w:rPr>
                <w:rFonts w:ascii="Times New Roman" w:hAnsi="Times New Roman" w:cs="Times New Roman" w:eastAsiaTheme="minorEastAsia"/>
                <w:kern w:val="0"/>
                <w:highlight w:val="none"/>
              </w:rPr>
              <w:t>2</w:t>
            </w:r>
            <w:r>
              <w:rPr>
                <w:rFonts w:ascii="Times New Roman" w:hAnsi="Times New Roman" w:cs="Times New Roman" w:eastAsiaTheme="minorEastAsia"/>
                <w:kern w:val="0"/>
                <w:highlight w:val="none"/>
                <w:lang w:val="zh-CN"/>
              </w:rPr>
              <w:t>）</w:t>
            </w:r>
            <w:r>
              <w:rPr>
                <w:rFonts w:ascii="Times New Roman" w:hAnsi="Times New Roman" w:cs="Times New Roman" w:eastAsiaTheme="minorEastAsia"/>
                <w:kern w:val="0"/>
                <w:highlight w:val="none"/>
              </w:rPr>
              <w:t>废气</w:t>
            </w:r>
            <w:r>
              <w:rPr>
                <w:rFonts w:ascii="Times New Roman" w:hAnsi="Times New Roman" w:cs="Times New Roman" w:eastAsiaTheme="minorEastAsia"/>
                <w:kern w:val="0"/>
                <w:highlight w:val="none"/>
                <w:lang w:val="zh-CN"/>
              </w:rPr>
              <w:t>污染源</w:t>
            </w:r>
            <w:r>
              <w:rPr>
                <w:rFonts w:ascii="Times New Roman" w:hAnsi="Times New Roman" w:cs="Times New Roman" w:eastAsiaTheme="minorEastAsia"/>
                <w:kern w:val="0"/>
                <w:highlight w:val="none"/>
              </w:rPr>
              <w:t>强核算过程</w:t>
            </w:r>
          </w:p>
          <w:p>
            <w:pPr>
              <w:spacing w:line="360" w:lineRule="auto"/>
              <w:ind w:firstLine="480" w:firstLineChars="200"/>
              <w:jc w:val="left"/>
              <w:rPr>
                <w:sz w:val="24"/>
                <w:highlight w:val="none"/>
              </w:rPr>
            </w:pPr>
            <w:r>
              <w:rPr>
                <w:rFonts w:hint="eastAsia"/>
                <w:sz w:val="24"/>
                <w:highlight w:val="none"/>
              </w:rPr>
              <w:t>本项目废气污染物主要为生物质锅炉燃烧产生的颗粒物、SO</w:t>
            </w:r>
            <w:r>
              <w:rPr>
                <w:rFonts w:hint="eastAsia"/>
                <w:sz w:val="24"/>
                <w:highlight w:val="none"/>
                <w:vertAlign w:val="subscript"/>
              </w:rPr>
              <w:t>2</w:t>
            </w:r>
            <w:r>
              <w:rPr>
                <w:rFonts w:hint="eastAsia"/>
                <w:sz w:val="24"/>
                <w:highlight w:val="none"/>
              </w:rPr>
              <w:t xml:space="preserve"> 、NO</w:t>
            </w:r>
            <w:r>
              <w:rPr>
                <w:rFonts w:hint="eastAsia"/>
                <w:sz w:val="24"/>
                <w:highlight w:val="none"/>
                <w:vertAlign w:val="subscript"/>
              </w:rPr>
              <w:t xml:space="preserve">X </w:t>
            </w:r>
            <w:r>
              <w:rPr>
                <w:rFonts w:hint="eastAsia"/>
                <w:sz w:val="24"/>
                <w:highlight w:val="none"/>
              </w:rPr>
              <w:t>等，污水处理站产生的氨、硫化氢、臭气。</w:t>
            </w:r>
          </w:p>
          <w:p>
            <w:pPr>
              <w:spacing w:line="360" w:lineRule="auto"/>
              <w:ind w:firstLine="480" w:firstLineChars="200"/>
              <w:jc w:val="left"/>
              <w:rPr>
                <w:sz w:val="24"/>
                <w:highlight w:val="none"/>
              </w:rPr>
            </w:pPr>
            <w:r>
              <w:rPr>
                <w:rFonts w:hint="eastAsia"/>
                <w:sz w:val="24"/>
                <w:highlight w:val="none"/>
              </w:rPr>
              <w:t>1）锅炉燃烧废气</w:t>
            </w:r>
          </w:p>
          <w:p>
            <w:pPr>
              <w:adjustRightInd w:val="0"/>
              <w:snapToGrid w:val="0"/>
              <w:spacing w:line="360" w:lineRule="auto"/>
              <w:ind w:firstLine="480" w:firstLineChars="200"/>
              <w:rPr>
                <w:sz w:val="24"/>
                <w:highlight w:val="none"/>
              </w:rPr>
            </w:pPr>
            <w:r>
              <w:rPr>
                <w:rFonts w:hint="eastAsia"/>
                <w:sz w:val="24"/>
                <w:highlight w:val="none"/>
              </w:rPr>
              <w:t>根据《污染源源强核算技术指南 锅炉》</w:t>
            </w:r>
            <w:r>
              <w:rPr>
                <w:sz w:val="24"/>
                <w:highlight w:val="none"/>
              </w:rPr>
              <w:t xml:space="preserve">5.4 </w:t>
            </w:r>
            <w:r>
              <w:rPr>
                <w:rFonts w:hint="eastAsia"/>
                <w:sz w:val="24"/>
                <w:highlight w:val="none"/>
              </w:rPr>
              <w:t>产污系数法，锅炉废气污染物源强计算方法如下：</w:t>
            </w:r>
          </w:p>
          <w:p>
            <w:pPr>
              <w:adjustRightInd w:val="0"/>
              <w:snapToGrid w:val="0"/>
              <w:spacing w:line="360" w:lineRule="auto"/>
              <w:jc w:val="center"/>
              <w:rPr>
                <w:sz w:val="24"/>
                <w:highlight w:val="none"/>
              </w:rPr>
            </w:pPr>
            <w:r>
              <w:rPr>
                <w:highlight w:val="none"/>
              </w:rPr>
              <w:drawing>
                <wp:inline distT="0" distB="0" distL="114300" distR="114300">
                  <wp:extent cx="1802765" cy="396240"/>
                  <wp:effectExtent l="0" t="0" r="6985" b="3810"/>
                  <wp:docPr id="8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
                          <pic:cNvPicPr>
                            <a:picLocks noChangeAspect="1"/>
                          </pic:cNvPicPr>
                        </pic:nvPicPr>
                        <pic:blipFill>
                          <a:blip r:embed="rId18"/>
                          <a:stretch>
                            <a:fillRect/>
                          </a:stretch>
                        </pic:blipFill>
                        <pic:spPr>
                          <a:xfrm>
                            <a:off x="0" y="0"/>
                            <a:ext cx="1802765" cy="396240"/>
                          </a:xfrm>
                          <a:prstGeom prst="rect">
                            <a:avLst/>
                          </a:prstGeom>
                          <a:noFill/>
                          <a:ln>
                            <a:noFill/>
                          </a:ln>
                        </pic:spPr>
                      </pic:pic>
                    </a:graphicData>
                  </a:graphic>
                </wp:inline>
              </w:drawing>
            </w:r>
          </w:p>
          <w:p>
            <w:pPr>
              <w:adjustRightInd w:val="0"/>
              <w:snapToGrid w:val="0"/>
              <w:spacing w:line="360" w:lineRule="auto"/>
              <w:ind w:firstLine="480" w:firstLineChars="200"/>
              <w:rPr>
                <w:sz w:val="24"/>
                <w:highlight w:val="none"/>
              </w:rPr>
            </w:pPr>
            <w:r>
              <w:rPr>
                <w:rFonts w:hint="eastAsia"/>
                <w:sz w:val="24"/>
                <w:highlight w:val="none"/>
              </w:rPr>
              <w:t>式中：</w:t>
            </w:r>
            <w:r>
              <w:rPr>
                <w:sz w:val="24"/>
                <w:highlight w:val="none"/>
              </w:rPr>
              <w:t>E</w:t>
            </w:r>
            <w:r>
              <w:rPr>
                <w:sz w:val="24"/>
                <w:highlight w:val="none"/>
                <w:vertAlign w:val="subscript"/>
              </w:rPr>
              <w:t>j</w:t>
            </w:r>
            <w:r>
              <w:rPr>
                <w:sz w:val="24"/>
                <w:highlight w:val="none"/>
              </w:rPr>
              <w:t>—</w:t>
            </w:r>
            <w:r>
              <w:rPr>
                <w:rFonts w:hint="eastAsia"/>
                <w:sz w:val="24"/>
                <w:highlight w:val="none"/>
              </w:rPr>
              <w:t>核算时段内第</w:t>
            </w:r>
            <w:r>
              <w:rPr>
                <w:sz w:val="24"/>
                <w:highlight w:val="none"/>
              </w:rPr>
              <w:t>j</w:t>
            </w:r>
            <w:r>
              <w:rPr>
                <w:rFonts w:hint="eastAsia"/>
                <w:sz w:val="24"/>
                <w:highlight w:val="none"/>
              </w:rPr>
              <w:t>种污染物排放量，</w:t>
            </w:r>
            <w:r>
              <w:rPr>
                <w:sz w:val="24"/>
                <w:highlight w:val="none"/>
              </w:rPr>
              <w:t>t</w:t>
            </w:r>
            <w:r>
              <w:rPr>
                <w:rFonts w:hint="eastAsia"/>
                <w:sz w:val="24"/>
                <w:highlight w:val="none"/>
              </w:rPr>
              <w:t>；</w:t>
            </w:r>
          </w:p>
          <w:p>
            <w:pPr>
              <w:adjustRightInd w:val="0"/>
              <w:snapToGrid w:val="0"/>
              <w:spacing w:line="360" w:lineRule="auto"/>
              <w:ind w:firstLine="1200" w:firstLineChars="500"/>
              <w:rPr>
                <w:sz w:val="24"/>
                <w:highlight w:val="none"/>
              </w:rPr>
            </w:pPr>
            <w:r>
              <w:rPr>
                <w:sz w:val="24"/>
                <w:highlight w:val="none"/>
              </w:rPr>
              <w:t>R—</w:t>
            </w:r>
            <w:r>
              <w:rPr>
                <w:rFonts w:hint="eastAsia"/>
                <w:sz w:val="24"/>
                <w:highlight w:val="none"/>
              </w:rPr>
              <w:t>核算时段内燃料耗量，</w:t>
            </w:r>
            <w:r>
              <w:rPr>
                <w:sz w:val="24"/>
                <w:highlight w:val="none"/>
              </w:rPr>
              <w:t>t</w:t>
            </w:r>
            <w:r>
              <w:rPr>
                <w:rFonts w:hint="eastAsia"/>
                <w:sz w:val="24"/>
                <w:highlight w:val="none"/>
              </w:rPr>
              <w:t>或万</w:t>
            </w:r>
            <w:r>
              <w:rPr>
                <w:sz w:val="24"/>
                <w:highlight w:val="none"/>
              </w:rPr>
              <w:t>m</w:t>
            </w:r>
            <w:r>
              <w:rPr>
                <w:sz w:val="24"/>
                <w:highlight w:val="none"/>
                <w:vertAlign w:val="superscript"/>
              </w:rPr>
              <w:t>3</w:t>
            </w:r>
            <w:r>
              <w:rPr>
                <w:rFonts w:hint="eastAsia"/>
                <w:sz w:val="24"/>
                <w:highlight w:val="none"/>
              </w:rPr>
              <w:t>；</w:t>
            </w:r>
          </w:p>
          <w:p>
            <w:pPr>
              <w:adjustRightInd w:val="0"/>
              <w:snapToGrid w:val="0"/>
              <w:spacing w:line="360" w:lineRule="auto"/>
              <w:ind w:firstLine="1200" w:firstLineChars="500"/>
              <w:rPr>
                <w:sz w:val="24"/>
                <w:highlight w:val="none"/>
              </w:rPr>
            </w:pPr>
            <w:r>
              <w:rPr>
                <w:sz w:val="24"/>
                <w:highlight w:val="none"/>
              </w:rPr>
              <w:t>β</w:t>
            </w:r>
            <w:r>
              <w:rPr>
                <w:sz w:val="24"/>
                <w:highlight w:val="none"/>
                <w:vertAlign w:val="subscript"/>
              </w:rPr>
              <w:t>j</w:t>
            </w:r>
            <w:r>
              <w:rPr>
                <w:sz w:val="24"/>
                <w:highlight w:val="none"/>
              </w:rPr>
              <w:t>—</w:t>
            </w:r>
            <w:r>
              <w:rPr>
                <w:rFonts w:hint="eastAsia"/>
                <w:sz w:val="24"/>
                <w:highlight w:val="none"/>
              </w:rPr>
              <w:t>产污系数，</w:t>
            </w:r>
            <w:r>
              <w:rPr>
                <w:sz w:val="24"/>
                <w:highlight w:val="none"/>
              </w:rPr>
              <w:t>kg/t</w:t>
            </w:r>
            <w:r>
              <w:rPr>
                <w:rFonts w:hint="eastAsia"/>
                <w:sz w:val="24"/>
                <w:highlight w:val="none"/>
              </w:rPr>
              <w:t>或</w:t>
            </w:r>
            <w:r>
              <w:rPr>
                <w:sz w:val="24"/>
                <w:highlight w:val="none"/>
              </w:rPr>
              <w:t>kg/</w:t>
            </w:r>
            <w:r>
              <w:rPr>
                <w:rFonts w:hint="eastAsia"/>
                <w:sz w:val="24"/>
                <w:highlight w:val="none"/>
              </w:rPr>
              <w:t>万</w:t>
            </w:r>
            <w:r>
              <w:rPr>
                <w:sz w:val="24"/>
                <w:highlight w:val="none"/>
              </w:rPr>
              <w:t>m</w:t>
            </w:r>
            <w:r>
              <w:rPr>
                <w:sz w:val="24"/>
                <w:highlight w:val="none"/>
                <w:vertAlign w:val="superscript"/>
              </w:rPr>
              <w:t>3</w:t>
            </w:r>
            <w:r>
              <w:rPr>
                <w:rFonts w:hint="eastAsia"/>
                <w:sz w:val="24"/>
                <w:highlight w:val="none"/>
              </w:rPr>
              <w:t>，参考全国污染源普查工业污染源普查数据（以最新版本为准）和</w:t>
            </w:r>
            <w:r>
              <w:rPr>
                <w:sz w:val="24"/>
                <w:highlight w:val="none"/>
              </w:rPr>
              <w:t>HJ953</w:t>
            </w:r>
            <w:r>
              <w:rPr>
                <w:rFonts w:hint="eastAsia"/>
                <w:sz w:val="24"/>
                <w:highlight w:val="none"/>
              </w:rPr>
              <w:t>。</w:t>
            </w:r>
          </w:p>
          <w:p>
            <w:pPr>
              <w:adjustRightInd w:val="0"/>
              <w:snapToGrid w:val="0"/>
              <w:spacing w:line="360" w:lineRule="auto"/>
              <w:ind w:firstLine="1200" w:firstLineChars="500"/>
              <w:rPr>
                <w:sz w:val="24"/>
                <w:highlight w:val="none"/>
              </w:rPr>
            </w:pPr>
            <w:r>
              <w:rPr>
                <w:sz w:val="24"/>
                <w:highlight w:val="none"/>
              </w:rPr>
              <w:t>η—</w:t>
            </w:r>
            <w:r>
              <w:rPr>
                <w:rFonts w:hint="eastAsia"/>
                <w:sz w:val="24"/>
                <w:highlight w:val="none"/>
              </w:rPr>
              <w:t>污染物的脱除效率，</w:t>
            </w:r>
            <w:r>
              <w:rPr>
                <w:sz w:val="24"/>
                <w:highlight w:val="none"/>
              </w:rPr>
              <w:t>%</w:t>
            </w:r>
            <w:r>
              <w:rPr>
                <w:rFonts w:hint="eastAsia"/>
                <w:sz w:val="24"/>
                <w:highlight w:val="none"/>
              </w:rPr>
              <w:t>。</w:t>
            </w:r>
          </w:p>
          <w:p>
            <w:pPr>
              <w:adjustRightInd w:val="0"/>
              <w:snapToGrid w:val="0"/>
              <w:spacing w:line="360" w:lineRule="auto"/>
              <w:ind w:firstLine="480" w:firstLineChars="200"/>
              <w:rPr>
                <w:sz w:val="24"/>
                <w:highlight w:val="none"/>
              </w:rPr>
            </w:pPr>
            <w:r>
              <w:rPr>
                <w:rFonts w:hint="eastAsia"/>
                <w:sz w:val="24"/>
                <w:highlight w:val="none"/>
              </w:rPr>
              <w:t>项目生物质锅炉污染物产污系数参考生态环境部公布的第二次全国污染源普查数据，《排放源统计调查产排污核算方法和系数手册（公告</w:t>
            </w:r>
            <w:r>
              <w:rPr>
                <w:sz w:val="24"/>
                <w:highlight w:val="none"/>
              </w:rPr>
              <w:t>2021</w:t>
            </w:r>
            <w:r>
              <w:rPr>
                <w:rFonts w:hint="eastAsia"/>
                <w:sz w:val="24"/>
                <w:highlight w:val="none"/>
              </w:rPr>
              <w:t>年第</w:t>
            </w:r>
            <w:r>
              <w:rPr>
                <w:sz w:val="24"/>
                <w:highlight w:val="none"/>
              </w:rPr>
              <w:t>24</w:t>
            </w:r>
            <w:r>
              <w:rPr>
                <w:rFonts w:hint="eastAsia"/>
                <w:sz w:val="24"/>
                <w:highlight w:val="none"/>
              </w:rPr>
              <w:t>号）》中的工业锅炉（热力生产和供应行业）产污系数表</w:t>
            </w:r>
            <w:r>
              <w:rPr>
                <w:sz w:val="24"/>
                <w:highlight w:val="none"/>
              </w:rPr>
              <w:t>—</w:t>
            </w:r>
            <w:r>
              <w:rPr>
                <w:rFonts w:hint="eastAsia"/>
                <w:sz w:val="24"/>
                <w:highlight w:val="none"/>
              </w:rPr>
              <w:t>生物质工业锅炉，产污系数见表</w:t>
            </w:r>
            <w:r>
              <w:rPr>
                <w:sz w:val="24"/>
                <w:highlight w:val="none"/>
              </w:rPr>
              <w:t>4-3</w:t>
            </w:r>
            <w:r>
              <w:rPr>
                <w:rFonts w:hint="eastAsia"/>
                <w:sz w:val="24"/>
                <w:highlight w:val="none"/>
              </w:rPr>
              <w:t>。</w:t>
            </w:r>
          </w:p>
          <w:p>
            <w:pPr>
              <w:adjustRightInd w:val="0"/>
              <w:snapToGrid w:val="0"/>
              <w:jc w:val="center"/>
              <w:rPr>
                <w:b/>
                <w:bCs/>
                <w:highlight w:val="none"/>
              </w:rPr>
            </w:pPr>
            <w:r>
              <w:rPr>
                <w:rFonts w:hint="eastAsia"/>
                <w:b/>
                <w:bCs/>
                <w:highlight w:val="none"/>
              </w:rPr>
              <w:t>表4-3</w:t>
            </w:r>
            <w:r>
              <w:rPr>
                <w:b/>
                <w:bCs/>
                <w:highlight w:val="none"/>
              </w:rPr>
              <w:t xml:space="preserve"> </w:t>
            </w:r>
            <w:r>
              <w:rPr>
                <w:rFonts w:hint="eastAsia"/>
                <w:b/>
                <w:bCs/>
                <w:highlight w:val="none"/>
              </w:rPr>
              <w:t xml:space="preserve"> 工业锅炉（热力生产和供应行业）产污系数表</w:t>
            </w:r>
          </w:p>
          <w:tbl>
            <w:tblPr>
              <w:tblStyle w:val="39"/>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730"/>
              <w:gridCol w:w="702"/>
              <w:gridCol w:w="687"/>
              <w:gridCol w:w="1046"/>
              <w:gridCol w:w="1441"/>
              <w:gridCol w:w="761"/>
              <w:gridCol w:w="1091"/>
              <w:gridCol w:w="13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9" w:type="pct"/>
                  <w:tcBorders>
                    <w:tl2br w:val="nil"/>
                    <w:tr2bl w:val="nil"/>
                  </w:tcBorders>
                  <w:vAlign w:val="center"/>
                </w:tcPr>
                <w:p>
                  <w:pPr>
                    <w:widowControl/>
                    <w:jc w:val="center"/>
                    <w:textAlignment w:val="center"/>
                    <w:rPr>
                      <w:b/>
                      <w:bCs/>
                      <w:szCs w:val="21"/>
                      <w:highlight w:val="none"/>
                    </w:rPr>
                  </w:pPr>
                  <w:r>
                    <w:rPr>
                      <w:rFonts w:hint="eastAsia"/>
                      <w:b/>
                      <w:bCs/>
                      <w:szCs w:val="21"/>
                      <w:highlight w:val="none"/>
                      <w:lang w:bidi="ar"/>
                    </w:rPr>
                    <w:t>产品名称</w:t>
                  </w:r>
                </w:p>
              </w:tc>
              <w:tc>
                <w:tcPr>
                  <w:tcW w:w="423" w:type="pct"/>
                  <w:tcBorders>
                    <w:tl2br w:val="nil"/>
                    <w:tr2bl w:val="nil"/>
                  </w:tcBorders>
                  <w:vAlign w:val="center"/>
                </w:tcPr>
                <w:p>
                  <w:pPr>
                    <w:widowControl/>
                    <w:jc w:val="center"/>
                    <w:textAlignment w:val="center"/>
                    <w:rPr>
                      <w:b/>
                      <w:bCs/>
                      <w:szCs w:val="21"/>
                      <w:highlight w:val="none"/>
                    </w:rPr>
                  </w:pPr>
                  <w:r>
                    <w:rPr>
                      <w:rFonts w:hint="eastAsia"/>
                      <w:b/>
                      <w:bCs/>
                      <w:szCs w:val="21"/>
                      <w:highlight w:val="none"/>
                      <w:lang w:bidi="ar"/>
                    </w:rPr>
                    <w:t>原料名称</w:t>
                  </w:r>
                </w:p>
              </w:tc>
              <w:tc>
                <w:tcPr>
                  <w:tcW w:w="407" w:type="pct"/>
                  <w:tcBorders>
                    <w:tl2br w:val="nil"/>
                    <w:tr2bl w:val="nil"/>
                  </w:tcBorders>
                  <w:vAlign w:val="center"/>
                </w:tcPr>
                <w:p>
                  <w:pPr>
                    <w:widowControl/>
                    <w:jc w:val="center"/>
                    <w:textAlignment w:val="center"/>
                    <w:rPr>
                      <w:b/>
                      <w:bCs/>
                      <w:szCs w:val="21"/>
                      <w:highlight w:val="none"/>
                      <w:lang w:bidi="ar"/>
                    </w:rPr>
                  </w:pPr>
                  <w:r>
                    <w:rPr>
                      <w:rFonts w:hint="eastAsia"/>
                      <w:b/>
                      <w:bCs/>
                      <w:szCs w:val="21"/>
                      <w:highlight w:val="none"/>
                      <w:lang w:bidi="ar"/>
                    </w:rPr>
                    <w:t>工艺名称</w:t>
                  </w:r>
                </w:p>
              </w:tc>
              <w:tc>
                <w:tcPr>
                  <w:tcW w:w="398" w:type="pct"/>
                  <w:tcBorders>
                    <w:tl2br w:val="nil"/>
                    <w:tr2bl w:val="nil"/>
                  </w:tcBorders>
                  <w:vAlign w:val="center"/>
                </w:tcPr>
                <w:p>
                  <w:pPr>
                    <w:widowControl/>
                    <w:jc w:val="center"/>
                    <w:textAlignment w:val="center"/>
                    <w:rPr>
                      <w:b/>
                      <w:bCs/>
                      <w:szCs w:val="21"/>
                      <w:highlight w:val="none"/>
                    </w:rPr>
                  </w:pPr>
                  <w:r>
                    <w:rPr>
                      <w:rFonts w:hint="eastAsia"/>
                      <w:b/>
                      <w:bCs/>
                      <w:szCs w:val="21"/>
                      <w:highlight w:val="none"/>
                      <w:lang w:bidi="ar"/>
                    </w:rPr>
                    <w:t>规模</w:t>
                  </w:r>
                  <w:r>
                    <w:rPr>
                      <w:b/>
                      <w:bCs/>
                      <w:szCs w:val="21"/>
                      <w:highlight w:val="none"/>
                      <w:lang w:bidi="ar"/>
                    </w:rPr>
                    <w:t>等级</w:t>
                  </w:r>
                </w:p>
              </w:tc>
              <w:tc>
                <w:tcPr>
                  <w:tcW w:w="606" w:type="pct"/>
                  <w:tcBorders>
                    <w:tl2br w:val="nil"/>
                    <w:tr2bl w:val="nil"/>
                  </w:tcBorders>
                  <w:vAlign w:val="center"/>
                </w:tcPr>
                <w:p>
                  <w:pPr>
                    <w:widowControl/>
                    <w:jc w:val="center"/>
                    <w:textAlignment w:val="center"/>
                    <w:rPr>
                      <w:b/>
                      <w:bCs/>
                      <w:szCs w:val="21"/>
                      <w:highlight w:val="none"/>
                    </w:rPr>
                  </w:pPr>
                  <w:r>
                    <w:rPr>
                      <w:rFonts w:hint="eastAsia"/>
                      <w:b/>
                      <w:bCs/>
                      <w:szCs w:val="21"/>
                      <w:highlight w:val="none"/>
                      <w:lang w:bidi="ar"/>
                    </w:rPr>
                    <w:t>污染物指标</w:t>
                  </w:r>
                </w:p>
              </w:tc>
              <w:tc>
                <w:tcPr>
                  <w:tcW w:w="835" w:type="pct"/>
                  <w:tcBorders>
                    <w:tl2br w:val="nil"/>
                    <w:tr2bl w:val="nil"/>
                  </w:tcBorders>
                  <w:vAlign w:val="center"/>
                </w:tcPr>
                <w:p>
                  <w:pPr>
                    <w:widowControl/>
                    <w:jc w:val="center"/>
                    <w:textAlignment w:val="center"/>
                    <w:rPr>
                      <w:b/>
                      <w:bCs/>
                      <w:szCs w:val="21"/>
                      <w:highlight w:val="none"/>
                      <w:lang w:bidi="ar"/>
                    </w:rPr>
                  </w:pPr>
                  <w:r>
                    <w:rPr>
                      <w:rFonts w:hint="eastAsia"/>
                      <w:b/>
                      <w:bCs/>
                      <w:szCs w:val="21"/>
                      <w:highlight w:val="none"/>
                      <w:lang w:bidi="ar"/>
                    </w:rPr>
                    <w:t>单位</w:t>
                  </w:r>
                </w:p>
              </w:tc>
              <w:tc>
                <w:tcPr>
                  <w:tcW w:w="441" w:type="pct"/>
                  <w:tcBorders>
                    <w:tl2br w:val="nil"/>
                    <w:tr2bl w:val="nil"/>
                  </w:tcBorders>
                  <w:vAlign w:val="center"/>
                </w:tcPr>
                <w:p>
                  <w:pPr>
                    <w:widowControl/>
                    <w:jc w:val="center"/>
                    <w:textAlignment w:val="center"/>
                    <w:rPr>
                      <w:b/>
                      <w:bCs/>
                      <w:szCs w:val="21"/>
                      <w:highlight w:val="none"/>
                      <w:lang w:bidi="ar"/>
                    </w:rPr>
                  </w:pPr>
                  <w:r>
                    <w:rPr>
                      <w:rFonts w:hint="eastAsia"/>
                      <w:b/>
                      <w:bCs/>
                      <w:szCs w:val="21"/>
                      <w:highlight w:val="none"/>
                      <w:lang w:bidi="ar"/>
                    </w:rPr>
                    <w:t>产污系数</w:t>
                  </w:r>
                </w:p>
              </w:tc>
              <w:tc>
                <w:tcPr>
                  <w:tcW w:w="632" w:type="pct"/>
                  <w:tcBorders>
                    <w:tl2br w:val="nil"/>
                    <w:tr2bl w:val="nil"/>
                  </w:tcBorders>
                  <w:vAlign w:val="center"/>
                </w:tcPr>
                <w:p>
                  <w:pPr>
                    <w:widowControl/>
                    <w:jc w:val="center"/>
                    <w:textAlignment w:val="center"/>
                    <w:rPr>
                      <w:b/>
                      <w:bCs/>
                      <w:szCs w:val="21"/>
                      <w:highlight w:val="none"/>
                      <w:lang w:bidi="ar"/>
                    </w:rPr>
                  </w:pPr>
                  <w:r>
                    <w:rPr>
                      <w:rFonts w:hint="eastAsia"/>
                      <w:b/>
                      <w:bCs/>
                      <w:szCs w:val="21"/>
                      <w:highlight w:val="none"/>
                      <w:lang w:bidi="ar"/>
                    </w:rPr>
                    <w:t>末端治理技术</w:t>
                  </w:r>
                </w:p>
              </w:tc>
              <w:tc>
                <w:tcPr>
                  <w:tcW w:w="754" w:type="pct"/>
                  <w:tcBorders>
                    <w:tl2br w:val="nil"/>
                    <w:tr2bl w:val="nil"/>
                  </w:tcBorders>
                  <w:vAlign w:val="center"/>
                </w:tcPr>
                <w:p>
                  <w:pPr>
                    <w:widowControl/>
                    <w:jc w:val="center"/>
                    <w:textAlignment w:val="center"/>
                    <w:rPr>
                      <w:b/>
                      <w:bCs/>
                      <w:szCs w:val="21"/>
                      <w:highlight w:val="none"/>
                      <w:lang w:bidi="ar"/>
                    </w:rPr>
                  </w:pPr>
                  <w:r>
                    <w:rPr>
                      <w:rFonts w:hint="eastAsia"/>
                      <w:b/>
                      <w:bCs/>
                      <w:szCs w:val="21"/>
                      <w:highlight w:val="none"/>
                      <w:lang w:bidi="ar"/>
                    </w:rPr>
                    <w:t>末端治理技术平均去除效率%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9" w:type="pct"/>
                  <w:vMerge w:val="restart"/>
                  <w:tcBorders>
                    <w:tl2br w:val="nil"/>
                    <w:tr2bl w:val="nil"/>
                  </w:tcBorders>
                  <w:vAlign w:val="center"/>
                </w:tcPr>
                <w:p>
                  <w:pPr>
                    <w:widowControl/>
                    <w:jc w:val="center"/>
                    <w:textAlignment w:val="center"/>
                    <w:rPr>
                      <w:b/>
                      <w:bCs/>
                      <w:szCs w:val="21"/>
                      <w:highlight w:val="none"/>
                    </w:rPr>
                  </w:pPr>
                  <w:r>
                    <w:rPr>
                      <w:rFonts w:hint="eastAsia"/>
                      <w:szCs w:val="21"/>
                      <w:highlight w:val="none"/>
                    </w:rPr>
                    <w:t>蒸汽/热水/其他</w:t>
                  </w:r>
                </w:p>
              </w:tc>
              <w:tc>
                <w:tcPr>
                  <w:tcW w:w="423" w:type="pct"/>
                  <w:vMerge w:val="restart"/>
                  <w:tcBorders>
                    <w:tl2br w:val="nil"/>
                    <w:tr2bl w:val="nil"/>
                  </w:tcBorders>
                  <w:vAlign w:val="center"/>
                </w:tcPr>
                <w:p>
                  <w:pPr>
                    <w:widowControl/>
                    <w:jc w:val="center"/>
                    <w:textAlignment w:val="center"/>
                    <w:rPr>
                      <w:szCs w:val="21"/>
                      <w:highlight w:val="none"/>
                    </w:rPr>
                  </w:pPr>
                  <w:r>
                    <w:rPr>
                      <w:szCs w:val="21"/>
                      <w:highlight w:val="none"/>
                    </w:rPr>
                    <w:t>生物质燃料</w:t>
                  </w:r>
                </w:p>
              </w:tc>
              <w:tc>
                <w:tcPr>
                  <w:tcW w:w="407" w:type="pct"/>
                  <w:vMerge w:val="restart"/>
                  <w:tcBorders>
                    <w:tl2br w:val="nil"/>
                    <w:tr2bl w:val="nil"/>
                  </w:tcBorders>
                  <w:vAlign w:val="center"/>
                </w:tcPr>
                <w:p>
                  <w:pPr>
                    <w:widowControl/>
                    <w:jc w:val="center"/>
                    <w:textAlignment w:val="center"/>
                    <w:rPr>
                      <w:szCs w:val="21"/>
                      <w:highlight w:val="none"/>
                    </w:rPr>
                  </w:pPr>
                  <w:r>
                    <w:rPr>
                      <w:szCs w:val="21"/>
                      <w:highlight w:val="none"/>
                    </w:rPr>
                    <w:t>层燃炉</w:t>
                  </w:r>
                </w:p>
              </w:tc>
              <w:tc>
                <w:tcPr>
                  <w:tcW w:w="398" w:type="pct"/>
                  <w:vMerge w:val="restart"/>
                  <w:tcBorders>
                    <w:tl2br w:val="nil"/>
                    <w:tr2bl w:val="nil"/>
                  </w:tcBorders>
                  <w:vAlign w:val="center"/>
                </w:tcPr>
                <w:p>
                  <w:pPr>
                    <w:widowControl/>
                    <w:jc w:val="center"/>
                    <w:textAlignment w:val="center"/>
                    <w:rPr>
                      <w:szCs w:val="21"/>
                      <w:highlight w:val="none"/>
                    </w:rPr>
                  </w:pPr>
                  <w:r>
                    <w:rPr>
                      <w:szCs w:val="21"/>
                      <w:highlight w:val="none"/>
                    </w:rPr>
                    <w:t>所有规模</w:t>
                  </w:r>
                </w:p>
              </w:tc>
              <w:tc>
                <w:tcPr>
                  <w:tcW w:w="606" w:type="pct"/>
                  <w:tcBorders>
                    <w:tl2br w:val="nil"/>
                    <w:tr2bl w:val="nil"/>
                  </w:tcBorders>
                  <w:vAlign w:val="center"/>
                </w:tcPr>
                <w:p>
                  <w:pPr>
                    <w:widowControl/>
                    <w:jc w:val="center"/>
                    <w:textAlignment w:val="center"/>
                    <w:rPr>
                      <w:szCs w:val="21"/>
                      <w:highlight w:val="none"/>
                    </w:rPr>
                  </w:pPr>
                  <w:r>
                    <w:rPr>
                      <w:szCs w:val="21"/>
                      <w:highlight w:val="none"/>
                    </w:rPr>
                    <w:t>工业废气量</w:t>
                  </w:r>
                </w:p>
              </w:tc>
              <w:tc>
                <w:tcPr>
                  <w:tcW w:w="835"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标立方米/吨-原料</w:t>
                  </w:r>
                </w:p>
              </w:tc>
              <w:tc>
                <w:tcPr>
                  <w:tcW w:w="441"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6</w:t>
                  </w:r>
                  <w:r>
                    <w:rPr>
                      <w:szCs w:val="21"/>
                      <w:highlight w:val="none"/>
                      <w:lang w:bidi="ar"/>
                    </w:rPr>
                    <w:t>240</w:t>
                  </w:r>
                </w:p>
              </w:tc>
              <w:tc>
                <w:tcPr>
                  <w:tcW w:w="632"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w:t>
                  </w:r>
                </w:p>
              </w:tc>
              <w:tc>
                <w:tcPr>
                  <w:tcW w:w="754"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99" w:type="pct"/>
                  <w:vMerge w:val="continue"/>
                  <w:tcBorders>
                    <w:tl2br w:val="nil"/>
                    <w:tr2bl w:val="nil"/>
                  </w:tcBorders>
                  <w:vAlign w:val="center"/>
                </w:tcPr>
                <w:p>
                  <w:pPr>
                    <w:widowControl/>
                    <w:jc w:val="center"/>
                    <w:textAlignment w:val="center"/>
                    <w:rPr>
                      <w:b/>
                      <w:bCs/>
                      <w:szCs w:val="21"/>
                      <w:highlight w:val="none"/>
                    </w:rPr>
                  </w:pPr>
                </w:p>
              </w:tc>
              <w:tc>
                <w:tcPr>
                  <w:tcW w:w="423" w:type="pct"/>
                  <w:vMerge w:val="continue"/>
                  <w:tcBorders>
                    <w:tl2br w:val="nil"/>
                    <w:tr2bl w:val="nil"/>
                  </w:tcBorders>
                  <w:vAlign w:val="center"/>
                </w:tcPr>
                <w:p>
                  <w:pPr>
                    <w:widowControl/>
                    <w:jc w:val="center"/>
                    <w:textAlignment w:val="center"/>
                    <w:rPr>
                      <w:szCs w:val="21"/>
                      <w:highlight w:val="none"/>
                    </w:rPr>
                  </w:pPr>
                </w:p>
              </w:tc>
              <w:tc>
                <w:tcPr>
                  <w:tcW w:w="407" w:type="pct"/>
                  <w:vMerge w:val="continue"/>
                  <w:tcBorders>
                    <w:tl2br w:val="nil"/>
                    <w:tr2bl w:val="nil"/>
                  </w:tcBorders>
                  <w:vAlign w:val="center"/>
                </w:tcPr>
                <w:p>
                  <w:pPr>
                    <w:widowControl/>
                    <w:jc w:val="center"/>
                    <w:textAlignment w:val="center"/>
                    <w:rPr>
                      <w:szCs w:val="21"/>
                      <w:highlight w:val="none"/>
                    </w:rPr>
                  </w:pPr>
                </w:p>
              </w:tc>
              <w:tc>
                <w:tcPr>
                  <w:tcW w:w="398" w:type="pct"/>
                  <w:vMerge w:val="continue"/>
                  <w:tcBorders>
                    <w:tl2br w:val="nil"/>
                    <w:tr2bl w:val="nil"/>
                  </w:tcBorders>
                  <w:vAlign w:val="center"/>
                </w:tcPr>
                <w:p>
                  <w:pPr>
                    <w:widowControl/>
                    <w:jc w:val="center"/>
                    <w:textAlignment w:val="center"/>
                    <w:rPr>
                      <w:szCs w:val="21"/>
                      <w:highlight w:val="none"/>
                    </w:rPr>
                  </w:pPr>
                </w:p>
              </w:tc>
              <w:tc>
                <w:tcPr>
                  <w:tcW w:w="606" w:type="pct"/>
                  <w:vMerge w:val="restart"/>
                  <w:tcBorders>
                    <w:tl2br w:val="nil"/>
                    <w:tr2bl w:val="nil"/>
                  </w:tcBorders>
                  <w:vAlign w:val="center"/>
                </w:tcPr>
                <w:p>
                  <w:pPr>
                    <w:widowControl/>
                    <w:jc w:val="center"/>
                    <w:textAlignment w:val="center"/>
                    <w:rPr>
                      <w:szCs w:val="21"/>
                      <w:highlight w:val="none"/>
                    </w:rPr>
                  </w:pPr>
                  <w:r>
                    <w:rPr>
                      <w:rFonts w:hint="eastAsia"/>
                      <w:szCs w:val="21"/>
                      <w:highlight w:val="none"/>
                      <w:lang w:bidi="ar"/>
                    </w:rPr>
                    <w:t>颗粒物</w:t>
                  </w:r>
                </w:p>
              </w:tc>
              <w:tc>
                <w:tcPr>
                  <w:tcW w:w="835" w:type="pct"/>
                  <w:vMerge w:val="restar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千克/吨-原料</w:t>
                  </w:r>
                </w:p>
              </w:tc>
              <w:tc>
                <w:tcPr>
                  <w:tcW w:w="441" w:type="pct"/>
                  <w:vMerge w:val="restar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0</w:t>
                  </w:r>
                  <w:r>
                    <w:rPr>
                      <w:szCs w:val="21"/>
                      <w:highlight w:val="none"/>
                      <w:lang w:bidi="ar"/>
                    </w:rPr>
                    <w:t>.5</w:t>
                  </w:r>
                </w:p>
              </w:tc>
              <w:tc>
                <w:tcPr>
                  <w:tcW w:w="1060" w:type="dxa"/>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布袋除尘</w:t>
                  </w:r>
                </w:p>
              </w:tc>
              <w:tc>
                <w:tcPr>
                  <w:tcW w:w="1263" w:type="dxa"/>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99.7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99" w:type="pct"/>
                  <w:vMerge w:val="continue"/>
                  <w:tcBorders>
                    <w:tl2br w:val="nil"/>
                    <w:tr2bl w:val="nil"/>
                  </w:tcBorders>
                  <w:vAlign w:val="center"/>
                </w:tcPr>
                <w:p>
                  <w:pPr>
                    <w:widowControl/>
                    <w:jc w:val="center"/>
                    <w:textAlignment w:val="center"/>
                    <w:rPr>
                      <w:highlight w:val="none"/>
                    </w:rPr>
                  </w:pPr>
                </w:p>
              </w:tc>
              <w:tc>
                <w:tcPr>
                  <w:tcW w:w="423" w:type="pct"/>
                  <w:vMerge w:val="continue"/>
                  <w:tcBorders>
                    <w:tl2br w:val="nil"/>
                    <w:tr2bl w:val="nil"/>
                  </w:tcBorders>
                  <w:vAlign w:val="center"/>
                </w:tcPr>
                <w:p>
                  <w:pPr>
                    <w:widowControl/>
                    <w:jc w:val="center"/>
                    <w:textAlignment w:val="center"/>
                    <w:rPr>
                      <w:highlight w:val="none"/>
                    </w:rPr>
                  </w:pPr>
                </w:p>
              </w:tc>
              <w:tc>
                <w:tcPr>
                  <w:tcW w:w="407" w:type="pct"/>
                  <w:vMerge w:val="continue"/>
                  <w:tcBorders>
                    <w:tl2br w:val="nil"/>
                    <w:tr2bl w:val="nil"/>
                  </w:tcBorders>
                  <w:vAlign w:val="center"/>
                </w:tcPr>
                <w:p>
                  <w:pPr>
                    <w:widowControl/>
                    <w:jc w:val="center"/>
                    <w:textAlignment w:val="center"/>
                    <w:rPr>
                      <w:highlight w:val="none"/>
                    </w:rPr>
                  </w:pPr>
                </w:p>
              </w:tc>
              <w:tc>
                <w:tcPr>
                  <w:tcW w:w="398" w:type="pct"/>
                  <w:vMerge w:val="continue"/>
                  <w:tcBorders>
                    <w:tl2br w:val="nil"/>
                    <w:tr2bl w:val="nil"/>
                  </w:tcBorders>
                  <w:vAlign w:val="center"/>
                </w:tcPr>
                <w:p>
                  <w:pPr>
                    <w:widowControl/>
                    <w:jc w:val="center"/>
                    <w:textAlignment w:val="center"/>
                    <w:rPr>
                      <w:highlight w:val="none"/>
                    </w:rPr>
                  </w:pPr>
                </w:p>
              </w:tc>
              <w:tc>
                <w:tcPr>
                  <w:tcW w:w="606" w:type="pct"/>
                  <w:vMerge w:val="continue"/>
                  <w:tcBorders>
                    <w:tl2br w:val="nil"/>
                    <w:tr2bl w:val="nil"/>
                  </w:tcBorders>
                  <w:vAlign w:val="center"/>
                </w:tcPr>
                <w:p>
                  <w:pPr>
                    <w:widowControl/>
                    <w:jc w:val="center"/>
                    <w:textAlignment w:val="center"/>
                    <w:rPr>
                      <w:highlight w:val="none"/>
                    </w:rPr>
                  </w:pPr>
                </w:p>
              </w:tc>
              <w:tc>
                <w:tcPr>
                  <w:tcW w:w="835" w:type="pct"/>
                  <w:vMerge w:val="continue"/>
                  <w:tcBorders>
                    <w:tl2br w:val="nil"/>
                    <w:tr2bl w:val="nil"/>
                  </w:tcBorders>
                  <w:vAlign w:val="center"/>
                </w:tcPr>
                <w:p>
                  <w:pPr>
                    <w:widowControl/>
                    <w:jc w:val="center"/>
                    <w:textAlignment w:val="center"/>
                    <w:rPr>
                      <w:highlight w:val="none"/>
                    </w:rPr>
                  </w:pPr>
                </w:p>
              </w:tc>
              <w:tc>
                <w:tcPr>
                  <w:tcW w:w="441" w:type="pct"/>
                  <w:vMerge w:val="continue"/>
                  <w:tcBorders>
                    <w:tl2br w:val="nil"/>
                    <w:tr2bl w:val="nil"/>
                  </w:tcBorders>
                  <w:vAlign w:val="center"/>
                </w:tcPr>
                <w:p>
                  <w:pPr>
                    <w:widowControl/>
                    <w:jc w:val="center"/>
                    <w:textAlignment w:val="center"/>
                    <w:rPr>
                      <w:highlight w:val="none"/>
                    </w:rPr>
                  </w:pPr>
                </w:p>
              </w:tc>
              <w:tc>
                <w:tcPr>
                  <w:tcW w:w="1060" w:type="dxa"/>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水膜除尘</w:t>
                  </w:r>
                </w:p>
              </w:tc>
              <w:tc>
                <w:tcPr>
                  <w:tcW w:w="1263" w:type="dxa"/>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9" w:type="pct"/>
                  <w:vMerge w:val="continue"/>
                  <w:tcBorders>
                    <w:tl2br w:val="nil"/>
                    <w:tr2bl w:val="nil"/>
                  </w:tcBorders>
                  <w:vAlign w:val="center"/>
                </w:tcPr>
                <w:p>
                  <w:pPr>
                    <w:widowControl/>
                    <w:jc w:val="center"/>
                    <w:textAlignment w:val="center"/>
                    <w:rPr>
                      <w:b/>
                      <w:bCs/>
                      <w:szCs w:val="21"/>
                      <w:highlight w:val="none"/>
                    </w:rPr>
                  </w:pPr>
                </w:p>
              </w:tc>
              <w:tc>
                <w:tcPr>
                  <w:tcW w:w="423" w:type="pct"/>
                  <w:vMerge w:val="continue"/>
                  <w:tcBorders>
                    <w:tl2br w:val="nil"/>
                    <w:tr2bl w:val="nil"/>
                  </w:tcBorders>
                  <w:vAlign w:val="center"/>
                </w:tcPr>
                <w:p>
                  <w:pPr>
                    <w:widowControl/>
                    <w:jc w:val="center"/>
                    <w:textAlignment w:val="center"/>
                    <w:rPr>
                      <w:szCs w:val="21"/>
                      <w:highlight w:val="none"/>
                    </w:rPr>
                  </w:pPr>
                </w:p>
              </w:tc>
              <w:tc>
                <w:tcPr>
                  <w:tcW w:w="407" w:type="pct"/>
                  <w:vMerge w:val="continue"/>
                  <w:tcBorders>
                    <w:tl2br w:val="nil"/>
                    <w:tr2bl w:val="nil"/>
                  </w:tcBorders>
                  <w:vAlign w:val="center"/>
                </w:tcPr>
                <w:p>
                  <w:pPr>
                    <w:widowControl/>
                    <w:jc w:val="center"/>
                    <w:textAlignment w:val="center"/>
                    <w:rPr>
                      <w:szCs w:val="21"/>
                      <w:highlight w:val="none"/>
                    </w:rPr>
                  </w:pPr>
                </w:p>
              </w:tc>
              <w:tc>
                <w:tcPr>
                  <w:tcW w:w="398" w:type="pct"/>
                  <w:vMerge w:val="continue"/>
                  <w:tcBorders>
                    <w:tl2br w:val="nil"/>
                    <w:tr2bl w:val="nil"/>
                  </w:tcBorders>
                  <w:vAlign w:val="center"/>
                </w:tcPr>
                <w:p>
                  <w:pPr>
                    <w:widowControl/>
                    <w:jc w:val="center"/>
                    <w:textAlignment w:val="center"/>
                    <w:rPr>
                      <w:szCs w:val="21"/>
                      <w:highlight w:val="none"/>
                    </w:rPr>
                  </w:pPr>
                </w:p>
              </w:tc>
              <w:tc>
                <w:tcPr>
                  <w:tcW w:w="606" w:type="pct"/>
                  <w:tcBorders>
                    <w:tl2br w:val="nil"/>
                    <w:tr2bl w:val="nil"/>
                  </w:tcBorders>
                  <w:vAlign w:val="center"/>
                </w:tcPr>
                <w:p>
                  <w:pPr>
                    <w:widowControl/>
                    <w:jc w:val="center"/>
                    <w:textAlignment w:val="center"/>
                    <w:rPr>
                      <w:szCs w:val="21"/>
                      <w:highlight w:val="none"/>
                    </w:rPr>
                  </w:pPr>
                  <w:r>
                    <w:rPr>
                      <w:szCs w:val="21"/>
                      <w:highlight w:val="none"/>
                      <w:lang w:bidi="ar"/>
                    </w:rPr>
                    <w:t>SO</w:t>
                  </w:r>
                  <w:r>
                    <w:rPr>
                      <w:rStyle w:val="159"/>
                      <w:color w:val="auto"/>
                      <w:highlight w:val="none"/>
                      <w:lang w:bidi="ar"/>
                    </w:rPr>
                    <w:t>2</w:t>
                  </w:r>
                </w:p>
              </w:tc>
              <w:tc>
                <w:tcPr>
                  <w:tcW w:w="835"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千克/吨-原料</w:t>
                  </w:r>
                </w:p>
              </w:tc>
              <w:tc>
                <w:tcPr>
                  <w:tcW w:w="441"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1</w:t>
                  </w:r>
                  <w:r>
                    <w:rPr>
                      <w:szCs w:val="21"/>
                      <w:highlight w:val="none"/>
                      <w:lang w:bidi="ar"/>
                    </w:rPr>
                    <w:t>7S</w:t>
                  </w:r>
                  <w:r>
                    <w:rPr>
                      <w:rFonts w:hint="eastAsia"/>
                      <w:szCs w:val="21"/>
                      <w:highlight w:val="none"/>
                      <w:vertAlign w:val="superscript"/>
                      <w:lang w:bidi="ar"/>
                    </w:rPr>
                    <w:t>①</w:t>
                  </w:r>
                </w:p>
              </w:tc>
              <w:tc>
                <w:tcPr>
                  <w:tcW w:w="632"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w:t>
                  </w:r>
                </w:p>
              </w:tc>
              <w:tc>
                <w:tcPr>
                  <w:tcW w:w="754"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9" w:type="pct"/>
                  <w:vMerge w:val="continue"/>
                  <w:tcBorders>
                    <w:tl2br w:val="nil"/>
                    <w:tr2bl w:val="nil"/>
                  </w:tcBorders>
                  <w:vAlign w:val="center"/>
                </w:tcPr>
                <w:p>
                  <w:pPr>
                    <w:widowControl/>
                    <w:jc w:val="center"/>
                    <w:textAlignment w:val="center"/>
                    <w:rPr>
                      <w:b/>
                      <w:bCs/>
                      <w:szCs w:val="21"/>
                      <w:highlight w:val="none"/>
                    </w:rPr>
                  </w:pPr>
                </w:p>
              </w:tc>
              <w:tc>
                <w:tcPr>
                  <w:tcW w:w="423" w:type="pct"/>
                  <w:vMerge w:val="continue"/>
                  <w:tcBorders>
                    <w:tl2br w:val="nil"/>
                    <w:tr2bl w:val="nil"/>
                  </w:tcBorders>
                  <w:vAlign w:val="center"/>
                </w:tcPr>
                <w:p>
                  <w:pPr>
                    <w:widowControl/>
                    <w:jc w:val="center"/>
                    <w:textAlignment w:val="center"/>
                    <w:rPr>
                      <w:szCs w:val="21"/>
                      <w:highlight w:val="none"/>
                    </w:rPr>
                  </w:pPr>
                </w:p>
              </w:tc>
              <w:tc>
                <w:tcPr>
                  <w:tcW w:w="407" w:type="pct"/>
                  <w:vMerge w:val="continue"/>
                  <w:tcBorders>
                    <w:tl2br w:val="nil"/>
                    <w:tr2bl w:val="nil"/>
                  </w:tcBorders>
                  <w:vAlign w:val="center"/>
                </w:tcPr>
                <w:p>
                  <w:pPr>
                    <w:widowControl/>
                    <w:jc w:val="center"/>
                    <w:textAlignment w:val="center"/>
                    <w:rPr>
                      <w:szCs w:val="21"/>
                      <w:highlight w:val="none"/>
                    </w:rPr>
                  </w:pPr>
                </w:p>
              </w:tc>
              <w:tc>
                <w:tcPr>
                  <w:tcW w:w="398" w:type="pct"/>
                  <w:vMerge w:val="continue"/>
                  <w:tcBorders>
                    <w:tl2br w:val="nil"/>
                    <w:tr2bl w:val="nil"/>
                  </w:tcBorders>
                  <w:vAlign w:val="center"/>
                </w:tcPr>
                <w:p>
                  <w:pPr>
                    <w:widowControl/>
                    <w:jc w:val="center"/>
                    <w:textAlignment w:val="center"/>
                    <w:rPr>
                      <w:szCs w:val="21"/>
                      <w:highlight w:val="none"/>
                    </w:rPr>
                  </w:pPr>
                </w:p>
              </w:tc>
              <w:tc>
                <w:tcPr>
                  <w:tcW w:w="606" w:type="pct"/>
                  <w:tcBorders>
                    <w:tl2br w:val="nil"/>
                    <w:tr2bl w:val="nil"/>
                  </w:tcBorders>
                  <w:vAlign w:val="center"/>
                </w:tcPr>
                <w:p>
                  <w:pPr>
                    <w:widowControl/>
                    <w:jc w:val="center"/>
                    <w:textAlignment w:val="center"/>
                    <w:rPr>
                      <w:szCs w:val="21"/>
                      <w:highlight w:val="none"/>
                    </w:rPr>
                  </w:pPr>
                  <w:r>
                    <w:rPr>
                      <w:rFonts w:hint="eastAsia"/>
                      <w:szCs w:val="21"/>
                      <w:highlight w:val="none"/>
                      <w:lang w:bidi="ar"/>
                    </w:rPr>
                    <w:t>氮氧化物</w:t>
                  </w:r>
                </w:p>
              </w:tc>
              <w:tc>
                <w:tcPr>
                  <w:tcW w:w="835"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千克/吨-原料</w:t>
                  </w:r>
                </w:p>
              </w:tc>
              <w:tc>
                <w:tcPr>
                  <w:tcW w:w="441"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1</w:t>
                  </w:r>
                  <w:r>
                    <w:rPr>
                      <w:szCs w:val="21"/>
                      <w:highlight w:val="none"/>
                      <w:lang w:bidi="ar"/>
                    </w:rPr>
                    <w:t>.02</w:t>
                  </w:r>
                </w:p>
              </w:tc>
              <w:tc>
                <w:tcPr>
                  <w:tcW w:w="632"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w:t>
                  </w:r>
                </w:p>
              </w:tc>
              <w:tc>
                <w:tcPr>
                  <w:tcW w:w="754" w:type="pct"/>
                  <w:tcBorders>
                    <w:tl2br w:val="nil"/>
                    <w:tr2bl w:val="nil"/>
                  </w:tcBorders>
                  <w:vAlign w:val="center"/>
                </w:tcPr>
                <w:p>
                  <w:pPr>
                    <w:widowControl/>
                    <w:jc w:val="center"/>
                    <w:textAlignment w:val="center"/>
                    <w:rPr>
                      <w:szCs w:val="21"/>
                      <w:highlight w:val="none"/>
                      <w:lang w:bidi="ar"/>
                    </w:rPr>
                  </w:pPr>
                  <w:r>
                    <w:rPr>
                      <w:rFonts w:hint="eastAsia"/>
                      <w:szCs w:val="21"/>
                      <w:highlight w:val="none"/>
                      <w:lang w:bidi="ar"/>
                    </w:rPr>
                    <w:t>/</w:t>
                  </w:r>
                </w:p>
              </w:tc>
            </w:tr>
          </w:tbl>
          <w:p>
            <w:pPr>
              <w:adjustRightInd w:val="0"/>
              <w:snapToGrid w:val="0"/>
              <w:jc w:val="left"/>
              <w:rPr>
                <w:szCs w:val="21"/>
                <w:highlight w:val="none"/>
              </w:rPr>
            </w:pPr>
            <w:r>
              <w:rPr>
                <w:rFonts w:hint="eastAsia"/>
                <w:szCs w:val="21"/>
                <w:highlight w:val="none"/>
              </w:rPr>
              <w:t>注：</w:t>
            </w:r>
            <w:r>
              <w:rPr>
                <w:rFonts w:hint="eastAsia"/>
                <w:szCs w:val="21"/>
                <w:highlight w:val="none"/>
              </w:rPr>
              <w:fldChar w:fldCharType="begin"/>
            </w:r>
            <w:r>
              <w:rPr>
                <w:rFonts w:hint="eastAsia"/>
                <w:szCs w:val="21"/>
                <w:highlight w:val="none"/>
              </w:rPr>
              <w:instrText xml:space="preserve"> = 1 \* GB3 </w:instrText>
            </w:r>
            <w:r>
              <w:rPr>
                <w:rFonts w:hint="eastAsia"/>
                <w:szCs w:val="21"/>
                <w:highlight w:val="none"/>
              </w:rPr>
              <w:fldChar w:fldCharType="separate"/>
            </w:r>
            <w:r>
              <w:rPr>
                <w:rFonts w:hint="eastAsia"/>
                <w:szCs w:val="21"/>
                <w:highlight w:val="none"/>
              </w:rPr>
              <w:t>①</w:t>
            </w:r>
            <w:r>
              <w:rPr>
                <w:rFonts w:hint="eastAsia"/>
                <w:szCs w:val="21"/>
                <w:highlight w:val="none"/>
              </w:rPr>
              <w:fldChar w:fldCharType="end"/>
            </w:r>
            <w:r>
              <w:rPr>
                <w:rFonts w:hint="eastAsia"/>
                <w:szCs w:val="21"/>
                <w:highlight w:val="none"/>
              </w:rPr>
              <w:t>二氧化硫的产污系数是以含硫量（</w:t>
            </w:r>
            <w:r>
              <w:rPr>
                <w:szCs w:val="21"/>
                <w:highlight w:val="none"/>
              </w:rPr>
              <w:t>S</w:t>
            </w:r>
            <w:r>
              <w:rPr>
                <w:rFonts w:hint="eastAsia"/>
                <w:szCs w:val="21"/>
                <w:highlight w:val="none"/>
              </w:rPr>
              <w:t>%）的形式表示的，其中含硫量（</w:t>
            </w:r>
            <w:r>
              <w:rPr>
                <w:szCs w:val="21"/>
                <w:highlight w:val="none"/>
              </w:rPr>
              <w:t>S</w:t>
            </w:r>
            <w:r>
              <w:rPr>
                <w:rFonts w:hint="eastAsia"/>
                <w:szCs w:val="21"/>
                <w:highlight w:val="none"/>
              </w:rPr>
              <w:t>%）是指生物质收到基硫分含量，以质量百分数的形式表示。类比《江西清竹农林开发有限公司锅炉提升改造项目》（2025年3月）和《江西威信工业有限公司燃煤锅炉改生物质锅炉项目》（2024年7月），两项目生物质成型颗粒含硫量均为0.01%。常见生物质颗粒燃料的含硫量普遍较低，通常在0.02%至0.38%范围内，其中木质颗粒（如木屑、锯末）的含硫量尤其低，不超过0.02%；综上所述，本项目使用的木质颗粒含硫量可取0.01%，即S=0.0</w:t>
            </w:r>
            <w:r>
              <w:rPr>
                <w:rFonts w:hint="eastAsia"/>
                <w:highlight w:val="none"/>
              </w:rPr>
              <w:t>1</w:t>
            </w:r>
            <w:r>
              <w:rPr>
                <w:rFonts w:hint="eastAsia"/>
                <w:szCs w:val="21"/>
                <w:highlight w:val="none"/>
              </w:rPr>
              <w:t>。</w:t>
            </w:r>
          </w:p>
          <w:p>
            <w:pPr>
              <w:adjustRightInd w:val="0"/>
              <w:snapToGrid w:val="0"/>
              <w:spacing w:line="360" w:lineRule="auto"/>
              <w:ind w:firstLine="480" w:firstLineChars="200"/>
              <w:rPr>
                <w:sz w:val="24"/>
                <w:highlight w:val="none"/>
              </w:rPr>
            </w:pPr>
            <w:r>
              <w:rPr>
                <w:rFonts w:hint="eastAsia"/>
                <w:sz w:val="24"/>
                <w:highlight w:val="none"/>
              </w:rPr>
              <w:t>本项目锅炉运营期间使用燃料为生物质燃料，大气污染物为燃料燃烧后排放的颗粒物、</w:t>
            </w:r>
            <w:r>
              <w:rPr>
                <w:sz w:val="24"/>
                <w:highlight w:val="none"/>
              </w:rPr>
              <w:t>SO</w:t>
            </w:r>
            <w:r>
              <w:rPr>
                <w:sz w:val="24"/>
                <w:highlight w:val="none"/>
                <w:vertAlign w:val="subscript"/>
              </w:rPr>
              <w:t>2</w:t>
            </w:r>
            <w:r>
              <w:rPr>
                <w:rFonts w:hint="eastAsia"/>
                <w:sz w:val="24"/>
                <w:highlight w:val="none"/>
              </w:rPr>
              <w:t>、</w:t>
            </w:r>
            <w:r>
              <w:rPr>
                <w:sz w:val="24"/>
                <w:highlight w:val="none"/>
              </w:rPr>
              <w:t>NOx</w:t>
            </w:r>
            <w:r>
              <w:rPr>
                <w:rFonts w:hint="eastAsia"/>
                <w:sz w:val="24"/>
                <w:highlight w:val="none"/>
              </w:rPr>
              <w:t>。项目生物质锅炉燃料用量为</w:t>
            </w:r>
            <w:r>
              <w:rPr>
                <w:rFonts w:hint="eastAsia"/>
                <w:sz w:val="24"/>
                <w:highlight w:val="none"/>
                <w:lang w:val="en-US" w:eastAsia="zh-CN"/>
              </w:rPr>
              <w:t>1600</w:t>
            </w:r>
            <w:r>
              <w:rPr>
                <w:rFonts w:hint="eastAsia"/>
                <w:sz w:val="24"/>
                <w:highlight w:val="none"/>
              </w:rPr>
              <w:t>t/a，年工作时间</w:t>
            </w:r>
            <w:r>
              <w:rPr>
                <w:rFonts w:hint="eastAsia"/>
                <w:sz w:val="24"/>
                <w:highlight w:val="none"/>
                <w:lang w:val="en-US" w:eastAsia="zh-CN"/>
              </w:rPr>
              <w:t>48</w:t>
            </w:r>
            <w:r>
              <w:rPr>
                <w:rFonts w:hint="eastAsia"/>
                <w:sz w:val="24"/>
                <w:highlight w:val="none"/>
              </w:rPr>
              <w:t>00h，风机风量为3000</w:t>
            </w:r>
            <w:r>
              <w:rPr>
                <w:rFonts w:hint="eastAsia"/>
                <w:kern w:val="0"/>
                <w:sz w:val="24"/>
                <w:highlight w:val="none"/>
              </w:rPr>
              <w:t>m</w:t>
            </w:r>
            <w:r>
              <w:rPr>
                <w:rFonts w:hint="eastAsia"/>
                <w:kern w:val="0"/>
                <w:sz w:val="24"/>
                <w:highlight w:val="none"/>
                <w:vertAlign w:val="superscript"/>
              </w:rPr>
              <w:t>3</w:t>
            </w:r>
            <w:r>
              <w:rPr>
                <w:rFonts w:hint="eastAsia"/>
                <w:sz w:val="24"/>
                <w:highlight w:val="none"/>
              </w:rPr>
              <w:t>/h则锅炉废气污染物产生量为：颗粒物0.16</w:t>
            </w:r>
            <w:r>
              <w:rPr>
                <w:rFonts w:hint="eastAsia"/>
                <w:sz w:val="24"/>
                <w:highlight w:val="none"/>
                <w:lang w:val="en-US" w:eastAsia="zh-CN"/>
              </w:rPr>
              <w:t>8</w:t>
            </w:r>
            <w:r>
              <w:rPr>
                <w:rFonts w:hint="eastAsia"/>
                <w:sz w:val="24"/>
                <w:highlight w:val="none"/>
              </w:rPr>
              <w:t>kg/h(</w:t>
            </w:r>
            <w:r>
              <w:rPr>
                <w:rFonts w:hint="eastAsia"/>
                <w:sz w:val="24"/>
                <w:highlight w:val="none"/>
                <w:lang w:val="en-US" w:eastAsia="zh-CN"/>
              </w:rPr>
              <w:t>0.806</w:t>
            </w:r>
            <w:r>
              <w:rPr>
                <w:rFonts w:hint="eastAsia"/>
                <w:sz w:val="24"/>
                <w:highlight w:val="none"/>
              </w:rPr>
              <w:t>t/a</w:t>
            </w:r>
            <w:r>
              <w:rPr>
                <w:rFonts w:hint="eastAsia"/>
                <w:sz w:val="24"/>
                <w:highlight w:val="none"/>
                <w:lang w:eastAsia="zh-CN"/>
              </w:rPr>
              <w:t>）</w:t>
            </w:r>
            <w:r>
              <w:rPr>
                <w:rFonts w:hint="eastAsia"/>
                <w:sz w:val="24"/>
                <w:highlight w:val="none"/>
              </w:rPr>
              <w:t>、</w:t>
            </w:r>
            <w:r>
              <w:rPr>
                <w:sz w:val="24"/>
                <w:highlight w:val="none"/>
              </w:rPr>
              <w:t>SO</w:t>
            </w:r>
            <w:r>
              <w:rPr>
                <w:sz w:val="24"/>
                <w:highlight w:val="none"/>
                <w:vertAlign w:val="subscript"/>
              </w:rPr>
              <w:t>2</w:t>
            </w:r>
            <w:r>
              <w:rPr>
                <w:rFonts w:hint="eastAsia"/>
                <w:sz w:val="24"/>
                <w:highlight w:val="none"/>
                <w:vertAlign w:val="subscript"/>
                <w:lang w:val="en-US" w:eastAsia="zh-CN"/>
              </w:rPr>
              <w:t xml:space="preserve"> </w:t>
            </w:r>
            <w:r>
              <w:rPr>
                <w:rFonts w:hint="eastAsia"/>
                <w:sz w:val="24"/>
                <w:highlight w:val="none"/>
              </w:rPr>
              <w:t>0.057kg/h(</w:t>
            </w:r>
            <w:r>
              <w:rPr>
                <w:rFonts w:hint="eastAsia"/>
                <w:sz w:val="24"/>
                <w:highlight w:val="none"/>
                <w:lang w:val="en-US" w:eastAsia="zh-CN"/>
              </w:rPr>
              <w:t>0.274</w:t>
            </w:r>
            <w:r>
              <w:rPr>
                <w:rFonts w:hint="eastAsia"/>
                <w:sz w:val="24"/>
                <w:highlight w:val="none"/>
              </w:rPr>
              <w:t>t/a</w:t>
            </w:r>
            <w:r>
              <w:rPr>
                <w:rFonts w:hint="eastAsia"/>
                <w:sz w:val="24"/>
                <w:highlight w:val="none"/>
                <w:lang w:eastAsia="zh-CN"/>
              </w:rPr>
              <w:t>）</w:t>
            </w:r>
            <w:r>
              <w:rPr>
                <w:rFonts w:hint="eastAsia"/>
                <w:sz w:val="24"/>
                <w:highlight w:val="none"/>
              </w:rPr>
              <w:t>、</w:t>
            </w:r>
            <w:r>
              <w:rPr>
                <w:sz w:val="24"/>
                <w:highlight w:val="none"/>
              </w:rPr>
              <w:t>NOx</w:t>
            </w:r>
            <w:r>
              <w:rPr>
                <w:rFonts w:hint="eastAsia"/>
                <w:sz w:val="24"/>
                <w:highlight w:val="none"/>
                <w:lang w:val="en-US" w:eastAsia="zh-CN"/>
              </w:rPr>
              <w:t xml:space="preserve"> 0.342</w:t>
            </w:r>
            <w:r>
              <w:rPr>
                <w:rFonts w:hint="eastAsia"/>
                <w:sz w:val="24"/>
                <w:highlight w:val="none"/>
              </w:rPr>
              <w:t>kg/h(</w:t>
            </w:r>
            <w:r>
              <w:rPr>
                <w:rFonts w:hint="eastAsia"/>
                <w:sz w:val="24"/>
                <w:highlight w:val="none"/>
                <w:lang w:val="en-US" w:eastAsia="zh-CN"/>
              </w:rPr>
              <w:t>1.643</w:t>
            </w:r>
            <w:r>
              <w:rPr>
                <w:rFonts w:hint="eastAsia"/>
                <w:sz w:val="24"/>
                <w:highlight w:val="none"/>
              </w:rPr>
              <w:t>t/a</w:t>
            </w:r>
            <w:r>
              <w:rPr>
                <w:rFonts w:hint="eastAsia"/>
                <w:sz w:val="24"/>
                <w:highlight w:val="none"/>
                <w:lang w:eastAsia="zh-CN"/>
              </w:rPr>
              <w:t>）</w:t>
            </w:r>
            <w:r>
              <w:rPr>
                <w:rFonts w:hint="eastAsia"/>
                <w:sz w:val="24"/>
                <w:highlight w:val="none"/>
              </w:rPr>
              <w:t>；产生浓度为：颗粒物</w:t>
            </w:r>
            <w:r>
              <w:rPr>
                <w:rFonts w:hint="eastAsia"/>
                <w:sz w:val="24"/>
                <w:highlight w:val="none"/>
                <w:lang w:val="en-US" w:eastAsia="zh-CN"/>
              </w:rPr>
              <w:t>55.94</w:t>
            </w:r>
            <w:r>
              <w:rPr>
                <w:rFonts w:hint="eastAsia"/>
                <w:sz w:val="24"/>
                <w:highlight w:val="none"/>
              </w:rPr>
              <w:t>mg/</w:t>
            </w:r>
            <w:r>
              <w:rPr>
                <w:rFonts w:hint="eastAsia"/>
                <w:kern w:val="0"/>
                <w:sz w:val="24"/>
                <w:highlight w:val="none"/>
              </w:rPr>
              <w:t>m</w:t>
            </w:r>
            <w:r>
              <w:rPr>
                <w:rFonts w:hint="eastAsia"/>
                <w:kern w:val="0"/>
                <w:sz w:val="24"/>
                <w:highlight w:val="none"/>
                <w:vertAlign w:val="superscript"/>
              </w:rPr>
              <w:t>3</w:t>
            </w:r>
            <w:r>
              <w:rPr>
                <w:rFonts w:hint="eastAsia"/>
                <w:kern w:val="0"/>
                <w:sz w:val="24"/>
                <w:highlight w:val="none"/>
              </w:rPr>
              <w:t>、</w:t>
            </w:r>
            <w:r>
              <w:rPr>
                <w:sz w:val="24"/>
                <w:highlight w:val="none"/>
              </w:rPr>
              <w:t>SO</w:t>
            </w:r>
            <w:r>
              <w:rPr>
                <w:sz w:val="24"/>
                <w:highlight w:val="none"/>
                <w:vertAlign w:val="subscript"/>
              </w:rPr>
              <w:t>2</w:t>
            </w:r>
            <w:r>
              <w:rPr>
                <w:rFonts w:hint="eastAsia"/>
                <w:sz w:val="24"/>
                <w:highlight w:val="none"/>
              </w:rPr>
              <w:t xml:space="preserve"> </w:t>
            </w:r>
            <w:r>
              <w:rPr>
                <w:rFonts w:hint="eastAsia"/>
                <w:sz w:val="24"/>
                <w:highlight w:val="none"/>
                <w:lang w:val="en-US" w:eastAsia="zh-CN"/>
              </w:rPr>
              <w:t>19.02</w:t>
            </w:r>
            <w:r>
              <w:rPr>
                <w:rFonts w:hint="eastAsia"/>
                <w:sz w:val="24"/>
                <w:highlight w:val="none"/>
              </w:rPr>
              <w:t>mg/</w:t>
            </w:r>
            <w:r>
              <w:rPr>
                <w:rFonts w:hint="eastAsia"/>
                <w:kern w:val="0"/>
                <w:sz w:val="24"/>
                <w:highlight w:val="none"/>
              </w:rPr>
              <w:t>m</w:t>
            </w:r>
            <w:r>
              <w:rPr>
                <w:rFonts w:hint="eastAsia"/>
                <w:kern w:val="0"/>
                <w:sz w:val="24"/>
                <w:highlight w:val="none"/>
                <w:vertAlign w:val="superscript"/>
              </w:rPr>
              <w:t>3</w:t>
            </w:r>
            <w:r>
              <w:rPr>
                <w:rFonts w:hint="eastAsia"/>
                <w:sz w:val="24"/>
                <w:highlight w:val="none"/>
              </w:rPr>
              <w:t>、</w:t>
            </w:r>
            <w:r>
              <w:rPr>
                <w:sz w:val="24"/>
                <w:highlight w:val="none"/>
              </w:rPr>
              <w:t>NO</w:t>
            </w:r>
            <w:r>
              <w:rPr>
                <w:sz w:val="24"/>
                <w:highlight w:val="none"/>
                <w:vertAlign w:val="subscript"/>
              </w:rPr>
              <w:t>x</w:t>
            </w:r>
            <w:r>
              <w:rPr>
                <w:rFonts w:hint="eastAsia"/>
                <w:sz w:val="24"/>
                <w:highlight w:val="none"/>
              </w:rPr>
              <w:t xml:space="preserve"> </w:t>
            </w:r>
            <w:r>
              <w:rPr>
                <w:rFonts w:hint="eastAsia"/>
                <w:sz w:val="24"/>
                <w:highlight w:val="none"/>
                <w:lang w:val="en-US" w:eastAsia="zh-CN"/>
              </w:rPr>
              <w:t>114.11</w:t>
            </w:r>
            <w:r>
              <w:rPr>
                <w:rFonts w:hint="eastAsia"/>
                <w:sz w:val="24"/>
                <w:highlight w:val="none"/>
              </w:rPr>
              <w:t>mg/</w:t>
            </w:r>
            <w:r>
              <w:rPr>
                <w:rFonts w:hint="eastAsia"/>
                <w:kern w:val="0"/>
                <w:sz w:val="24"/>
                <w:highlight w:val="none"/>
              </w:rPr>
              <w:t>m</w:t>
            </w:r>
            <w:r>
              <w:rPr>
                <w:rFonts w:hint="eastAsia"/>
                <w:kern w:val="0"/>
                <w:sz w:val="24"/>
                <w:highlight w:val="none"/>
                <w:vertAlign w:val="superscript"/>
              </w:rPr>
              <w:t>3</w:t>
            </w:r>
            <w:r>
              <w:rPr>
                <w:rFonts w:hint="eastAsia"/>
                <w:kern w:val="0"/>
                <w:sz w:val="24"/>
                <w:highlight w:val="none"/>
              </w:rPr>
              <w:t>。</w:t>
            </w:r>
          </w:p>
          <w:p>
            <w:pPr>
              <w:adjustRightInd w:val="0"/>
              <w:snapToGrid w:val="0"/>
              <w:spacing w:line="360" w:lineRule="auto"/>
              <w:ind w:firstLine="480" w:firstLineChars="200"/>
              <w:rPr>
                <w:sz w:val="24"/>
                <w:highlight w:val="none"/>
              </w:rPr>
            </w:pPr>
            <w:r>
              <w:rPr>
                <w:rFonts w:hint="eastAsia"/>
                <w:sz w:val="24"/>
                <w:highlight w:val="none"/>
              </w:rPr>
              <w:t>本项目生物质锅炉排放废气采用布袋除尘装置处理后经30m烟囱排放（DA001），参照《排放源统计调查产排污核算方法和系数手册（公告</w:t>
            </w:r>
            <w:r>
              <w:rPr>
                <w:sz w:val="24"/>
                <w:highlight w:val="none"/>
              </w:rPr>
              <w:t>2021</w:t>
            </w:r>
            <w:r>
              <w:rPr>
                <w:rFonts w:hint="eastAsia"/>
                <w:sz w:val="24"/>
                <w:highlight w:val="none"/>
              </w:rPr>
              <w:t>年第</w:t>
            </w:r>
            <w:r>
              <w:rPr>
                <w:sz w:val="24"/>
                <w:highlight w:val="none"/>
              </w:rPr>
              <w:t>24</w:t>
            </w:r>
            <w:r>
              <w:rPr>
                <w:rFonts w:hint="eastAsia"/>
                <w:sz w:val="24"/>
                <w:highlight w:val="none"/>
              </w:rPr>
              <w:t>号））》产污系数表-生物质工业锅炉”末端治理技术名称中，布袋除尘的处理效率为99.7%，风机风量为3000</w:t>
            </w:r>
            <w:r>
              <w:rPr>
                <w:rFonts w:hint="eastAsia"/>
                <w:kern w:val="0"/>
                <w:sz w:val="24"/>
                <w:highlight w:val="none"/>
              </w:rPr>
              <w:t>m</w:t>
            </w:r>
            <w:r>
              <w:rPr>
                <w:rFonts w:hint="eastAsia"/>
                <w:kern w:val="0"/>
                <w:sz w:val="24"/>
                <w:highlight w:val="none"/>
                <w:vertAlign w:val="superscript"/>
              </w:rPr>
              <w:t>3</w:t>
            </w:r>
            <w:r>
              <w:rPr>
                <w:rFonts w:hint="eastAsia"/>
                <w:sz w:val="24"/>
                <w:highlight w:val="none"/>
              </w:rPr>
              <w:t>/h，则锅炉废气排放量为：颗粒物</w:t>
            </w:r>
            <w:r>
              <w:rPr>
                <w:rFonts w:hint="eastAsia"/>
                <w:sz w:val="24"/>
                <w:highlight w:val="none"/>
                <w:lang w:val="en-US" w:eastAsia="zh-CN"/>
              </w:rPr>
              <w:t>0.0005</w:t>
            </w:r>
            <w:r>
              <w:rPr>
                <w:rFonts w:hint="eastAsia"/>
                <w:sz w:val="24"/>
                <w:highlight w:val="none"/>
              </w:rPr>
              <w:t>kg/h(</w:t>
            </w:r>
            <w:r>
              <w:rPr>
                <w:rFonts w:hint="eastAsia"/>
                <w:sz w:val="24"/>
                <w:highlight w:val="none"/>
                <w:lang w:val="en-US" w:eastAsia="zh-CN"/>
              </w:rPr>
              <w:t>0.0024</w:t>
            </w:r>
            <w:r>
              <w:rPr>
                <w:rFonts w:hint="eastAsia"/>
                <w:sz w:val="24"/>
                <w:highlight w:val="none"/>
              </w:rPr>
              <w:t>t/a</w:t>
            </w:r>
            <w:r>
              <w:rPr>
                <w:rFonts w:hint="eastAsia"/>
                <w:sz w:val="24"/>
                <w:highlight w:val="none"/>
                <w:lang w:eastAsia="zh-CN"/>
              </w:rPr>
              <w:t>）</w:t>
            </w:r>
            <w:r>
              <w:rPr>
                <w:rFonts w:hint="eastAsia"/>
                <w:sz w:val="24"/>
                <w:highlight w:val="none"/>
              </w:rPr>
              <w:t>、</w:t>
            </w:r>
            <w:r>
              <w:rPr>
                <w:sz w:val="24"/>
                <w:highlight w:val="none"/>
              </w:rPr>
              <w:t>SO</w:t>
            </w:r>
            <w:r>
              <w:rPr>
                <w:sz w:val="24"/>
                <w:highlight w:val="none"/>
                <w:vertAlign w:val="subscript"/>
              </w:rPr>
              <w:t>2</w:t>
            </w:r>
            <w:r>
              <w:rPr>
                <w:rFonts w:hint="eastAsia"/>
                <w:sz w:val="24"/>
                <w:highlight w:val="none"/>
                <w:vertAlign w:val="subscript"/>
                <w:lang w:val="en-US" w:eastAsia="zh-CN"/>
              </w:rPr>
              <w:t xml:space="preserve"> </w:t>
            </w:r>
            <w:r>
              <w:rPr>
                <w:rFonts w:hint="eastAsia"/>
                <w:sz w:val="24"/>
                <w:highlight w:val="none"/>
              </w:rPr>
              <w:t>0.057kg/h(</w:t>
            </w:r>
            <w:r>
              <w:rPr>
                <w:rFonts w:hint="eastAsia"/>
                <w:sz w:val="24"/>
                <w:highlight w:val="none"/>
                <w:lang w:val="en-US" w:eastAsia="zh-CN"/>
              </w:rPr>
              <w:t>0.274</w:t>
            </w:r>
            <w:r>
              <w:rPr>
                <w:rFonts w:hint="eastAsia"/>
                <w:sz w:val="24"/>
                <w:highlight w:val="none"/>
              </w:rPr>
              <w:t>t/a</w:t>
            </w:r>
            <w:r>
              <w:rPr>
                <w:rFonts w:hint="eastAsia"/>
                <w:sz w:val="24"/>
                <w:highlight w:val="none"/>
                <w:lang w:eastAsia="zh-CN"/>
              </w:rPr>
              <w:t>）</w:t>
            </w:r>
            <w:r>
              <w:rPr>
                <w:rFonts w:hint="eastAsia"/>
                <w:sz w:val="24"/>
                <w:highlight w:val="none"/>
              </w:rPr>
              <w:t>、</w:t>
            </w:r>
            <w:r>
              <w:rPr>
                <w:sz w:val="24"/>
                <w:highlight w:val="none"/>
              </w:rPr>
              <w:t>NOx</w:t>
            </w:r>
            <w:r>
              <w:rPr>
                <w:rFonts w:hint="eastAsia"/>
                <w:sz w:val="24"/>
                <w:highlight w:val="none"/>
                <w:lang w:val="en-US" w:eastAsia="zh-CN"/>
              </w:rPr>
              <w:t xml:space="preserve"> 0.342</w:t>
            </w:r>
            <w:r>
              <w:rPr>
                <w:rFonts w:hint="eastAsia"/>
                <w:sz w:val="24"/>
                <w:highlight w:val="none"/>
              </w:rPr>
              <w:t>kg/h(</w:t>
            </w:r>
            <w:r>
              <w:rPr>
                <w:rFonts w:hint="eastAsia"/>
                <w:sz w:val="24"/>
                <w:highlight w:val="none"/>
                <w:lang w:val="en-US" w:eastAsia="zh-CN"/>
              </w:rPr>
              <w:t>1.643</w:t>
            </w:r>
            <w:r>
              <w:rPr>
                <w:rFonts w:hint="eastAsia"/>
                <w:sz w:val="24"/>
                <w:highlight w:val="none"/>
              </w:rPr>
              <w:t>t/a</w:t>
            </w:r>
            <w:r>
              <w:rPr>
                <w:rFonts w:hint="eastAsia"/>
                <w:sz w:val="24"/>
                <w:highlight w:val="none"/>
                <w:lang w:eastAsia="zh-CN"/>
              </w:rPr>
              <w:t>）</w:t>
            </w:r>
            <w:r>
              <w:rPr>
                <w:rFonts w:hint="eastAsia"/>
                <w:sz w:val="24"/>
                <w:highlight w:val="none"/>
              </w:rPr>
              <w:t>，排放浓度为：颗粒物</w:t>
            </w:r>
            <w:r>
              <w:rPr>
                <w:rFonts w:hint="eastAsia"/>
                <w:sz w:val="24"/>
                <w:highlight w:val="none"/>
                <w:lang w:val="en-US" w:eastAsia="zh-CN"/>
              </w:rPr>
              <w:t>0.17</w:t>
            </w:r>
            <w:r>
              <w:rPr>
                <w:rFonts w:hint="eastAsia"/>
                <w:sz w:val="24"/>
                <w:highlight w:val="none"/>
              </w:rPr>
              <w:t>mg/</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kern w:val="0"/>
                <w:sz w:val="24"/>
                <w:highlight w:val="none"/>
              </w:rPr>
              <w:t>、</w:t>
            </w:r>
            <w:r>
              <w:rPr>
                <w:sz w:val="24"/>
                <w:highlight w:val="none"/>
              </w:rPr>
              <w:t>SO</w:t>
            </w:r>
            <w:r>
              <w:rPr>
                <w:sz w:val="24"/>
                <w:highlight w:val="none"/>
                <w:vertAlign w:val="subscript"/>
              </w:rPr>
              <w:t>2</w:t>
            </w:r>
            <w:r>
              <w:rPr>
                <w:rFonts w:hint="eastAsia"/>
                <w:sz w:val="24"/>
                <w:highlight w:val="none"/>
                <w:vertAlign w:val="subscript"/>
              </w:rPr>
              <w:t xml:space="preserve"> </w:t>
            </w:r>
            <w:r>
              <w:rPr>
                <w:rFonts w:hint="eastAsia"/>
                <w:sz w:val="24"/>
                <w:highlight w:val="none"/>
                <w:lang w:val="en-US" w:eastAsia="zh-CN"/>
              </w:rPr>
              <w:t>19.02</w:t>
            </w:r>
            <w:r>
              <w:rPr>
                <w:rFonts w:hint="eastAsia"/>
                <w:sz w:val="24"/>
                <w:highlight w:val="none"/>
              </w:rPr>
              <w:t>mg/</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sz w:val="24"/>
                <w:highlight w:val="none"/>
              </w:rPr>
              <w:t>、</w:t>
            </w:r>
            <w:r>
              <w:rPr>
                <w:sz w:val="24"/>
                <w:highlight w:val="none"/>
              </w:rPr>
              <w:t>NO</w:t>
            </w:r>
            <w:r>
              <w:rPr>
                <w:sz w:val="24"/>
                <w:highlight w:val="none"/>
                <w:vertAlign w:val="subscript"/>
              </w:rPr>
              <w:t>x</w:t>
            </w:r>
            <w:r>
              <w:rPr>
                <w:rFonts w:hint="eastAsia"/>
                <w:sz w:val="24"/>
                <w:highlight w:val="none"/>
                <w:lang w:val="en-US" w:eastAsia="zh-CN"/>
              </w:rPr>
              <w:t>114.11</w:t>
            </w:r>
            <w:r>
              <w:rPr>
                <w:rFonts w:hint="eastAsia"/>
                <w:sz w:val="24"/>
                <w:highlight w:val="none"/>
              </w:rPr>
              <w:t>mg/</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kern w:val="0"/>
                <w:sz w:val="24"/>
                <w:highlight w:val="none"/>
              </w:rPr>
              <w:t>。</w:t>
            </w:r>
          </w:p>
          <w:p>
            <w:pPr>
              <w:adjustRightInd w:val="0"/>
              <w:snapToGrid w:val="0"/>
              <w:spacing w:line="360" w:lineRule="auto"/>
              <w:ind w:firstLine="480" w:firstLineChars="200"/>
              <w:rPr>
                <w:color w:val="0000FF"/>
                <w:sz w:val="24"/>
                <w:highlight w:val="none"/>
              </w:rPr>
            </w:pPr>
            <w:r>
              <w:rPr>
                <w:rFonts w:hint="eastAsia"/>
                <w:color w:val="0000FF"/>
                <w:sz w:val="24"/>
                <w:highlight w:val="none"/>
              </w:rPr>
              <w:t>②汞及其化合物</w:t>
            </w:r>
          </w:p>
          <w:p>
            <w:pPr>
              <w:adjustRightInd w:val="0"/>
              <w:snapToGrid w:val="0"/>
              <w:spacing w:line="360" w:lineRule="auto"/>
              <w:ind w:firstLine="480" w:firstLineChars="200"/>
              <w:rPr>
                <w:rFonts w:hint="eastAsia" w:ascii="Times New Roman" w:hAnsi="Times New Roman" w:eastAsia="宋体" w:cs="Times New Roman"/>
                <w:color w:val="0000FF"/>
                <w:sz w:val="24"/>
                <w:highlight w:val="none"/>
              </w:rPr>
            </w:pPr>
            <w:r>
              <w:rPr>
                <w:rFonts w:hint="eastAsia" w:ascii="Times New Roman" w:hAnsi="Times New Roman" w:eastAsia="宋体" w:cs="Times New Roman"/>
                <w:color w:val="0000FF"/>
                <w:sz w:val="24"/>
                <w:highlight w:val="none"/>
              </w:rPr>
              <w:t>本项目选用生物质相对优质，</w:t>
            </w:r>
            <w:r>
              <w:rPr>
                <w:rFonts w:hint="eastAsia" w:ascii="Times New Roman" w:hAnsi="Times New Roman" w:eastAsia="宋体" w:cs="Times New Roman"/>
                <w:color w:val="0000FF"/>
                <w:sz w:val="24"/>
                <w:highlight w:val="none"/>
                <w:lang w:val="en-US" w:eastAsia="zh-CN"/>
              </w:rPr>
              <w:t>参考的</w:t>
            </w:r>
            <w:r>
              <w:rPr>
                <w:rFonts w:hint="eastAsia" w:ascii="Times New Roman" w:hAnsi="Times New Roman" w:eastAsia="宋体" w:cs="Times New Roman"/>
                <w:color w:val="0000FF"/>
                <w:sz w:val="24"/>
                <w:highlight w:val="none"/>
              </w:rPr>
              <w:t>生物质分析报告中未体现汞含量，根据《直接法测定固体生物质燃料中汞的试验研究》（煤质技术，2020年）可知，生物质汞含量为15.47ng/g。生物质燃料汞含量极低，不考虑汞的排放，</w:t>
            </w:r>
            <w:r>
              <w:rPr>
                <w:rFonts w:hint="eastAsia" w:ascii="Times New Roman" w:hAnsi="Times New Roman" w:eastAsia="宋体" w:cs="Times New Roman"/>
                <w:color w:val="0000FF"/>
                <w:sz w:val="24"/>
                <w:highlight w:val="none"/>
                <w:lang w:val="en-US" w:eastAsia="zh-CN"/>
              </w:rPr>
              <w:t>因此，</w:t>
            </w:r>
            <w:r>
              <w:rPr>
                <w:rFonts w:hint="eastAsia" w:ascii="Times New Roman" w:hAnsi="Times New Roman" w:eastAsia="宋体" w:cs="Times New Roman"/>
                <w:color w:val="0000FF"/>
                <w:sz w:val="24"/>
                <w:highlight w:val="none"/>
              </w:rPr>
              <w:t>正常情况下，生物质锅炉使用中汞及其化合物浓度&lt;0.05mg/</w:t>
            </w:r>
            <w:r>
              <w:rPr>
                <w:rFonts w:eastAsia="Times New Roman"/>
                <w:color w:val="0000FF"/>
                <w:spacing w:val="-5"/>
                <w:sz w:val="24"/>
                <w:szCs w:val="24"/>
                <w:highlight w:val="none"/>
              </w:rPr>
              <w:t>m</w:t>
            </w:r>
            <w:r>
              <w:rPr>
                <w:rFonts w:hint="eastAsia" w:eastAsia="宋体"/>
                <w:color w:val="0000FF"/>
                <w:spacing w:val="-5"/>
                <w:sz w:val="24"/>
                <w:szCs w:val="24"/>
                <w:highlight w:val="none"/>
                <w:vertAlign w:val="superscript"/>
                <w:lang w:val="en-US" w:eastAsia="zh-CN"/>
              </w:rPr>
              <w:t>3</w:t>
            </w:r>
            <w:r>
              <w:rPr>
                <w:rFonts w:hint="eastAsia" w:ascii="Times New Roman" w:hAnsi="Times New Roman" w:eastAsia="宋体" w:cs="Times New Roman"/>
                <w:color w:val="0000FF"/>
                <w:sz w:val="24"/>
                <w:highlight w:val="none"/>
              </w:rPr>
              <w:t>。</w:t>
            </w:r>
          </w:p>
          <w:p>
            <w:pPr>
              <w:pStyle w:val="96"/>
              <w:ind w:firstLine="480"/>
              <w:rPr>
                <w:highlight w:val="none"/>
              </w:rPr>
            </w:pPr>
            <w:r>
              <w:rPr>
                <w:rFonts w:hint="eastAsia"/>
                <w:highlight w:val="none"/>
              </w:rPr>
              <w:t>2）污水处理站废气</w:t>
            </w:r>
          </w:p>
          <w:p>
            <w:pPr>
              <w:pStyle w:val="96"/>
              <w:ind w:firstLine="480"/>
              <w:rPr>
                <w:highlight w:val="none"/>
              </w:rPr>
            </w:pPr>
            <w:r>
              <w:rPr>
                <w:rFonts w:hint="eastAsia"/>
                <w:highlight w:val="none"/>
              </w:rPr>
              <w:t>本项目污水处理站处理污水量为200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highlight w:val="none"/>
              </w:rPr>
              <w:t>/d（60000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highlight w:val="none"/>
              </w:rPr>
              <w:t>/a），根据项目自建污水处理站处理能力参数，进、出水BOD</w:t>
            </w:r>
            <w:r>
              <w:rPr>
                <w:rFonts w:hint="eastAsia"/>
                <w:highlight w:val="none"/>
                <w:vertAlign w:val="subscript"/>
              </w:rPr>
              <w:t>5</w:t>
            </w:r>
            <w:r>
              <w:rPr>
                <w:rFonts w:hint="eastAsia"/>
                <w:highlight w:val="none"/>
              </w:rPr>
              <w:t>处理能力浓度指标分别为75</w:t>
            </w:r>
            <w:r>
              <w:rPr>
                <w:rFonts w:hint="eastAsia"/>
                <w:highlight w:val="none"/>
                <w:lang w:val="en-US" w:eastAsia="zh-CN"/>
              </w:rPr>
              <w:t>6</w:t>
            </w:r>
            <w:r>
              <w:rPr>
                <w:rFonts w:hint="eastAsia"/>
                <w:highlight w:val="none"/>
              </w:rPr>
              <w:t>mg/L 、</w:t>
            </w:r>
            <w:r>
              <w:rPr>
                <w:rFonts w:hint="eastAsia"/>
                <w:highlight w:val="none"/>
                <w:lang w:val="en-US" w:eastAsia="zh-CN"/>
              </w:rPr>
              <w:t>8.5</w:t>
            </w:r>
            <w:r>
              <w:rPr>
                <w:rFonts w:hint="eastAsia"/>
                <w:highlight w:val="none"/>
              </w:rPr>
              <w:t>mg/L，则本项目污水处理站去除BOD</w:t>
            </w:r>
            <w:r>
              <w:rPr>
                <w:rFonts w:hint="eastAsia"/>
                <w:highlight w:val="none"/>
                <w:vertAlign w:val="subscript"/>
              </w:rPr>
              <w:t>5</w:t>
            </w:r>
            <w:r>
              <w:rPr>
                <w:rFonts w:hint="eastAsia"/>
                <w:highlight w:val="none"/>
              </w:rPr>
              <w:t>的最大量约为44.85t/a。参照美国EPA对城市污水处理厂恶臭污染物产生情况的研究：每处理1g的BOD</w:t>
            </w:r>
            <w:r>
              <w:rPr>
                <w:rFonts w:hint="eastAsia"/>
                <w:highlight w:val="none"/>
                <w:vertAlign w:val="subscript"/>
              </w:rPr>
              <w:t>5</w:t>
            </w:r>
            <w:r>
              <w:rPr>
                <w:rFonts w:hint="eastAsia"/>
                <w:highlight w:val="none"/>
              </w:rPr>
              <w:t>，可产生0.0031g的</w:t>
            </w:r>
            <w:r>
              <w:rPr>
                <w:rFonts w:hint="eastAsia"/>
                <w:spacing w:val="6"/>
                <w:kern w:val="2"/>
                <w:sz w:val="24"/>
                <w:szCs w:val="24"/>
                <w:highlight w:val="none"/>
              </w:rPr>
              <w:t>NH</w:t>
            </w:r>
            <w:r>
              <w:rPr>
                <w:rFonts w:hint="eastAsia"/>
                <w:spacing w:val="6"/>
                <w:kern w:val="2"/>
                <w:sz w:val="24"/>
                <w:szCs w:val="24"/>
                <w:highlight w:val="none"/>
                <w:vertAlign w:val="subscript"/>
              </w:rPr>
              <w:t>3</w:t>
            </w:r>
            <w:r>
              <w:rPr>
                <w:rFonts w:hint="eastAsia"/>
                <w:highlight w:val="none"/>
              </w:rPr>
              <w:t>及0.00012g的</w:t>
            </w:r>
            <w:r>
              <w:rPr>
                <w:rFonts w:hint="eastAsia"/>
                <w:spacing w:val="6"/>
                <w:kern w:val="2"/>
                <w:sz w:val="24"/>
                <w:szCs w:val="24"/>
                <w:highlight w:val="none"/>
              </w:rPr>
              <w:t>H</w:t>
            </w:r>
            <w:r>
              <w:rPr>
                <w:rFonts w:hint="eastAsia"/>
                <w:spacing w:val="6"/>
                <w:kern w:val="2"/>
                <w:sz w:val="24"/>
                <w:szCs w:val="24"/>
                <w:highlight w:val="none"/>
                <w:vertAlign w:val="subscript"/>
              </w:rPr>
              <w:t>2</w:t>
            </w:r>
            <w:r>
              <w:rPr>
                <w:rFonts w:hint="eastAsia"/>
                <w:spacing w:val="6"/>
                <w:kern w:val="2"/>
                <w:sz w:val="24"/>
                <w:szCs w:val="24"/>
                <w:highlight w:val="none"/>
              </w:rPr>
              <w:t>S</w:t>
            </w:r>
            <w:r>
              <w:rPr>
                <w:rFonts w:hint="eastAsia"/>
                <w:highlight w:val="none"/>
              </w:rPr>
              <w:t>；据此可估算出项目污水处理</w:t>
            </w:r>
            <w:r>
              <w:rPr>
                <w:rFonts w:hint="eastAsia"/>
                <w:sz w:val="24"/>
                <w:szCs w:val="24"/>
                <w:highlight w:val="none"/>
              </w:rPr>
              <w:t>站</w:t>
            </w:r>
            <w:r>
              <w:rPr>
                <w:rFonts w:hint="eastAsia"/>
                <w:spacing w:val="6"/>
                <w:kern w:val="2"/>
                <w:sz w:val="24"/>
                <w:szCs w:val="24"/>
                <w:highlight w:val="none"/>
              </w:rPr>
              <w:t>NH</w:t>
            </w:r>
            <w:r>
              <w:rPr>
                <w:rFonts w:hint="eastAsia"/>
                <w:spacing w:val="6"/>
                <w:kern w:val="2"/>
                <w:sz w:val="24"/>
                <w:szCs w:val="24"/>
                <w:highlight w:val="none"/>
                <w:vertAlign w:val="subscript"/>
              </w:rPr>
              <w:t>3</w:t>
            </w:r>
            <w:r>
              <w:rPr>
                <w:rFonts w:hint="eastAsia"/>
                <w:sz w:val="24"/>
                <w:szCs w:val="24"/>
                <w:highlight w:val="none"/>
              </w:rPr>
              <w:t>的产生量为0.139t/a，</w:t>
            </w:r>
            <w:r>
              <w:rPr>
                <w:rFonts w:hint="eastAsia"/>
                <w:spacing w:val="6"/>
                <w:kern w:val="2"/>
                <w:sz w:val="24"/>
                <w:szCs w:val="24"/>
                <w:highlight w:val="none"/>
              </w:rPr>
              <w:t>H</w:t>
            </w:r>
            <w:r>
              <w:rPr>
                <w:rFonts w:hint="eastAsia"/>
                <w:spacing w:val="6"/>
                <w:kern w:val="2"/>
                <w:sz w:val="24"/>
                <w:szCs w:val="24"/>
                <w:highlight w:val="none"/>
                <w:vertAlign w:val="subscript"/>
              </w:rPr>
              <w:t>2</w:t>
            </w:r>
            <w:r>
              <w:rPr>
                <w:rFonts w:hint="eastAsia"/>
                <w:spacing w:val="6"/>
                <w:kern w:val="2"/>
                <w:sz w:val="24"/>
                <w:szCs w:val="24"/>
                <w:highlight w:val="none"/>
              </w:rPr>
              <w:t>S</w:t>
            </w:r>
            <w:r>
              <w:rPr>
                <w:rFonts w:hint="eastAsia"/>
                <w:sz w:val="24"/>
                <w:szCs w:val="24"/>
                <w:highlight w:val="none"/>
              </w:rPr>
              <w:t>的产生量为0.005t/a。</w:t>
            </w:r>
            <w:r>
              <w:rPr>
                <w:rFonts w:hint="eastAsia"/>
                <w:highlight w:val="none"/>
              </w:rPr>
              <w:t>污水处理站年运行时间7200h</w:t>
            </w:r>
            <w:r>
              <w:rPr>
                <w:rFonts w:hint="eastAsia"/>
                <w:sz w:val="24"/>
                <w:szCs w:val="24"/>
                <w:highlight w:val="none"/>
              </w:rPr>
              <w:t>，则</w:t>
            </w:r>
            <w:r>
              <w:rPr>
                <w:rFonts w:hint="eastAsia"/>
                <w:spacing w:val="6"/>
                <w:kern w:val="2"/>
                <w:sz w:val="24"/>
                <w:szCs w:val="24"/>
                <w:highlight w:val="none"/>
              </w:rPr>
              <w:t>NH</w:t>
            </w:r>
            <w:r>
              <w:rPr>
                <w:rFonts w:hint="eastAsia"/>
                <w:spacing w:val="6"/>
                <w:kern w:val="2"/>
                <w:sz w:val="24"/>
                <w:szCs w:val="24"/>
                <w:highlight w:val="none"/>
                <w:vertAlign w:val="subscript"/>
              </w:rPr>
              <w:t>3</w:t>
            </w:r>
            <w:r>
              <w:rPr>
                <w:rFonts w:hint="eastAsia"/>
                <w:sz w:val="24"/>
                <w:szCs w:val="24"/>
                <w:highlight w:val="none"/>
              </w:rPr>
              <w:t>、</w:t>
            </w:r>
            <w:r>
              <w:rPr>
                <w:rFonts w:hint="eastAsia"/>
                <w:spacing w:val="6"/>
                <w:kern w:val="2"/>
                <w:sz w:val="24"/>
                <w:szCs w:val="24"/>
                <w:highlight w:val="none"/>
              </w:rPr>
              <w:t>H</w:t>
            </w:r>
            <w:r>
              <w:rPr>
                <w:rFonts w:hint="eastAsia"/>
                <w:spacing w:val="6"/>
                <w:kern w:val="2"/>
                <w:sz w:val="24"/>
                <w:szCs w:val="24"/>
                <w:highlight w:val="none"/>
                <w:vertAlign w:val="subscript"/>
              </w:rPr>
              <w:t>2</w:t>
            </w:r>
            <w:r>
              <w:rPr>
                <w:rFonts w:hint="eastAsia"/>
                <w:spacing w:val="6"/>
                <w:kern w:val="2"/>
                <w:sz w:val="24"/>
                <w:szCs w:val="24"/>
                <w:highlight w:val="none"/>
              </w:rPr>
              <w:t>S</w:t>
            </w:r>
            <w:r>
              <w:rPr>
                <w:rFonts w:hint="eastAsia"/>
                <w:sz w:val="24"/>
                <w:szCs w:val="24"/>
                <w:highlight w:val="none"/>
              </w:rPr>
              <w:t>的</w:t>
            </w:r>
            <w:r>
              <w:rPr>
                <w:rFonts w:hint="eastAsia"/>
                <w:highlight w:val="none"/>
              </w:rPr>
              <w:t>产生速率分别为0.019kg/h、0.0007kg/h，以无组织形式排放。</w:t>
            </w:r>
          </w:p>
          <w:p>
            <w:pPr>
              <w:pStyle w:val="96"/>
              <w:ind w:firstLine="444"/>
              <w:rPr>
                <w:highlight w:val="none"/>
              </w:rPr>
            </w:pPr>
            <w:r>
              <w:rPr>
                <w:rFonts w:hint="eastAsia"/>
                <w:spacing w:val="6"/>
                <w:kern w:val="2"/>
                <w:sz w:val="24"/>
                <w:szCs w:val="24"/>
                <w:highlight w:val="none"/>
              </w:rPr>
              <w:t>H</w:t>
            </w:r>
            <w:r>
              <w:rPr>
                <w:rFonts w:hint="eastAsia"/>
                <w:spacing w:val="6"/>
                <w:kern w:val="2"/>
                <w:sz w:val="24"/>
                <w:szCs w:val="24"/>
                <w:highlight w:val="none"/>
                <w:vertAlign w:val="subscript"/>
              </w:rPr>
              <w:t>2</w:t>
            </w:r>
            <w:r>
              <w:rPr>
                <w:rFonts w:hint="eastAsia"/>
                <w:spacing w:val="6"/>
                <w:kern w:val="2"/>
                <w:sz w:val="24"/>
                <w:szCs w:val="24"/>
                <w:highlight w:val="none"/>
              </w:rPr>
              <w:t>S</w:t>
            </w:r>
            <w:r>
              <w:rPr>
                <w:rFonts w:hint="eastAsia"/>
                <w:sz w:val="24"/>
                <w:szCs w:val="24"/>
                <w:highlight w:val="none"/>
              </w:rPr>
              <w:t>味重且人体嗅阈低，短时暴露有明显不适；</w:t>
            </w:r>
            <w:r>
              <w:rPr>
                <w:rFonts w:hint="eastAsia"/>
                <w:spacing w:val="6"/>
                <w:kern w:val="2"/>
                <w:sz w:val="24"/>
                <w:szCs w:val="24"/>
                <w:highlight w:val="none"/>
              </w:rPr>
              <w:t>NH</w:t>
            </w:r>
            <w:r>
              <w:rPr>
                <w:rFonts w:hint="eastAsia"/>
                <w:spacing w:val="6"/>
                <w:kern w:val="2"/>
                <w:sz w:val="24"/>
                <w:szCs w:val="24"/>
                <w:highlight w:val="none"/>
                <w:vertAlign w:val="subscript"/>
              </w:rPr>
              <w:t>3</w:t>
            </w:r>
            <w:r>
              <w:rPr>
                <w:rFonts w:hint="eastAsia"/>
                <w:sz w:val="24"/>
                <w:szCs w:val="24"/>
                <w:highlight w:val="none"/>
              </w:rPr>
              <w:t>嗅阈较高但在高浓度下刺激性强并影响植物与建材。由于污水处理站产生</w:t>
            </w:r>
            <w:r>
              <w:rPr>
                <w:rFonts w:hint="eastAsia"/>
                <w:spacing w:val="6"/>
                <w:kern w:val="2"/>
                <w:sz w:val="24"/>
                <w:szCs w:val="24"/>
                <w:highlight w:val="none"/>
              </w:rPr>
              <w:t>H</w:t>
            </w:r>
            <w:r>
              <w:rPr>
                <w:rFonts w:hint="eastAsia"/>
                <w:spacing w:val="6"/>
                <w:kern w:val="2"/>
                <w:sz w:val="24"/>
                <w:szCs w:val="24"/>
                <w:highlight w:val="none"/>
                <w:vertAlign w:val="subscript"/>
              </w:rPr>
              <w:t>2</w:t>
            </w:r>
            <w:r>
              <w:rPr>
                <w:rFonts w:hint="eastAsia"/>
                <w:spacing w:val="6"/>
                <w:kern w:val="2"/>
                <w:sz w:val="24"/>
                <w:szCs w:val="24"/>
                <w:highlight w:val="none"/>
              </w:rPr>
              <w:t>S</w:t>
            </w:r>
            <w:r>
              <w:rPr>
                <w:rFonts w:hint="eastAsia"/>
                <w:sz w:val="24"/>
                <w:szCs w:val="24"/>
                <w:highlight w:val="none"/>
              </w:rPr>
              <w:t>和</w:t>
            </w:r>
            <w:r>
              <w:rPr>
                <w:rFonts w:hint="eastAsia"/>
                <w:spacing w:val="6"/>
                <w:kern w:val="2"/>
                <w:sz w:val="24"/>
                <w:szCs w:val="24"/>
                <w:highlight w:val="none"/>
              </w:rPr>
              <w:t>NH</w:t>
            </w:r>
            <w:r>
              <w:rPr>
                <w:rFonts w:hint="eastAsia"/>
                <w:spacing w:val="6"/>
                <w:kern w:val="2"/>
                <w:sz w:val="24"/>
                <w:szCs w:val="24"/>
                <w:highlight w:val="none"/>
                <w:vertAlign w:val="subscript"/>
              </w:rPr>
              <w:t>3</w:t>
            </w:r>
            <w:r>
              <w:rPr>
                <w:rFonts w:hint="eastAsia"/>
                <w:sz w:val="24"/>
                <w:szCs w:val="24"/>
                <w:highlight w:val="none"/>
              </w:rPr>
              <w:t>的速率较小，常规条件下外界平均浓度可能处于低至中等水平，但在局部热点和静风</w:t>
            </w:r>
            <w:r>
              <w:rPr>
                <w:rFonts w:hint="eastAsia"/>
                <w:highlight w:val="none"/>
              </w:rPr>
              <w:t>条件下仍可能出现瞬时嗅觉可感受的浓度。</w:t>
            </w:r>
          </w:p>
          <w:p>
            <w:pPr>
              <w:pStyle w:val="96"/>
              <w:ind w:firstLine="480"/>
              <w:rPr>
                <w:highlight w:val="none"/>
              </w:rPr>
            </w:pPr>
            <w:r>
              <w:rPr>
                <w:rFonts w:hint="eastAsia"/>
                <w:highlight w:val="none"/>
              </w:rPr>
              <w:t>本项目采用地埋式一体化污水处理设施，污水处理设施封闭加盖，</w:t>
            </w:r>
            <w:r>
              <w:rPr>
                <w:rFonts w:hint="eastAsia"/>
                <w:highlight w:val="none"/>
                <w:lang w:val="en-US" w:eastAsia="zh-CN"/>
              </w:rPr>
              <w:t>沿厂界建设绿化带，种植对恶臭有吸附作用的植物，栅渣及污泥及时清运，不在厂内长时间堆放，可有效降低</w:t>
            </w:r>
            <w:r>
              <w:rPr>
                <w:rFonts w:hint="eastAsia"/>
                <w:highlight w:val="none"/>
              </w:rPr>
              <w:t>项目恶臭影响，不会对周边环境造成明显不良影响。</w:t>
            </w:r>
          </w:p>
          <w:p>
            <w:pPr>
              <w:pStyle w:val="96"/>
              <w:ind w:firstLine="480"/>
              <w:rPr>
                <w:highlight w:val="none"/>
              </w:rPr>
            </w:pPr>
            <w:r>
              <w:rPr>
                <w:highlight w:val="none"/>
              </w:rPr>
              <w:t>（3）废气治理措施可行性分析</w:t>
            </w:r>
          </w:p>
          <w:p>
            <w:pPr>
              <w:pStyle w:val="17"/>
              <w:ind w:firstLine="480"/>
              <w:rPr>
                <w:highlight w:val="none"/>
              </w:rPr>
            </w:pPr>
            <w:r>
              <w:rPr>
                <w:rFonts w:hint="eastAsia" w:ascii="Times New Roman" w:hAnsi="Times New Roman"/>
                <w:bCs w:val="0"/>
                <w:highlight w:val="none"/>
                <w:lang w:bidi="zh-CN"/>
              </w:rPr>
              <w:t>布袋除尘器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项目采用成型生物质颗粒作为燃料，低负荷运行和变负荷工况下，布袋除尘器属于成熟的除尘工艺，运行稳定，除尘效率能达到</w:t>
            </w:r>
            <w:r>
              <w:rPr>
                <w:rFonts w:ascii="Times New Roman" w:hAnsi="Times New Roman"/>
                <w:bCs w:val="0"/>
                <w:highlight w:val="none"/>
                <w:lang w:bidi="zh-CN"/>
              </w:rPr>
              <w:t>99%</w:t>
            </w:r>
            <w:r>
              <w:rPr>
                <w:rFonts w:hint="eastAsia" w:ascii="Times New Roman" w:hAnsi="Times New Roman"/>
                <w:bCs w:val="0"/>
                <w:highlight w:val="none"/>
                <w:lang w:bidi="zh-CN"/>
              </w:rPr>
              <w:t>以上，满足颗粒物达标排放要求</w:t>
            </w:r>
            <w:r>
              <w:rPr>
                <w:rFonts w:hint="eastAsia"/>
                <w:bCs w:val="0"/>
                <w:highlight w:val="none"/>
                <w:lang w:bidi="zh-CN"/>
              </w:rPr>
              <w:t>。</w:t>
            </w:r>
          </w:p>
          <w:p>
            <w:pPr>
              <w:pStyle w:val="17"/>
              <w:ind w:firstLine="480"/>
              <w:rPr>
                <w:rFonts w:hint="eastAsia"/>
                <w:highlight w:val="none"/>
              </w:rPr>
            </w:pPr>
            <w:r>
              <w:rPr>
                <w:rFonts w:hint="eastAsia"/>
                <w:highlight w:val="none"/>
              </w:rPr>
              <w:t>参照《排污许可证申请与核发技术规范 锅炉》（HJ953-2018）中表3“锅炉排污单位废气产污环节名称、污染物项目、排放形式及污染防治设施一览表”可知，颗粒物污染防治设施名称及工艺包括“袋式除尘器、旋风除尘器、旋风除尘器+袋式除尘器、其他”，本项目锅炉烟气采用的袋式除尘处理，为可行技术；本项目锅炉额定蒸发量较小，生物质燃料使用量低，根据废气污染源排放预测，项目锅炉废气</w:t>
            </w:r>
            <w:r>
              <w:rPr>
                <w:rFonts w:ascii="Times New Roman" w:hAnsi="Times New Roman"/>
                <w:highlight w:val="none"/>
              </w:rPr>
              <w:t>SO</w:t>
            </w:r>
            <w:r>
              <w:rPr>
                <w:rFonts w:ascii="Times New Roman" w:hAnsi="Times New Roman"/>
                <w:highlight w:val="none"/>
                <w:vertAlign w:val="subscript"/>
              </w:rPr>
              <w:t>2</w:t>
            </w:r>
            <w:r>
              <w:rPr>
                <w:rFonts w:hint="eastAsia"/>
                <w:highlight w:val="none"/>
              </w:rPr>
              <w:t>、</w:t>
            </w:r>
            <w:r>
              <w:rPr>
                <w:rFonts w:ascii="Times New Roman" w:hAnsi="Times New Roman"/>
                <w:highlight w:val="none"/>
              </w:rPr>
              <w:t>NO</w:t>
            </w:r>
            <w:r>
              <w:rPr>
                <w:rFonts w:ascii="Times New Roman" w:hAnsi="Times New Roman"/>
                <w:highlight w:val="none"/>
                <w:vertAlign w:val="subscript"/>
              </w:rPr>
              <w:t>x</w:t>
            </w:r>
            <w:r>
              <w:rPr>
                <w:rFonts w:hint="eastAsia" w:ascii="Times New Roman" w:hAnsi="Times New Roman"/>
                <w:highlight w:val="none"/>
              </w:rPr>
              <w:t>排放浓度能满足国家排放标准要求，</w:t>
            </w:r>
            <w:r>
              <w:rPr>
                <w:rFonts w:hint="eastAsia"/>
                <w:highlight w:val="none"/>
              </w:rPr>
              <w:t>因此项目锅炉废气环保措施是可行的。</w:t>
            </w:r>
          </w:p>
          <w:p>
            <w:pPr>
              <w:pStyle w:val="72"/>
              <w:keepNext w:val="0"/>
              <w:keepLines w:val="0"/>
              <w:suppressLineNumbers w:val="0"/>
              <w:spacing w:before="0" w:beforeAutospacing="0" w:after="0" w:afterAutospacing="0" w:line="360" w:lineRule="auto"/>
              <w:ind w:left="0" w:right="0"/>
              <w:rPr>
                <w:rFonts w:hint="default" w:ascii="Times New Roman" w:hAnsi="Times New Roman" w:eastAsia="宋体"/>
                <w:snapToGrid/>
                <w:color w:val="0000FF"/>
                <w:spacing w:val="0"/>
                <w:sz w:val="24"/>
                <w:szCs w:val="24"/>
                <w:highlight w:val="none"/>
                <w:lang w:val="en-US" w:eastAsia="zh-CN"/>
              </w:rPr>
            </w:pPr>
            <w:r>
              <w:rPr>
                <w:rFonts w:hint="eastAsia" w:ascii="Times New Roman" w:hAnsi="Times New Roman" w:eastAsia="宋体" w:cs="宋体"/>
                <w:b w:val="0"/>
                <w:bCs/>
                <w:snapToGrid/>
                <w:color w:val="0000FF"/>
                <w:spacing w:val="0"/>
                <w:kern w:val="2"/>
                <w:sz w:val="24"/>
                <w:szCs w:val="24"/>
                <w:highlight w:val="none"/>
                <w:lang w:val="en-US" w:eastAsia="zh-CN" w:bidi="ar-SA"/>
              </w:rPr>
              <w:t>针对污水处理站产生的恶臭，建设单位计划采取地埋式一体化污水处理设施，对污水处理设施加盖密闭、加强厂区绿化的方式来减小其对周边环境的影响，参照《排污许可证申请与核发技术规范 农副食品加工工业</w:t>
            </w:r>
            <w:r>
              <w:rPr>
                <w:rFonts w:hint="eastAsia"/>
                <w:snapToGrid/>
                <w:color w:val="0000FF"/>
                <w:spacing w:val="0"/>
                <w:sz w:val="24"/>
                <w:szCs w:val="24"/>
                <w:highlight w:val="none"/>
                <w:lang w:val="en-US" w:eastAsia="zh-CN"/>
              </w:rPr>
              <w:t>-</w:t>
            </w:r>
            <w:r>
              <w:rPr>
                <w:rFonts w:hint="eastAsia" w:ascii="Times New Roman" w:hAnsi="Times New Roman" w:eastAsia="宋体" w:cs="宋体"/>
                <w:b w:val="0"/>
                <w:bCs/>
                <w:snapToGrid/>
                <w:color w:val="0000FF"/>
                <w:spacing w:val="0"/>
                <w:kern w:val="2"/>
                <w:sz w:val="24"/>
                <w:szCs w:val="24"/>
                <w:highlight w:val="none"/>
                <w:lang w:val="en-US" w:eastAsia="zh-CN" w:bidi="ar-SA"/>
              </w:rPr>
              <w:t>屠宰及肉类加工工业》（HJ860.3-2018）“表6屠宰及肉类加工工业排污单位无组织排放控制要求表”，本项目所采用的恶臭气体无组织排放控制措施符合有关要求，属于可行技术措施。</w:t>
            </w:r>
          </w:p>
          <w:p>
            <w:pPr>
              <w:pStyle w:val="96"/>
              <w:ind w:firstLine="480"/>
              <w:rPr>
                <w:highlight w:val="none"/>
              </w:rPr>
            </w:pPr>
            <w:r>
              <w:rPr>
                <w:rFonts w:hint="eastAsia"/>
                <w:highlight w:val="none"/>
              </w:rPr>
              <w:t>（4）排气筒设置合理性分析</w:t>
            </w:r>
          </w:p>
          <w:p>
            <w:pPr>
              <w:spacing w:line="360" w:lineRule="auto"/>
              <w:ind w:firstLine="480" w:firstLineChars="200"/>
              <w:rPr>
                <w:color w:val="000000"/>
                <w:sz w:val="24"/>
                <w:highlight w:val="none"/>
                <w:lang w:bidi="zh-CN"/>
              </w:rPr>
            </w:pPr>
            <w:r>
              <w:rPr>
                <w:rFonts w:hint="eastAsia"/>
                <w:color w:val="000000"/>
                <w:sz w:val="24"/>
                <w:highlight w:val="none"/>
                <w:lang w:bidi="zh-CN"/>
              </w:rPr>
              <w:t>根据《锅炉大气污染物排放标准》（</w:t>
            </w:r>
            <w:r>
              <w:rPr>
                <w:color w:val="000000"/>
                <w:sz w:val="24"/>
                <w:highlight w:val="none"/>
                <w:lang w:bidi="zh-CN"/>
              </w:rPr>
              <w:t>GB13271-2014</w:t>
            </w:r>
            <w:r>
              <w:rPr>
                <w:rFonts w:hint="eastAsia"/>
                <w:color w:val="000000"/>
                <w:sz w:val="24"/>
                <w:highlight w:val="none"/>
                <w:lang w:bidi="zh-CN"/>
              </w:rPr>
              <w:t>），使用型煤、水煤浆、煤矸石、石油焦、油页岩、生物质成型燃料等的锅炉，参照标准中燃煤锅炉排放控制要求执行。第</w:t>
            </w:r>
            <w:r>
              <w:rPr>
                <w:color w:val="000000"/>
                <w:sz w:val="24"/>
                <w:highlight w:val="none"/>
                <w:lang w:bidi="zh-CN"/>
              </w:rPr>
              <w:t>4.5</w:t>
            </w:r>
            <w:r>
              <w:rPr>
                <w:rFonts w:hint="eastAsia"/>
                <w:color w:val="000000"/>
                <w:sz w:val="24"/>
                <w:highlight w:val="none"/>
                <w:lang w:bidi="zh-CN"/>
              </w:rPr>
              <w:t>规定：烟囱高度应根据锅炉房装机总容量，按照规定执行，燃油、燃气锅炉烟囱不低于</w:t>
            </w:r>
            <w:r>
              <w:rPr>
                <w:color w:val="000000"/>
                <w:sz w:val="24"/>
                <w:highlight w:val="none"/>
                <w:lang w:bidi="zh-CN"/>
              </w:rPr>
              <w:t>8</w:t>
            </w:r>
            <w:r>
              <w:rPr>
                <w:rFonts w:hint="eastAsia"/>
                <w:color w:val="000000"/>
                <w:sz w:val="24"/>
                <w:highlight w:val="none"/>
                <w:lang w:bidi="zh-CN"/>
              </w:rPr>
              <w:t>米。新建锅炉房的烟囱周围半径</w:t>
            </w:r>
            <w:r>
              <w:rPr>
                <w:color w:val="000000"/>
                <w:sz w:val="24"/>
                <w:highlight w:val="none"/>
                <w:lang w:bidi="zh-CN"/>
              </w:rPr>
              <w:t>200m</w:t>
            </w:r>
            <w:r>
              <w:rPr>
                <w:rFonts w:hint="eastAsia"/>
                <w:color w:val="000000"/>
                <w:sz w:val="24"/>
                <w:highlight w:val="none"/>
                <w:lang w:bidi="zh-CN"/>
              </w:rPr>
              <w:t>距离内有建筑物时，其烟囱应高出最高建筑物</w:t>
            </w:r>
            <w:r>
              <w:rPr>
                <w:color w:val="000000"/>
                <w:sz w:val="24"/>
                <w:highlight w:val="none"/>
                <w:lang w:bidi="zh-CN"/>
              </w:rPr>
              <w:t>3m</w:t>
            </w:r>
            <w:r>
              <w:rPr>
                <w:rFonts w:hint="eastAsia"/>
                <w:color w:val="000000"/>
                <w:sz w:val="24"/>
                <w:highlight w:val="none"/>
                <w:lang w:bidi="zh-CN"/>
              </w:rPr>
              <w:t>以上。</w:t>
            </w:r>
          </w:p>
          <w:p>
            <w:pPr>
              <w:adjustRightInd w:val="0"/>
              <w:snapToGrid w:val="0"/>
              <w:jc w:val="center"/>
              <w:rPr>
                <w:b/>
                <w:color w:val="000000"/>
                <w:szCs w:val="21"/>
                <w:highlight w:val="none"/>
              </w:rPr>
            </w:pPr>
            <w:r>
              <w:rPr>
                <w:rFonts w:hint="eastAsia"/>
                <w:b/>
                <w:color w:val="000000"/>
                <w:szCs w:val="21"/>
                <w:highlight w:val="none"/>
              </w:rPr>
              <w:t>表4-4  燃煤锅炉房烟囱最低允许高度</w:t>
            </w:r>
          </w:p>
          <w:tbl>
            <w:tblPr>
              <w:tblStyle w:val="40"/>
              <w:tblW w:w="84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060"/>
              <w:gridCol w:w="1060"/>
              <w:gridCol w:w="1060"/>
              <w:gridCol w:w="1060"/>
              <w:gridCol w:w="1060"/>
              <w:gridCol w:w="1060"/>
              <w:gridCol w:w="10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059" w:type="dxa"/>
                  <w:vMerge w:val="restart"/>
                  <w:tcBorders>
                    <w:tl2br w:val="nil"/>
                    <w:tr2bl w:val="nil"/>
                  </w:tcBorders>
                  <w:tcMar>
                    <w:top w:w="0" w:type="dxa"/>
                    <w:left w:w="28" w:type="dxa"/>
                    <w:bottom w:w="0" w:type="dxa"/>
                    <w:right w:w="28" w:type="dxa"/>
                  </w:tcMar>
                  <w:vAlign w:val="center"/>
                </w:tcPr>
                <w:p>
                  <w:pPr>
                    <w:pStyle w:val="51"/>
                    <w:adjustRightInd w:val="0"/>
                    <w:jc w:val="center"/>
                    <w:rPr>
                      <w:sz w:val="21"/>
                      <w:szCs w:val="21"/>
                      <w:highlight w:val="none"/>
                    </w:rPr>
                  </w:pPr>
                  <w:r>
                    <w:rPr>
                      <w:rFonts w:hint="eastAsia"/>
                      <w:sz w:val="21"/>
                      <w:szCs w:val="21"/>
                      <w:highlight w:val="none"/>
                    </w:rPr>
                    <w:t>锅炉房装机总容量</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MW</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＜0.7</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0.7~＜1.4</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1.4~＜2.8</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2.8~＜7</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7~＜14</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059" w:type="dxa"/>
                  <w:vMerge w:val="continue"/>
                  <w:tcBorders>
                    <w:tl2br w:val="nil"/>
                    <w:tr2bl w:val="nil"/>
                  </w:tcBorders>
                  <w:tcMar>
                    <w:top w:w="0" w:type="dxa"/>
                    <w:left w:w="28" w:type="dxa"/>
                    <w:bottom w:w="0" w:type="dxa"/>
                    <w:right w:w="28" w:type="dxa"/>
                  </w:tcMar>
                  <w:vAlign w:val="center"/>
                </w:tcPr>
                <w:p>
                  <w:pPr>
                    <w:pStyle w:val="51"/>
                    <w:adjustRightInd w:val="0"/>
                    <w:jc w:val="center"/>
                    <w:rPr>
                      <w:sz w:val="21"/>
                      <w:szCs w:val="21"/>
                      <w:highlight w:val="none"/>
                    </w:rPr>
                  </w:pP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t/h</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＜1</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1~＜2</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2~＜4</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4~＜10</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10~＜20</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9" w:type="dxa"/>
                  <w:tcBorders>
                    <w:tl2br w:val="nil"/>
                    <w:tr2bl w:val="nil"/>
                  </w:tcBorders>
                  <w:tcMar>
                    <w:top w:w="0" w:type="dxa"/>
                    <w:left w:w="28" w:type="dxa"/>
                    <w:bottom w:w="0" w:type="dxa"/>
                    <w:right w:w="28" w:type="dxa"/>
                  </w:tcMar>
                  <w:vAlign w:val="center"/>
                </w:tcPr>
                <w:p>
                  <w:pPr>
                    <w:pStyle w:val="51"/>
                    <w:adjustRightInd w:val="0"/>
                    <w:jc w:val="center"/>
                    <w:rPr>
                      <w:sz w:val="21"/>
                      <w:szCs w:val="21"/>
                      <w:highlight w:val="none"/>
                    </w:rPr>
                  </w:pPr>
                  <w:r>
                    <w:rPr>
                      <w:rFonts w:hint="eastAsia"/>
                      <w:sz w:val="21"/>
                      <w:szCs w:val="21"/>
                      <w:highlight w:val="none"/>
                    </w:rPr>
                    <w:t>烟囱最低允许高度</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m</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20</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25</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30</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35</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40</w:t>
                  </w:r>
                </w:p>
              </w:tc>
              <w:tc>
                <w:tcPr>
                  <w:tcW w:w="1060" w:type="dxa"/>
                  <w:tcBorders>
                    <w:tl2br w:val="nil"/>
                    <w:tr2bl w:val="nil"/>
                  </w:tcBorders>
                  <w:tcMar>
                    <w:top w:w="0" w:type="dxa"/>
                    <w:left w:w="28" w:type="dxa"/>
                    <w:bottom w:w="0" w:type="dxa"/>
                    <w:right w:w="28" w:type="dxa"/>
                  </w:tcMar>
                  <w:vAlign w:val="center"/>
                </w:tcPr>
                <w:p>
                  <w:pPr>
                    <w:adjustRightInd w:val="0"/>
                    <w:snapToGrid w:val="0"/>
                    <w:jc w:val="center"/>
                    <w:rPr>
                      <w:color w:val="000000"/>
                      <w:szCs w:val="21"/>
                      <w:highlight w:val="none"/>
                    </w:rPr>
                  </w:pPr>
                  <w:r>
                    <w:rPr>
                      <w:rFonts w:hint="eastAsia"/>
                      <w:color w:val="000000"/>
                      <w:szCs w:val="21"/>
                      <w:highlight w:val="none"/>
                    </w:rPr>
                    <w:t>45</w:t>
                  </w:r>
                </w:p>
              </w:tc>
            </w:tr>
          </w:tbl>
          <w:p>
            <w:pPr>
              <w:adjustRightInd w:val="0"/>
              <w:snapToGrid w:val="0"/>
              <w:spacing w:line="360" w:lineRule="auto"/>
              <w:ind w:firstLine="480" w:firstLineChars="200"/>
              <w:rPr>
                <w:b/>
                <w:color w:val="000000"/>
                <w:kern w:val="0"/>
                <w:sz w:val="24"/>
                <w:highlight w:val="none"/>
              </w:rPr>
            </w:pPr>
            <w:r>
              <w:rPr>
                <w:rFonts w:hint="eastAsia"/>
                <w:color w:val="000000"/>
                <w:sz w:val="24"/>
                <w:highlight w:val="none"/>
                <w:lang w:bidi="zh-CN"/>
              </w:rPr>
              <w:t>本项目为1台2.5</w:t>
            </w:r>
            <w:r>
              <w:rPr>
                <w:color w:val="000000"/>
                <w:sz w:val="24"/>
                <w:highlight w:val="none"/>
                <w:lang w:bidi="zh-CN"/>
              </w:rPr>
              <w:t>t/h</w:t>
            </w:r>
            <w:r>
              <w:rPr>
                <w:rFonts w:hint="eastAsia"/>
                <w:color w:val="000000"/>
                <w:sz w:val="24"/>
                <w:highlight w:val="none"/>
                <w:lang w:bidi="zh-CN"/>
              </w:rPr>
              <w:t>生物质锅炉，排气筒高度要求最低30m，本项目共设置排气筒1根，高度为30</w:t>
            </w:r>
            <w:r>
              <w:rPr>
                <w:color w:val="000000"/>
                <w:sz w:val="24"/>
                <w:highlight w:val="none"/>
                <w:lang w:bidi="zh-CN"/>
              </w:rPr>
              <w:t>m</w:t>
            </w:r>
            <w:r>
              <w:rPr>
                <w:rFonts w:hint="eastAsia"/>
                <w:color w:val="000000"/>
                <w:sz w:val="24"/>
                <w:highlight w:val="none"/>
                <w:lang w:bidi="zh-CN"/>
              </w:rPr>
              <w:t>，满足烟囱最低允许排放高度30</w:t>
            </w:r>
            <w:r>
              <w:rPr>
                <w:color w:val="000000"/>
                <w:sz w:val="24"/>
                <w:highlight w:val="none"/>
                <w:lang w:bidi="zh-CN"/>
              </w:rPr>
              <w:t>m</w:t>
            </w:r>
            <w:r>
              <w:rPr>
                <w:rFonts w:hint="eastAsia"/>
                <w:color w:val="000000"/>
                <w:sz w:val="24"/>
                <w:highlight w:val="none"/>
                <w:lang w:bidi="zh-CN"/>
              </w:rPr>
              <w:t>的要求。根据现场调查，锅炉房的烟囱周围半径</w:t>
            </w:r>
            <w:r>
              <w:rPr>
                <w:color w:val="000000"/>
                <w:sz w:val="24"/>
                <w:highlight w:val="none"/>
                <w:lang w:bidi="zh-CN"/>
              </w:rPr>
              <w:t>200m</w:t>
            </w:r>
            <w:r>
              <w:rPr>
                <w:rFonts w:hint="eastAsia"/>
                <w:color w:val="000000"/>
                <w:sz w:val="24"/>
                <w:highlight w:val="none"/>
                <w:lang w:bidi="zh-CN"/>
              </w:rPr>
              <w:t>距离内最高建筑为企业现有构筑物，高度均在15m范围内，本项目锅炉排气筒高度满足高出周围建筑</w:t>
            </w:r>
            <w:r>
              <w:rPr>
                <w:color w:val="000000"/>
                <w:sz w:val="24"/>
                <w:highlight w:val="none"/>
                <w:lang w:bidi="zh-CN"/>
              </w:rPr>
              <w:t>3m</w:t>
            </w:r>
            <w:r>
              <w:rPr>
                <w:rFonts w:hint="eastAsia"/>
                <w:color w:val="000000"/>
                <w:sz w:val="24"/>
                <w:highlight w:val="none"/>
                <w:lang w:bidi="zh-CN"/>
              </w:rPr>
              <w:t>的要求，项目锅炉设置30</w:t>
            </w:r>
            <w:r>
              <w:rPr>
                <w:color w:val="000000"/>
                <w:sz w:val="24"/>
                <w:highlight w:val="none"/>
                <w:lang w:bidi="zh-CN"/>
              </w:rPr>
              <w:t>m</w:t>
            </w:r>
            <w:r>
              <w:rPr>
                <w:rFonts w:hint="eastAsia"/>
                <w:color w:val="000000"/>
                <w:sz w:val="24"/>
                <w:highlight w:val="none"/>
                <w:lang w:bidi="zh-CN"/>
              </w:rPr>
              <w:t>排气筒合理。</w:t>
            </w:r>
          </w:p>
          <w:p>
            <w:pPr>
              <w:spacing w:line="360" w:lineRule="auto"/>
              <w:ind w:firstLine="480" w:firstLineChars="200"/>
              <w:rPr>
                <w:sz w:val="24"/>
                <w:highlight w:val="none"/>
              </w:rPr>
            </w:pPr>
            <w:r>
              <w:rPr>
                <w:rFonts w:hint="eastAsia"/>
                <w:sz w:val="24"/>
                <w:highlight w:val="none"/>
              </w:rPr>
              <w:t>（5）废气环境影响分析</w:t>
            </w:r>
          </w:p>
          <w:p>
            <w:pPr>
              <w:pStyle w:val="96"/>
              <w:ind w:firstLine="480"/>
              <w:rPr>
                <w:highlight w:val="none"/>
              </w:rPr>
            </w:pPr>
            <w:r>
              <w:rPr>
                <w:rFonts w:hint="eastAsia"/>
                <w:highlight w:val="none"/>
              </w:rPr>
              <w:t>本</w:t>
            </w:r>
            <w:r>
              <w:rPr>
                <w:highlight w:val="none"/>
              </w:rPr>
              <w:t>项目</w:t>
            </w:r>
            <w:r>
              <w:rPr>
                <w:rFonts w:hint="eastAsia"/>
                <w:highlight w:val="none"/>
              </w:rPr>
              <w:t>生物质锅炉烟气经布袋除尘</w:t>
            </w:r>
            <w:r>
              <w:rPr>
                <w:highlight w:val="none"/>
              </w:rPr>
              <w:t>处理后</w:t>
            </w:r>
            <w:r>
              <w:rPr>
                <w:rFonts w:hint="eastAsia"/>
                <w:highlight w:val="none"/>
              </w:rPr>
              <w:t>，颗粒物、二氧化硫、氮氧化物排放能满足</w:t>
            </w:r>
            <w:r>
              <w:rPr>
                <w:bCs/>
                <w:highlight w:val="none"/>
              </w:rPr>
              <w:t>《锅炉大气污染物排放标准》（GB13271-2014）表2燃</w:t>
            </w:r>
            <w:r>
              <w:rPr>
                <w:rFonts w:hint="eastAsia"/>
                <w:bCs/>
                <w:highlight w:val="none"/>
              </w:rPr>
              <w:t>煤</w:t>
            </w:r>
            <w:r>
              <w:rPr>
                <w:bCs/>
                <w:highlight w:val="none"/>
              </w:rPr>
              <w:t>锅炉标准要求</w:t>
            </w:r>
            <w:r>
              <w:rPr>
                <w:rFonts w:hint="eastAsia"/>
                <w:highlight w:val="none"/>
              </w:rPr>
              <w:t>。</w:t>
            </w:r>
            <w:r>
              <w:rPr>
                <w:highlight w:val="none"/>
              </w:rPr>
              <w:t>本项目</w:t>
            </w:r>
            <w:r>
              <w:rPr>
                <w:rFonts w:hint="eastAsia"/>
                <w:highlight w:val="none"/>
              </w:rPr>
              <w:t>锅炉燃烧</w:t>
            </w:r>
            <w:r>
              <w:rPr>
                <w:highlight w:val="none"/>
              </w:rPr>
              <w:t>废气经过处理后可达标排放</w:t>
            </w:r>
            <w:r>
              <w:rPr>
                <w:rFonts w:hint="eastAsia"/>
                <w:highlight w:val="none"/>
              </w:rPr>
              <w:t>，对周围大气环境影响较小。</w:t>
            </w:r>
          </w:p>
          <w:p>
            <w:pPr>
              <w:pStyle w:val="96"/>
              <w:ind w:firstLine="480"/>
              <w:rPr>
                <w:color w:val="0000FF"/>
                <w:highlight w:val="none"/>
              </w:rPr>
            </w:pPr>
            <w:r>
              <w:rPr>
                <w:color w:val="0000FF"/>
                <w:highlight w:val="none"/>
              </w:rPr>
              <w:t>本项目自建污水处理站产生</w:t>
            </w:r>
            <w:r>
              <w:rPr>
                <w:rFonts w:hint="eastAsia"/>
                <w:color w:val="0000FF"/>
                <w:highlight w:val="none"/>
                <w:lang w:val="en-US" w:eastAsia="zh-CN"/>
              </w:rPr>
              <w:t>恶臭浓度较低</w:t>
            </w:r>
            <w:r>
              <w:rPr>
                <w:color w:val="0000FF"/>
                <w:highlight w:val="none"/>
              </w:rPr>
              <w:t>。恶臭随距离的增加影响减小，在污染源周边范围内建设绿化隔离带亦可降低恶臭影响。本项目将安排人员定期灌溉养护</w:t>
            </w:r>
            <w:r>
              <w:rPr>
                <w:rFonts w:hint="eastAsia"/>
                <w:color w:val="0000FF"/>
                <w:highlight w:val="none"/>
                <w:lang w:val="en-US" w:eastAsia="zh-CN"/>
              </w:rPr>
              <w:t>绿化带</w:t>
            </w:r>
            <w:r>
              <w:rPr>
                <w:color w:val="0000FF"/>
                <w:highlight w:val="none"/>
              </w:rPr>
              <w:t>，可有效降低恶臭对环境的影响。</w:t>
            </w:r>
          </w:p>
          <w:p>
            <w:pPr>
              <w:spacing w:line="360" w:lineRule="auto"/>
              <w:ind w:firstLine="480" w:firstLineChars="200"/>
              <w:rPr>
                <w:sz w:val="24"/>
                <w:highlight w:val="none"/>
              </w:rPr>
            </w:pPr>
            <w:r>
              <w:rPr>
                <w:rFonts w:hint="eastAsia"/>
                <w:sz w:val="24"/>
                <w:highlight w:val="none"/>
              </w:rPr>
              <w:t>（6）非正常工况</w:t>
            </w:r>
          </w:p>
          <w:p>
            <w:pPr>
              <w:pStyle w:val="96"/>
              <w:ind w:firstLine="480"/>
              <w:rPr>
                <w:highlight w:val="none"/>
              </w:rPr>
            </w:pPr>
            <w:r>
              <w:rPr>
                <w:highlight w:val="none"/>
              </w:rPr>
              <w:t>非正常排放主要指生产过程中开停车（工、炉）、设备检修、工艺设备运转异常等非正常工况下的污染物排放，以及污染物排放控制措施达不到应有效率等情况下的排放。在无严格控制措施或污染控制措施失效的情况下，污染物的非正常排放往往成为环境污染的重要因素。</w:t>
            </w:r>
          </w:p>
          <w:p>
            <w:pPr>
              <w:pStyle w:val="96"/>
              <w:ind w:firstLine="480"/>
              <w:rPr>
                <w:highlight w:val="none"/>
              </w:rPr>
            </w:pPr>
            <w:r>
              <w:rPr>
                <w:highlight w:val="none"/>
              </w:rPr>
              <w:t>本项目废气非正常工况排放可能为：风机运作不正常</w:t>
            </w:r>
            <w:r>
              <w:rPr>
                <w:rFonts w:hint="eastAsia"/>
                <w:highlight w:val="none"/>
              </w:rPr>
              <w:t>、布袋堵塞</w:t>
            </w:r>
            <w:r>
              <w:rPr>
                <w:highlight w:val="none"/>
              </w:rPr>
              <w:t>或排气筒锈蚀断裂，极端情况为产生颗粒物、二氧化硫和氮氧化物全部无组织排放。</w:t>
            </w:r>
          </w:p>
          <w:p>
            <w:pPr>
              <w:pStyle w:val="96"/>
              <w:ind w:firstLine="480"/>
              <w:rPr>
                <w:highlight w:val="none"/>
              </w:rPr>
            </w:pPr>
            <w:r>
              <w:rPr>
                <w:highlight w:val="none"/>
              </w:rPr>
              <w:t>本次评价按最不利的情况考虑，污染物去除率为 0 ，废气处理装置完全失效情况下的废气通过排气筒直接排放。发生频次按 2次/年计，单次持续时间为</w:t>
            </w:r>
            <w:r>
              <w:rPr>
                <w:rFonts w:hint="eastAsia"/>
                <w:highlight w:val="none"/>
              </w:rPr>
              <w:t>2h，非正常工况，废气产排情况见表4-2。</w:t>
            </w:r>
          </w:p>
          <w:p>
            <w:pPr>
              <w:pStyle w:val="96"/>
              <w:ind w:firstLine="480"/>
              <w:rPr>
                <w:highlight w:val="none"/>
              </w:rPr>
            </w:pPr>
            <w:r>
              <w:rPr>
                <w:highlight w:val="none"/>
              </w:rPr>
              <w:t>在非正常工况下，</w:t>
            </w:r>
            <w:r>
              <w:rPr>
                <w:rFonts w:hint="eastAsia"/>
                <w:highlight w:val="none"/>
              </w:rPr>
              <w:t>锅炉燃烧废气（</w:t>
            </w:r>
            <w:r>
              <w:rPr>
                <w:highlight w:val="none"/>
              </w:rPr>
              <w:t>DA001</w:t>
            </w:r>
            <w:r>
              <w:rPr>
                <w:rFonts w:hint="eastAsia"/>
                <w:highlight w:val="none"/>
              </w:rPr>
              <w:t>）</w:t>
            </w:r>
            <w:r>
              <w:rPr>
                <w:highlight w:val="none"/>
              </w:rPr>
              <w:t>排放的颗粒物、二氧化硫和氮氧化物能够达标，为</w:t>
            </w:r>
            <w:r>
              <w:rPr>
                <w:rFonts w:hint="eastAsia"/>
                <w:highlight w:val="none"/>
              </w:rPr>
              <w:t>减轻</w:t>
            </w:r>
            <w:r>
              <w:rPr>
                <w:highlight w:val="none"/>
              </w:rPr>
              <w:t>周边环境空气影响，建设单位应采取以下措施：</w:t>
            </w:r>
          </w:p>
          <w:p>
            <w:pPr>
              <w:pStyle w:val="96"/>
              <w:ind w:firstLine="480"/>
              <w:rPr>
                <w:highlight w:val="none"/>
              </w:rPr>
            </w:pPr>
            <w:r>
              <w:rPr>
                <w:highlight w:val="none"/>
              </w:rPr>
              <w:t>①产生污染物的作业在开始工作前，先运行各配套风机及废气处理装置；在停止相应作业后，保持废气风机及处理装置继续运转，待废气完全排出后再停止，确保在开、停工阶段排出的污染物得到有效处理；</w:t>
            </w:r>
          </w:p>
          <w:p>
            <w:pPr>
              <w:pStyle w:val="96"/>
              <w:ind w:firstLine="480"/>
              <w:rPr>
                <w:highlight w:val="none"/>
              </w:rPr>
            </w:pPr>
            <w:r>
              <w:rPr>
                <w:highlight w:val="none"/>
              </w:rPr>
              <w:t>②安排专人负责环保设备的日常维护和管理，每隔固定时间检查、汇报情况，及时发现处理设备的隐患，确保废气处理系统正常运行；若处理装置发生故障，应立即停止相应产污操作，组织专人维修，在环保设施运行正常后，相应产污操作工序才能开工运行；</w:t>
            </w:r>
          </w:p>
          <w:p>
            <w:pPr>
              <w:pStyle w:val="96"/>
              <w:ind w:firstLine="480"/>
              <w:rPr>
                <w:highlight w:val="none"/>
              </w:rPr>
            </w:pPr>
            <w:r>
              <w:rPr>
                <w:highlight w:val="none"/>
              </w:rPr>
              <w:t>③建立健全的环保管理体系，对环保管理人员和技术人员进行岗位培训，委托具有专业资质的环境检测单位对厂区排放的各类废气污染物进行定期检测，减少非正常排放的可能；</w:t>
            </w:r>
          </w:p>
          <w:p>
            <w:pPr>
              <w:pStyle w:val="96"/>
              <w:ind w:firstLine="480"/>
              <w:rPr>
                <w:highlight w:val="none"/>
              </w:rPr>
            </w:pPr>
            <w:r>
              <w:rPr>
                <w:highlight w:val="none"/>
              </w:rPr>
              <w:t>非正常工况一般发生概率较小，且排放的时间较短，企业在采取一系列非正常工况的防范措施后，环境影响可以接受。</w:t>
            </w:r>
          </w:p>
          <w:p>
            <w:pPr>
              <w:spacing w:line="360" w:lineRule="auto"/>
              <w:ind w:firstLine="480" w:firstLineChars="200"/>
              <w:rPr>
                <w:sz w:val="24"/>
                <w:highlight w:val="none"/>
              </w:rPr>
            </w:pPr>
            <w:r>
              <w:rPr>
                <w:sz w:val="24"/>
                <w:highlight w:val="none"/>
              </w:rPr>
              <w:t>（</w:t>
            </w:r>
            <w:r>
              <w:rPr>
                <w:rFonts w:hint="eastAsia"/>
                <w:sz w:val="24"/>
                <w:highlight w:val="none"/>
              </w:rPr>
              <w:t>7</w:t>
            </w:r>
            <w:r>
              <w:rPr>
                <w:sz w:val="24"/>
                <w:highlight w:val="none"/>
              </w:rPr>
              <w:t>）卫生防护距离</w:t>
            </w:r>
          </w:p>
          <w:p>
            <w:pPr>
              <w:spacing w:line="360" w:lineRule="auto"/>
              <w:ind w:firstLine="480" w:firstLineChars="200"/>
              <w:rPr>
                <w:sz w:val="24"/>
                <w:highlight w:val="none"/>
              </w:rPr>
            </w:pPr>
            <w:r>
              <w:rPr>
                <w:sz w:val="24"/>
                <w:highlight w:val="none"/>
              </w:rPr>
              <w:t>本项目无组织排放污染物为</w:t>
            </w:r>
            <w:r>
              <w:rPr>
                <w:rFonts w:hint="eastAsia"/>
                <w:sz w:val="24"/>
                <w:highlight w:val="none"/>
              </w:rPr>
              <w:t>污水处理站氨、硫化氢等恶臭</w:t>
            </w:r>
            <w:r>
              <w:rPr>
                <w:sz w:val="24"/>
                <w:highlight w:val="none"/>
              </w:rPr>
              <w:t>，根据《大气有害物质无组织排放卫生防护距离推导技术导则》</w:t>
            </w:r>
            <w:r>
              <w:rPr>
                <w:rFonts w:hint="eastAsia"/>
                <w:sz w:val="24"/>
                <w:highlight w:val="none"/>
                <w:lang w:eastAsia="zh-CN"/>
              </w:rPr>
              <w:t>（</w:t>
            </w:r>
            <w:r>
              <w:rPr>
                <w:sz w:val="24"/>
                <w:highlight w:val="none"/>
              </w:rPr>
              <w:t>GBT39499-2020）规定，当目标企业无组织排放存在多种有毒有害污染物时，基于单个污染物的等标排放量计算结果，优先选择等标排放量最大的污染物为企业无组织排放的主要特征大气有害物质。当前两种污染物的等标排放量相差在10%以内时，需要同时选择这两种特征大气有害物质分别计算卫生防护距离初值。</w:t>
            </w:r>
            <w:r>
              <w:rPr>
                <w:rFonts w:hint="eastAsia"/>
                <w:sz w:val="24"/>
                <w:highlight w:val="none"/>
              </w:rPr>
              <w:t>无组织排放污染源污染物等标计算结果见表4-5。</w:t>
            </w:r>
          </w:p>
          <w:p>
            <w:pPr>
              <w:jc w:val="center"/>
              <w:rPr>
                <w:b/>
                <w:szCs w:val="21"/>
                <w:highlight w:val="none"/>
              </w:rPr>
            </w:pPr>
            <w:r>
              <w:rPr>
                <w:rFonts w:hint="eastAsia"/>
                <w:b/>
                <w:szCs w:val="21"/>
                <w:highlight w:val="none"/>
              </w:rPr>
              <w:t>表4-5   等标负荷法计算结果表</w:t>
            </w:r>
          </w:p>
          <w:tbl>
            <w:tblPr>
              <w:tblStyle w:val="4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32"/>
              <w:gridCol w:w="1095"/>
              <w:gridCol w:w="1741"/>
              <w:gridCol w:w="1220"/>
              <w:gridCol w:w="1220"/>
              <w:gridCol w:w="12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Borders>
                    <w:tl2br w:val="nil"/>
                    <w:tr2bl w:val="nil"/>
                  </w:tcBorders>
                  <w:vAlign w:val="center"/>
                </w:tcPr>
                <w:p>
                  <w:pPr>
                    <w:jc w:val="center"/>
                    <w:rPr>
                      <w:b/>
                      <w:bCs/>
                      <w:szCs w:val="21"/>
                      <w:highlight w:val="none"/>
                    </w:rPr>
                  </w:pPr>
                  <w:r>
                    <w:rPr>
                      <w:rFonts w:hint="eastAsia"/>
                      <w:b/>
                      <w:bCs/>
                      <w:szCs w:val="21"/>
                      <w:highlight w:val="none"/>
                    </w:rPr>
                    <w:t>无组织污染源</w:t>
                  </w:r>
                </w:p>
              </w:tc>
              <w:tc>
                <w:tcPr>
                  <w:tcW w:w="1032" w:type="dxa"/>
                  <w:tcBorders>
                    <w:tl2br w:val="nil"/>
                    <w:tr2bl w:val="nil"/>
                  </w:tcBorders>
                  <w:vAlign w:val="center"/>
                </w:tcPr>
                <w:p>
                  <w:pPr>
                    <w:jc w:val="center"/>
                    <w:rPr>
                      <w:b/>
                      <w:bCs/>
                      <w:szCs w:val="21"/>
                      <w:highlight w:val="none"/>
                    </w:rPr>
                  </w:pPr>
                  <w:r>
                    <w:rPr>
                      <w:b/>
                      <w:bCs/>
                      <w:szCs w:val="21"/>
                      <w:highlight w:val="none"/>
                    </w:rPr>
                    <w:t>Qc</w:t>
                  </w:r>
                </w:p>
                <w:p>
                  <w:pPr>
                    <w:jc w:val="center"/>
                    <w:rPr>
                      <w:b/>
                      <w:bCs/>
                      <w:szCs w:val="21"/>
                      <w:highlight w:val="none"/>
                    </w:rPr>
                  </w:pPr>
                  <w:r>
                    <w:rPr>
                      <w:b/>
                      <w:bCs/>
                      <w:szCs w:val="21"/>
                      <w:highlight w:val="none"/>
                    </w:rPr>
                    <w:t>(kg/h)</w:t>
                  </w:r>
                </w:p>
              </w:tc>
              <w:tc>
                <w:tcPr>
                  <w:tcW w:w="1095" w:type="dxa"/>
                  <w:tcBorders>
                    <w:tl2br w:val="nil"/>
                    <w:tr2bl w:val="nil"/>
                  </w:tcBorders>
                  <w:vAlign w:val="center"/>
                </w:tcPr>
                <w:p>
                  <w:pPr>
                    <w:jc w:val="center"/>
                    <w:rPr>
                      <w:b/>
                      <w:bCs/>
                      <w:szCs w:val="21"/>
                      <w:highlight w:val="none"/>
                    </w:rPr>
                  </w:pPr>
                  <w:r>
                    <w:rPr>
                      <w:b/>
                      <w:bCs/>
                      <w:szCs w:val="21"/>
                      <w:highlight w:val="none"/>
                    </w:rPr>
                    <w:t>Cm</w:t>
                  </w:r>
                </w:p>
                <w:p>
                  <w:pPr>
                    <w:jc w:val="center"/>
                    <w:rPr>
                      <w:b/>
                      <w:bCs/>
                      <w:szCs w:val="21"/>
                      <w:highlight w:val="none"/>
                    </w:rPr>
                  </w:pPr>
                  <w:r>
                    <w:rPr>
                      <w:b/>
                      <w:bCs/>
                      <w:szCs w:val="21"/>
                      <w:highlight w:val="none"/>
                    </w:rPr>
                    <w:t>(mg/m</w:t>
                  </w:r>
                  <w:r>
                    <w:rPr>
                      <w:b/>
                      <w:bCs/>
                      <w:szCs w:val="21"/>
                      <w:highlight w:val="none"/>
                      <w:vertAlign w:val="superscript"/>
                    </w:rPr>
                    <w:t>3</w:t>
                  </w:r>
                  <w:r>
                    <w:rPr>
                      <w:b/>
                      <w:bCs/>
                      <w:szCs w:val="21"/>
                      <w:highlight w:val="none"/>
                    </w:rPr>
                    <w:t>)</w:t>
                  </w:r>
                </w:p>
              </w:tc>
              <w:tc>
                <w:tcPr>
                  <w:tcW w:w="1741" w:type="dxa"/>
                  <w:tcBorders>
                    <w:tl2br w:val="nil"/>
                    <w:tr2bl w:val="nil"/>
                  </w:tcBorders>
                  <w:vAlign w:val="center"/>
                </w:tcPr>
                <w:p>
                  <w:pPr>
                    <w:jc w:val="center"/>
                    <w:rPr>
                      <w:b/>
                      <w:bCs/>
                      <w:szCs w:val="21"/>
                      <w:highlight w:val="none"/>
                    </w:rPr>
                  </w:pPr>
                  <w:r>
                    <w:rPr>
                      <w:rFonts w:hint="eastAsia"/>
                      <w:b/>
                      <w:bCs/>
                      <w:szCs w:val="21"/>
                      <w:highlight w:val="none"/>
                    </w:rPr>
                    <w:t>等标排放负荷</w:t>
                  </w:r>
                </w:p>
                <w:p>
                  <w:pPr>
                    <w:jc w:val="center"/>
                    <w:rPr>
                      <w:b/>
                      <w:bCs/>
                      <w:szCs w:val="21"/>
                      <w:highlight w:val="none"/>
                    </w:rPr>
                  </w:pPr>
                  <w:r>
                    <w:rPr>
                      <w:rFonts w:hint="eastAsia"/>
                      <w:b/>
                      <w:bCs/>
                      <w:szCs w:val="21"/>
                      <w:highlight w:val="none"/>
                    </w:rPr>
                    <w:t>Q</w:t>
                  </w:r>
                  <w:r>
                    <w:rPr>
                      <w:rFonts w:hint="eastAsia"/>
                      <w:b/>
                      <w:bCs/>
                      <w:szCs w:val="21"/>
                      <w:highlight w:val="none"/>
                      <w:vertAlign w:val="subscript"/>
                    </w:rPr>
                    <w:t>c</w:t>
                  </w:r>
                  <w:r>
                    <w:rPr>
                      <w:rFonts w:hint="eastAsia"/>
                      <w:b/>
                      <w:bCs/>
                      <w:szCs w:val="21"/>
                      <w:highlight w:val="none"/>
                    </w:rPr>
                    <w:t>/C</w:t>
                  </w:r>
                  <w:r>
                    <w:rPr>
                      <w:rFonts w:hint="eastAsia"/>
                      <w:b/>
                      <w:bCs/>
                      <w:szCs w:val="21"/>
                      <w:highlight w:val="none"/>
                      <w:vertAlign w:val="subscript"/>
                    </w:rPr>
                    <w:t>m</w:t>
                  </w:r>
                </w:p>
              </w:tc>
              <w:tc>
                <w:tcPr>
                  <w:tcW w:w="1220" w:type="dxa"/>
                  <w:tcBorders>
                    <w:tl2br w:val="nil"/>
                    <w:tr2bl w:val="nil"/>
                  </w:tcBorders>
                  <w:vAlign w:val="center"/>
                </w:tcPr>
                <w:p>
                  <w:pPr>
                    <w:jc w:val="center"/>
                    <w:rPr>
                      <w:b/>
                      <w:bCs/>
                      <w:szCs w:val="21"/>
                      <w:highlight w:val="none"/>
                    </w:rPr>
                  </w:pPr>
                  <w:r>
                    <w:rPr>
                      <w:rFonts w:hint="eastAsia"/>
                      <w:b/>
                      <w:bCs/>
                      <w:szCs w:val="21"/>
                      <w:highlight w:val="none"/>
                    </w:rPr>
                    <w:t>排名</w:t>
                  </w:r>
                </w:p>
              </w:tc>
              <w:tc>
                <w:tcPr>
                  <w:tcW w:w="1220" w:type="dxa"/>
                  <w:tcBorders>
                    <w:tl2br w:val="nil"/>
                    <w:tr2bl w:val="nil"/>
                  </w:tcBorders>
                  <w:vAlign w:val="center"/>
                </w:tcPr>
                <w:p>
                  <w:pPr>
                    <w:jc w:val="center"/>
                    <w:rPr>
                      <w:b/>
                      <w:bCs/>
                      <w:szCs w:val="21"/>
                      <w:highlight w:val="none"/>
                    </w:rPr>
                  </w:pPr>
                  <w:r>
                    <w:rPr>
                      <w:rFonts w:hint="eastAsia"/>
                      <w:b/>
                      <w:bCs/>
                      <w:szCs w:val="21"/>
                      <w:highlight w:val="none"/>
                    </w:rPr>
                    <w:t>是否参与计算</w:t>
                  </w:r>
                </w:p>
              </w:tc>
              <w:tc>
                <w:tcPr>
                  <w:tcW w:w="1231" w:type="dxa"/>
                  <w:tcBorders>
                    <w:tl2br w:val="nil"/>
                    <w:tr2bl w:val="nil"/>
                  </w:tcBorders>
                  <w:vAlign w:val="center"/>
                </w:tcPr>
                <w:p>
                  <w:pPr>
                    <w:jc w:val="center"/>
                    <w:rPr>
                      <w:b/>
                      <w:bCs/>
                      <w:szCs w:val="21"/>
                      <w:highlight w:val="none"/>
                    </w:rPr>
                  </w:pPr>
                  <w:r>
                    <w:rPr>
                      <w:rFonts w:hint="eastAsia"/>
                      <w:b/>
                      <w:bCs/>
                      <w:szCs w:val="21"/>
                      <w:highlight w:val="none"/>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4" w:type="dxa"/>
                  <w:tcBorders>
                    <w:tl2br w:val="nil"/>
                    <w:tr2bl w:val="nil"/>
                  </w:tcBorders>
                  <w:vAlign w:val="center"/>
                </w:tcPr>
                <w:p>
                  <w:pPr>
                    <w:jc w:val="center"/>
                    <w:rPr>
                      <w:szCs w:val="21"/>
                      <w:highlight w:val="none"/>
                    </w:rPr>
                  </w:pPr>
                  <w:r>
                    <w:rPr>
                      <w:rFonts w:hint="eastAsia"/>
                      <w:szCs w:val="21"/>
                      <w:highlight w:val="none"/>
                    </w:rPr>
                    <w:t>氨</w:t>
                  </w:r>
                </w:p>
              </w:tc>
              <w:tc>
                <w:tcPr>
                  <w:tcW w:w="1032" w:type="dxa"/>
                  <w:tcBorders>
                    <w:tl2br w:val="nil"/>
                    <w:tr2bl w:val="nil"/>
                  </w:tcBorders>
                  <w:vAlign w:val="center"/>
                </w:tcPr>
                <w:p>
                  <w:pPr>
                    <w:jc w:val="center"/>
                    <w:rPr>
                      <w:szCs w:val="21"/>
                      <w:highlight w:val="none"/>
                    </w:rPr>
                  </w:pPr>
                  <w:r>
                    <w:rPr>
                      <w:rFonts w:hint="eastAsia"/>
                      <w:szCs w:val="21"/>
                      <w:highlight w:val="none"/>
                    </w:rPr>
                    <w:t>0.019</w:t>
                  </w:r>
                </w:p>
              </w:tc>
              <w:tc>
                <w:tcPr>
                  <w:tcW w:w="1095" w:type="dxa"/>
                  <w:tcBorders>
                    <w:tl2br w:val="nil"/>
                    <w:tr2bl w:val="nil"/>
                  </w:tcBorders>
                  <w:vAlign w:val="center"/>
                </w:tcPr>
                <w:p>
                  <w:pPr>
                    <w:jc w:val="center"/>
                    <w:rPr>
                      <w:szCs w:val="21"/>
                      <w:highlight w:val="none"/>
                    </w:rPr>
                  </w:pPr>
                  <w:r>
                    <w:rPr>
                      <w:rFonts w:hint="eastAsia"/>
                      <w:szCs w:val="21"/>
                      <w:highlight w:val="none"/>
                    </w:rPr>
                    <w:t>1.0</w:t>
                  </w:r>
                </w:p>
              </w:tc>
              <w:tc>
                <w:tcPr>
                  <w:tcW w:w="1741" w:type="dxa"/>
                  <w:tcBorders>
                    <w:tl2br w:val="nil"/>
                    <w:tr2bl w:val="nil"/>
                  </w:tcBorders>
                  <w:vAlign w:val="center"/>
                </w:tcPr>
                <w:p>
                  <w:pPr>
                    <w:jc w:val="center"/>
                    <w:rPr>
                      <w:szCs w:val="21"/>
                      <w:highlight w:val="none"/>
                    </w:rPr>
                  </w:pPr>
                  <w:r>
                    <w:rPr>
                      <w:rFonts w:hint="eastAsia"/>
                      <w:szCs w:val="21"/>
                      <w:highlight w:val="none"/>
                    </w:rPr>
                    <w:t>0.019</w:t>
                  </w:r>
                </w:p>
              </w:tc>
              <w:tc>
                <w:tcPr>
                  <w:tcW w:w="1220" w:type="dxa"/>
                  <w:tcBorders>
                    <w:tl2br w:val="nil"/>
                    <w:tr2bl w:val="nil"/>
                  </w:tcBorders>
                  <w:vAlign w:val="center"/>
                </w:tcPr>
                <w:p>
                  <w:pPr>
                    <w:jc w:val="center"/>
                    <w:rPr>
                      <w:szCs w:val="21"/>
                      <w:highlight w:val="none"/>
                    </w:rPr>
                  </w:pPr>
                  <w:r>
                    <w:rPr>
                      <w:rFonts w:hint="eastAsia"/>
                      <w:szCs w:val="21"/>
                      <w:highlight w:val="none"/>
                    </w:rPr>
                    <w:t>2</w:t>
                  </w:r>
                </w:p>
              </w:tc>
              <w:tc>
                <w:tcPr>
                  <w:tcW w:w="1220" w:type="dxa"/>
                  <w:tcBorders>
                    <w:tl2br w:val="nil"/>
                    <w:tr2bl w:val="nil"/>
                  </w:tcBorders>
                  <w:vAlign w:val="center"/>
                </w:tcPr>
                <w:p>
                  <w:pPr>
                    <w:jc w:val="center"/>
                    <w:rPr>
                      <w:szCs w:val="21"/>
                      <w:highlight w:val="none"/>
                    </w:rPr>
                  </w:pPr>
                  <w:r>
                    <w:rPr>
                      <w:rFonts w:hint="eastAsia"/>
                      <w:szCs w:val="21"/>
                      <w:highlight w:val="none"/>
                    </w:rPr>
                    <w:t>否</w:t>
                  </w:r>
                </w:p>
              </w:tc>
              <w:tc>
                <w:tcPr>
                  <w:tcW w:w="1231" w:type="dxa"/>
                  <w:vMerge w:val="restart"/>
                  <w:tcBorders>
                    <w:tl2br w:val="nil"/>
                    <w:tr2bl w:val="nil"/>
                  </w:tcBorders>
                  <w:vAlign w:val="center"/>
                </w:tcPr>
                <w:p>
                  <w:pPr>
                    <w:autoSpaceDE w:val="0"/>
                    <w:autoSpaceDN w:val="0"/>
                    <w:rPr>
                      <w:szCs w:val="21"/>
                      <w:highlight w:val="none"/>
                    </w:rPr>
                  </w:pPr>
                  <w:r>
                    <w:rPr>
                      <w:szCs w:val="21"/>
                      <w:highlight w:val="none"/>
                    </w:rPr>
                    <w:t>等标差值大于10%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Borders>
                    <w:tl2br w:val="nil"/>
                    <w:tr2bl w:val="nil"/>
                  </w:tcBorders>
                  <w:vAlign w:val="center"/>
                </w:tcPr>
                <w:p>
                  <w:pPr>
                    <w:jc w:val="center"/>
                    <w:rPr>
                      <w:szCs w:val="21"/>
                      <w:highlight w:val="none"/>
                    </w:rPr>
                  </w:pPr>
                  <w:r>
                    <w:rPr>
                      <w:rFonts w:hint="eastAsia"/>
                      <w:szCs w:val="21"/>
                      <w:highlight w:val="none"/>
                    </w:rPr>
                    <w:t>硫化氢</w:t>
                  </w:r>
                </w:p>
              </w:tc>
              <w:tc>
                <w:tcPr>
                  <w:tcW w:w="1032" w:type="dxa"/>
                  <w:tcBorders>
                    <w:tl2br w:val="nil"/>
                    <w:tr2bl w:val="nil"/>
                  </w:tcBorders>
                  <w:vAlign w:val="center"/>
                </w:tcPr>
                <w:p>
                  <w:pPr>
                    <w:jc w:val="center"/>
                    <w:rPr>
                      <w:szCs w:val="21"/>
                      <w:highlight w:val="none"/>
                    </w:rPr>
                  </w:pPr>
                  <w:r>
                    <w:rPr>
                      <w:rFonts w:hint="eastAsia"/>
                      <w:szCs w:val="21"/>
                      <w:highlight w:val="none"/>
                    </w:rPr>
                    <w:t>0.0007</w:t>
                  </w:r>
                </w:p>
              </w:tc>
              <w:tc>
                <w:tcPr>
                  <w:tcW w:w="1095" w:type="dxa"/>
                  <w:tcBorders>
                    <w:tl2br w:val="nil"/>
                    <w:tr2bl w:val="nil"/>
                  </w:tcBorders>
                  <w:vAlign w:val="center"/>
                </w:tcPr>
                <w:p>
                  <w:pPr>
                    <w:jc w:val="center"/>
                    <w:rPr>
                      <w:szCs w:val="21"/>
                      <w:highlight w:val="none"/>
                    </w:rPr>
                  </w:pPr>
                  <w:r>
                    <w:rPr>
                      <w:rFonts w:hint="eastAsia"/>
                      <w:szCs w:val="21"/>
                      <w:highlight w:val="none"/>
                    </w:rPr>
                    <w:t>0.03</w:t>
                  </w:r>
                </w:p>
              </w:tc>
              <w:tc>
                <w:tcPr>
                  <w:tcW w:w="1741" w:type="dxa"/>
                  <w:tcBorders>
                    <w:tl2br w:val="nil"/>
                    <w:tr2bl w:val="nil"/>
                  </w:tcBorders>
                  <w:vAlign w:val="center"/>
                </w:tcPr>
                <w:p>
                  <w:pPr>
                    <w:jc w:val="center"/>
                    <w:rPr>
                      <w:szCs w:val="21"/>
                      <w:highlight w:val="none"/>
                    </w:rPr>
                  </w:pPr>
                  <w:r>
                    <w:rPr>
                      <w:rFonts w:hint="eastAsia"/>
                      <w:szCs w:val="21"/>
                      <w:highlight w:val="none"/>
                    </w:rPr>
                    <w:t>0.023</w:t>
                  </w:r>
                </w:p>
              </w:tc>
              <w:tc>
                <w:tcPr>
                  <w:tcW w:w="1220" w:type="dxa"/>
                  <w:tcBorders>
                    <w:tl2br w:val="nil"/>
                    <w:tr2bl w:val="nil"/>
                  </w:tcBorders>
                  <w:vAlign w:val="center"/>
                </w:tcPr>
                <w:p>
                  <w:pPr>
                    <w:jc w:val="center"/>
                    <w:rPr>
                      <w:szCs w:val="21"/>
                      <w:highlight w:val="none"/>
                    </w:rPr>
                  </w:pPr>
                  <w:r>
                    <w:rPr>
                      <w:rFonts w:hint="eastAsia"/>
                      <w:szCs w:val="21"/>
                      <w:highlight w:val="none"/>
                    </w:rPr>
                    <w:t>1</w:t>
                  </w:r>
                </w:p>
              </w:tc>
              <w:tc>
                <w:tcPr>
                  <w:tcW w:w="1220" w:type="dxa"/>
                  <w:tcBorders>
                    <w:tl2br w:val="nil"/>
                    <w:tr2bl w:val="nil"/>
                  </w:tcBorders>
                  <w:vAlign w:val="center"/>
                </w:tcPr>
                <w:p>
                  <w:pPr>
                    <w:jc w:val="center"/>
                    <w:rPr>
                      <w:szCs w:val="21"/>
                      <w:highlight w:val="none"/>
                    </w:rPr>
                  </w:pPr>
                  <w:r>
                    <w:rPr>
                      <w:rFonts w:hint="eastAsia"/>
                      <w:szCs w:val="21"/>
                      <w:highlight w:val="none"/>
                    </w:rPr>
                    <w:t>是</w:t>
                  </w:r>
                </w:p>
              </w:tc>
              <w:tc>
                <w:tcPr>
                  <w:tcW w:w="1231" w:type="dxa"/>
                  <w:vMerge w:val="continue"/>
                  <w:tcBorders>
                    <w:tl2br w:val="nil"/>
                    <w:tr2bl w:val="nil"/>
                  </w:tcBorders>
                  <w:vAlign w:val="center"/>
                </w:tcPr>
                <w:p>
                  <w:pPr>
                    <w:jc w:val="center"/>
                    <w:rPr>
                      <w:szCs w:val="21"/>
                      <w:highlight w:val="none"/>
                    </w:rPr>
                  </w:pPr>
                </w:p>
              </w:tc>
            </w:tr>
          </w:tbl>
          <w:p>
            <w:pPr>
              <w:spacing w:line="360" w:lineRule="auto"/>
              <w:ind w:firstLine="480" w:firstLineChars="200"/>
              <w:rPr>
                <w:sz w:val="24"/>
                <w:highlight w:val="none"/>
              </w:rPr>
            </w:pPr>
            <w:r>
              <w:rPr>
                <w:sz w:val="24"/>
                <w:highlight w:val="none"/>
              </w:rPr>
              <w:t>根据导则计算公式</w:t>
            </w:r>
            <w:r>
              <w:rPr>
                <w:rFonts w:hint="eastAsia"/>
                <w:sz w:val="24"/>
                <w:highlight w:val="none"/>
              </w:rPr>
              <w:t>，</w:t>
            </w:r>
            <w:r>
              <w:rPr>
                <w:sz w:val="24"/>
                <w:highlight w:val="none"/>
              </w:rPr>
              <w:t>则本项目取两种污染物</w:t>
            </w:r>
            <w:r>
              <w:rPr>
                <w:rFonts w:hint="eastAsia"/>
                <w:sz w:val="24"/>
                <w:highlight w:val="none"/>
              </w:rPr>
              <w:t>氨和硫化氢</w:t>
            </w:r>
            <w:r>
              <w:rPr>
                <w:sz w:val="24"/>
                <w:highlight w:val="none"/>
              </w:rPr>
              <w:t>计算等标排放量差值为（</w:t>
            </w:r>
            <w:r>
              <w:rPr>
                <w:rFonts w:hint="eastAsia"/>
                <w:sz w:val="24"/>
                <w:highlight w:val="none"/>
              </w:rPr>
              <w:t>0.023</w:t>
            </w:r>
            <w:r>
              <w:rPr>
                <w:sz w:val="24"/>
                <w:highlight w:val="none"/>
              </w:rPr>
              <w:t>-</w:t>
            </w:r>
            <w:r>
              <w:rPr>
                <w:rFonts w:hint="eastAsia"/>
                <w:sz w:val="24"/>
                <w:highlight w:val="none"/>
              </w:rPr>
              <w:t>0.019</w:t>
            </w:r>
            <w:r>
              <w:rPr>
                <w:sz w:val="24"/>
                <w:highlight w:val="none"/>
              </w:rPr>
              <w:t>）/</w:t>
            </w:r>
            <w:r>
              <w:rPr>
                <w:rFonts w:hint="eastAsia"/>
                <w:sz w:val="24"/>
                <w:highlight w:val="none"/>
              </w:rPr>
              <w:t>0.023</w:t>
            </w:r>
            <w:r>
              <w:rPr>
                <w:sz w:val="24"/>
                <w:highlight w:val="none"/>
              </w:rPr>
              <w:t>=</w:t>
            </w:r>
            <w:r>
              <w:rPr>
                <w:rFonts w:hint="eastAsia"/>
                <w:sz w:val="24"/>
                <w:highlight w:val="none"/>
              </w:rPr>
              <w:t>17</w:t>
            </w:r>
            <w:r>
              <w:rPr>
                <w:sz w:val="24"/>
                <w:highlight w:val="none"/>
              </w:rPr>
              <w:t>%</w:t>
            </w:r>
            <w:r>
              <w:rPr>
                <w:rFonts w:hint="eastAsia"/>
                <w:sz w:val="24"/>
                <w:highlight w:val="none"/>
              </w:rPr>
              <w:t>＞</w:t>
            </w:r>
            <w:r>
              <w:rPr>
                <w:sz w:val="24"/>
                <w:highlight w:val="none"/>
              </w:rPr>
              <w:t>10%，则本项目基于单个污染物的等标排放量计算结果，优先选择等标排放量最大的</w:t>
            </w:r>
            <w:r>
              <w:rPr>
                <w:rFonts w:hint="eastAsia"/>
                <w:sz w:val="24"/>
                <w:highlight w:val="none"/>
              </w:rPr>
              <w:t>硫化氢</w:t>
            </w:r>
            <w:r>
              <w:rPr>
                <w:sz w:val="24"/>
                <w:highlight w:val="none"/>
              </w:rPr>
              <w:t>为企业厂房无组织排放的主要特征大气有害物质计算卫生防护距离初值</w:t>
            </w:r>
            <w:r>
              <w:rPr>
                <w:rFonts w:hint="eastAsia"/>
                <w:sz w:val="24"/>
                <w:highlight w:val="none"/>
              </w:rPr>
              <w:t>来确定</w:t>
            </w:r>
            <w:r>
              <w:rPr>
                <w:sz w:val="24"/>
                <w:highlight w:val="none"/>
              </w:rPr>
              <w:t>卫生防护距离</w:t>
            </w:r>
            <w:r>
              <w:rPr>
                <w:rFonts w:hint="eastAsia"/>
                <w:sz w:val="24"/>
                <w:highlight w:val="none"/>
              </w:rPr>
              <w:t>终值。</w:t>
            </w:r>
            <w:r>
              <w:rPr>
                <w:sz w:val="24"/>
                <w:highlight w:val="none"/>
              </w:rPr>
              <w:t>无组织排放源的卫生防护距离，可由下式计算：</w:t>
            </w:r>
          </w:p>
          <w:p>
            <w:pPr>
              <w:spacing w:line="360" w:lineRule="auto"/>
              <w:jc w:val="center"/>
              <w:rPr>
                <w:sz w:val="24"/>
                <w:highlight w:val="none"/>
              </w:rPr>
            </w:pPr>
            <w:r>
              <w:rPr>
                <w:sz w:val="24"/>
                <w:highlight w:val="none"/>
              </w:rPr>
              <w:drawing>
                <wp:inline distT="0" distB="0" distL="0" distR="0">
                  <wp:extent cx="3008630" cy="422275"/>
                  <wp:effectExtent l="0" t="0" r="0" b="15875"/>
                  <wp:docPr id="1038" name="图片 7"/>
                  <wp:cNvGraphicFramePr/>
                  <a:graphic xmlns:a="http://schemas.openxmlformats.org/drawingml/2006/main">
                    <a:graphicData uri="http://schemas.openxmlformats.org/drawingml/2006/picture">
                      <pic:pic xmlns:pic="http://schemas.openxmlformats.org/drawingml/2006/picture">
                        <pic:nvPicPr>
                          <pic:cNvPr id="1038" name="图片 7"/>
                          <pic:cNvPicPr/>
                        </pic:nvPicPr>
                        <pic:blipFill>
                          <a:blip r:embed="rId19" cstate="print"/>
                          <a:srcRect/>
                          <a:stretch>
                            <a:fillRect/>
                          </a:stretch>
                        </pic:blipFill>
                        <pic:spPr>
                          <a:xfrm>
                            <a:off x="0" y="0"/>
                            <a:ext cx="3008630" cy="422275"/>
                          </a:xfrm>
                          <a:prstGeom prst="rect">
                            <a:avLst/>
                          </a:prstGeom>
                          <a:ln>
                            <a:noFill/>
                          </a:ln>
                        </pic:spPr>
                      </pic:pic>
                    </a:graphicData>
                  </a:graphic>
                </wp:inline>
              </w:drawing>
            </w:r>
          </w:p>
          <w:p>
            <w:pPr>
              <w:spacing w:line="360" w:lineRule="auto"/>
              <w:ind w:firstLine="480" w:firstLineChars="200"/>
              <w:rPr>
                <w:sz w:val="24"/>
                <w:highlight w:val="none"/>
              </w:rPr>
            </w:pPr>
            <w:r>
              <w:rPr>
                <w:sz w:val="24"/>
                <w:highlight w:val="none"/>
              </w:rPr>
              <w:t>式中：Qc－大气有害物质的无组织排放量，kg/h；</w:t>
            </w:r>
          </w:p>
          <w:p>
            <w:pPr>
              <w:spacing w:line="360" w:lineRule="auto"/>
              <w:ind w:firstLine="1200" w:firstLineChars="500"/>
              <w:rPr>
                <w:sz w:val="24"/>
                <w:highlight w:val="none"/>
              </w:rPr>
            </w:pPr>
            <w:r>
              <w:rPr>
                <w:sz w:val="24"/>
                <w:highlight w:val="none"/>
              </w:rPr>
              <w:t>Cm－大气有害物质环境空气质量的标准限值，mg/m</w:t>
            </w:r>
            <w:r>
              <w:rPr>
                <w:sz w:val="24"/>
                <w:highlight w:val="none"/>
                <w:vertAlign w:val="superscript"/>
              </w:rPr>
              <w:t>3</w:t>
            </w:r>
            <w:r>
              <w:rPr>
                <w:sz w:val="24"/>
                <w:highlight w:val="none"/>
              </w:rPr>
              <w:t>；</w:t>
            </w:r>
            <w:r>
              <w:rPr>
                <w:sz w:val="24"/>
                <w:highlight w:val="none"/>
              </w:rPr>
              <w:object>
                <v:shape id="_x0000_i1025" o:spt="75" type="#_x0000_t75" style="height:8.25pt;width:6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p>
          <w:p>
            <w:pPr>
              <w:spacing w:line="360" w:lineRule="auto"/>
              <w:ind w:firstLine="1200" w:firstLineChars="500"/>
              <w:rPr>
                <w:sz w:val="24"/>
                <w:highlight w:val="none"/>
              </w:rPr>
            </w:pPr>
            <w:r>
              <w:rPr>
                <w:sz w:val="24"/>
                <w:highlight w:val="none"/>
              </w:rPr>
              <w:t>L  －大气有害物质卫生防护距离初值，m；</w:t>
            </w:r>
          </w:p>
          <w:p>
            <w:pPr>
              <w:spacing w:line="360" w:lineRule="auto"/>
              <w:ind w:firstLine="1200" w:firstLineChars="500"/>
              <w:rPr>
                <w:sz w:val="24"/>
                <w:highlight w:val="none"/>
              </w:rPr>
            </w:pPr>
            <w:r>
              <w:rPr>
                <w:sz w:val="24"/>
                <w:highlight w:val="none"/>
              </w:rPr>
              <w:t>r  －大气有害物质无组织排放源所在生产单元的等效半径，m；</w:t>
            </w:r>
          </w:p>
          <w:p>
            <w:pPr>
              <w:spacing w:line="360" w:lineRule="auto"/>
              <w:ind w:firstLine="1200" w:firstLineChars="500"/>
              <w:rPr>
                <w:sz w:val="24"/>
                <w:highlight w:val="none"/>
              </w:rPr>
            </w:pPr>
            <w:r>
              <w:rPr>
                <w:sz w:val="24"/>
                <w:highlight w:val="none"/>
              </w:rPr>
              <w:t>A、B、C、D－卫生防护距离初值计算系数，从GB/T39499-2020表1卫生防护距离初值计算系数中查取。</w:t>
            </w:r>
          </w:p>
          <w:p>
            <w:pPr>
              <w:spacing w:line="360" w:lineRule="auto"/>
              <w:ind w:firstLine="480" w:firstLineChars="200"/>
              <w:rPr>
                <w:sz w:val="24"/>
                <w:highlight w:val="none"/>
              </w:rPr>
            </w:pPr>
            <w:r>
              <w:rPr>
                <w:sz w:val="24"/>
                <w:highlight w:val="none"/>
              </w:rPr>
              <w:t>卫生防护距离计算公式中源强及参数确定见表4</w:t>
            </w:r>
            <w:r>
              <w:rPr>
                <w:rFonts w:hint="eastAsia"/>
                <w:sz w:val="24"/>
                <w:highlight w:val="none"/>
              </w:rPr>
              <w:t>-6</w:t>
            </w:r>
            <w:r>
              <w:rPr>
                <w:sz w:val="24"/>
                <w:highlight w:val="none"/>
              </w:rPr>
              <w:t>。</w:t>
            </w:r>
          </w:p>
          <w:p>
            <w:pPr>
              <w:jc w:val="center"/>
              <w:rPr>
                <w:b/>
                <w:szCs w:val="21"/>
                <w:highlight w:val="none"/>
                <w:lang w:val="en-GB"/>
              </w:rPr>
            </w:pPr>
            <w:r>
              <w:rPr>
                <w:b/>
                <w:szCs w:val="21"/>
                <w:highlight w:val="none"/>
                <w:lang w:val="en-GB"/>
              </w:rPr>
              <w:t>表</w:t>
            </w:r>
            <w:r>
              <w:rPr>
                <w:rFonts w:hint="eastAsia"/>
                <w:b/>
                <w:szCs w:val="21"/>
                <w:highlight w:val="none"/>
                <w:lang w:val="en-GB"/>
              </w:rPr>
              <w:t>4</w:t>
            </w:r>
            <w:r>
              <w:rPr>
                <w:b/>
                <w:szCs w:val="21"/>
                <w:highlight w:val="none"/>
                <w:lang w:val="en-GB"/>
              </w:rPr>
              <w:t>-</w:t>
            </w:r>
            <w:r>
              <w:rPr>
                <w:rFonts w:hint="eastAsia"/>
                <w:b/>
                <w:szCs w:val="21"/>
                <w:highlight w:val="none"/>
              </w:rPr>
              <w:t xml:space="preserve">6  </w:t>
            </w:r>
            <w:r>
              <w:rPr>
                <w:b/>
                <w:szCs w:val="21"/>
                <w:highlight w:val="none"/>
                <w:lang w:val="en-GB"/>
              </w:rPr>
              <w:t xml:space="preserve"> 卫生防护距离预测参数表</w:t>
            </w:r>
          </w:p>
          <w:tbl>
            <w:tblPr>
              <w:tblStyle w:val="39"/>
              <w:tblW w:w="499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32"/>
              <w:gridCol w:w="705"/>
              <w:gridCol w:w="804"/>
              <w:gridCol w:w="990"/>
              <w:gridCol w:w="593"/>
              <w:gridCol w:w="662"/>
              <w:gridCol w:w="890"/>
              <w:gridCol w:w="474"/>
              <w:gridCol w:w="483"/>
              <w:gridCol w:w="464"/>
              <w:gridCol w:w="474"/>
              <w:gridCol w:w="852"/>
              <w:gridCol w:w="5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7" w:type="pct"/>
                  <w:tcBorders>
                    <w:tl2br w:val="nil"/>
                    <w:tr2bl w:val="nil"/>
                  </w:tcBorders>
                  <w:vAlign w:val="center"/>
                </w:tcPr>
                <w:p>
                  <w:pPr>
                    <w:spacing w:before="24" w:beforeLines="10" w:after="24" w:afterLines="10"/>
                    <w:jc w:val="center"/>
                    <w:rPr>
                      <w:szCs w:val="21"/>
                      <w:highlight w:val="none"/>
                    </w:rPr>
                  </w:pPr>
                  <w:r>
                    <w:rPr>
                      <w:rFonts w:hint="eastAsia"/>
                      <w:szCs w:val="21"/>
                      <w:highlight w:val="none"/>
                    </w:rPr>
                    <w:t>产生面源</w:t>
                  </w:r>
                </w:p>
              </w:tc>
              <w:tc>
                <w:tcPr>
                  <w:tcW w:w="409" w:type="pct"/>
                  <w:tcBorders>
                    <w:tl2br w:val="nil"/>
                    <w:tr2bl w:val="nil"/>
                  </w:tcBorders>
                  <w:vAlign w:val="center"/>
                </w:tcPr>
                <w:p>
                  <w:pPr>
                    <w:spacing w:before="24" w:beforeLines="10" w:after="24" w:afterLines="10"/>
                    <w:jc w:val="center"/>
                    <w:rPr>
                      <w:szCs w:val="21"/>
                      <w:highlight w:val="none"/>
                    </w:rPr>
                  </w:pPr>
                  <w:r>
                    <w:rPr>
                      <w:rFonts w:hint="eastAsia"/>
                      <w:szCs w:val="21"/>
                      <w:highlight w:val="none"/>
                    </w:rPr>
                    <w:t>污染物</w:t>
                  </w:r>
                </w:p>
              </w:tc>
              <w:tc>
                <w:tcPr>
                  <w:tcW w:w="466" w:type="pct"/>
                  <w:tcBorders>
                    <w:tl2br w:val="nil"/>
                    <w:tr2bl w:val="nil"/>
                  </w:tcBorders>
                  <w:vAlign w:val="center"/>
                </w:tcPr>
                <w:p>
                  <w:pPr>
                    <w:spacing w:before="24" w:beforeLines="10" w:after="24" w:afterLines="10"/>
                    <w:jc w:val="center"/>
                    <w:rPr>
                      <w:szCs w:val="21"/>
                      <w:highlight w:val="none"/>
                    </w:rPr>
                  </w:pPr>
                  <w:r>
                    <w:rPr>
                      <w:kern w:val="0"/>
                      <w:szCs w:val="21"/>
                      <w:highlight w:val="none"/>
                    </w:rPr>
                    <w:t>源强（kg/h）</w:t>
                  </w:r>
                </w:p>
              </w:tc>
              <w:tc>
                <w:tcPr>
                  <w:tcW w:w="574" w:type="pct"/>
                  <w:tcBorders>
                    <w:tl2br w:val="nil"/>
                    <w:tr2bl w:val="nil"/>
                  </w:tcBorders>
                  <w:vAlign w:val="center"/>
                </w:tcPr>
                <w:p>
                  <w:pPr>
                    <w:jc w:val="center"/>
                    <w:rPr>
                      <w:szCs w:val="21"/>
                      <w:highlight w:val="none"/>
                    </w:rPr>
                  </w:pPr>
                  <w:r>
                    <w:rPr>
                      <w:szCs w:val="21"/>
                      <w:highlight w:val="none"/>
                    </w:rPr>
                    <w:t>Cm</w:t>
                  </w:r>
                </w:p>
                <w:p>
                  <w:pPr>
                    <w:spacing w:before="24" w:beforeLines="10" w:after="24" w:afterLines="10"/>
                    <w:jc w:val="center"/>
                    <w:rPr>
                      <w:kern w:val="0"/>
                      <w:szCs w:val="21"/>
                      <w:highlight w:val="none"/>
                    </w:rPr>
                  </w:pPr>
                  <w:r>
                    <w:rPr>
                      <w:kern w:val="0"/>
                      <w:szCs w:val="21"/>
                      <w:highlight w:val="none"/>
                    </w:rPr>
                    <w:t>（mg/m</w:t>
                  </w:r>
                  <w:r>
                    <w:rPr>
                      <w:kern w:val="0"/>
                      <w:szCs w:val="21"/>
                      <w:highlight w:val="none"/>
                      <w:vertAlign w:val="superscript"/>
                    </w:rPr>
                    <w:t>3</w:t>
                  </w:r>
                  <w:r>
                    <w:rPr>
                      <w:kern w:val="0"/>
                      <w:szCs w:val="21"/>
                      <w:highlight w:val="none"/>
                    </w:rPr>
                    <w:t>）</w:t>
                  </w:r>
                </w:p>
              </w:tc>
              <w:tc>
                <w:tcPr>
                  <w:tcW w:w="344" w:type="pct"/>
                  <w:tcBorders>
                    <w:tl2br w:val="nil"/>
                    <w:tr2bl w:val="nil"/>
                  </w:tcBorders>
                  <w:vAlign w:val="center"/>
                </w:tcPr>
                <w:p>
                  <w:pPr>
                    <w:spacing w:before="24" w:beforeLines="10" w:after="24" w:afterLines="10"/>
                    <w:jc w:val="center"/>
                    <w:rPr>
                      <w:rFonts w:hint="default" w:eastAsia="宋体"/>
                      <w:color w:val="0000FF"/>
                      <w:kern w:val="0"/>
                      <w:szCs w:val="21"/>
                      <w:highlight w:val="none"/>
                      <w:lang w:val="en-US" w:eastAsia="zh-CN"/>
                    </w:rPr>
                  </w:pPr>
                  <w:r>
                    <w:rPr>
                      <w:rFonts w:hint="eastAsia"/>
                      <w:color w:val="0000FF"/>
                      <w:kern w:val="0"/>
                      <w:szCs w:val="21"/>
                      <w:highlight w:val="none"/>
                      <w:lang w:val="en-US" w:eastAsia="zh-CN"/>
                    </w:rPr>
                    <w:t>面源排放高度</w:t>
                  </w:r>
                </w:p>
              </w:tc>
              <w:tc>
                <w:tcPr>
                  <w:tcW w:w="384" w:type="pct"/>
                  <w:tcBorders>
                    <w:tl2br w:val="nil"/>
                    <w:tr2bl w:val="nil"/>
                  </w:tcBorders>
                  <w:vAlign w:val="center"/>
                </w:tcPr>
                <w:p>
                  <w:pPr>
                    <w:jc w:val="center"/>
                    <w:rPr>
                      <w:szCs w:val="21"/>
                      <w:highlight w:val="none"/>
                    </w:rPr>
                  </w:pPr>
                  <w:r>
                    <w:rPr>
                      <w:rFonts w:hint="eastAsia"/>
                      <w:szCs w:val="21"/>
                      <w:highlight w:val="none"/>
                    </w:rPr>
                    <w:t>排放源面积（m</w:t>
                  </w:r>
                  <w:r>
                    <w:rPr>
                      <w:rFonts w:hint="eastAsia"/>
                      <w:szCs w:val="21"/>
                      <w:highlight w:val="none"/>
                      <w:vertAlign w:val="superscript"/>
                    </w:rPr>
                    <w:t>2</w:t>
                  </w:r>
                  <w:r>
                    <w:rPr>
                      <w:rFonts w:hint="eastAsia"/>
                      <w:szCs w:val="21"/>
                      <w:highlight w:val="none"/>
                    </w:rPr>
                    <w:t>）</w:t>
                  </w:r>
                </w:p>
              </w:tc>
              <w:tc>
                <w:tcPr>
                  <w:tcW w:w="516" w:type="pct"/>
                  <w:tcBorders>
                    <w:tl2br w:val="nil"/>
                    <w:tr2bl w:val="nil"/>
                  </w:tcBorders>
                  <w:vAlign w:val="center"/>
                </w:tcPr>
                <w:p>
                  <w:pPr>
                    <w:jc w:val="center"/>
                    <w:rPr>
                      <w:szCs w:val="21"/>
                      <w:highlight w:val="none"/>
                    </w:rPr>
                  </w:pPr>
                  <w:r>
                    <w:rPr>
                      <w:rFonts w:hint="eastAsia"/>
                      <w:szCs w:val="21"/>
                      <w:highlight w:val="none"/>
                    </w:rPr>
                    <w:t>工业企业</w:t>
                  </w:r>
                </w:p>
                <w:p>
                  <w:pPr>
                    <w:jc w:val="center"/>
                    <w:rPr>
                      <w:szCs w:val="21"/>
                      <w:highlight w:val="none"/>
                    </w:rPr>
                  </w:pPr>
                  <w:r>
                    <w:rPr>
                      <w:rFonts w:hint="eastAsia"/>
                      <w:szCs w:val="21"/>
                      <w:highlight w:val="none"/>
                    </w:rPr>
                    <w:t>所在地近5年平均风速（m/s）</w:t>
                  </w:r>
                </w:p>
              </w:tc>
              <w:tc>
                <w:tcPr>
                  <w:tcW w:w="275" w:type="pct"/>
                  <w:tcBorders>
                    <w:tl2br w:val="nil"/>
                    <w:tr2bl w:val="nil"/>
                  </w:tcBorders>
                  <w:vAlign w:val="center"/>
                </w:tcPr>
                <w:p>
                  <w:pPr>
                    <w:jc w:val="center"/>
                    <w:rPr>
                      <w:szCs w:val="21"/>
                      <w:highlight w:val="none"/>
                    </w:rPr>
                  </w:pPr>
                  <w:r>
                    <w:rPr>
                      <w:rFonts w:hint="eastAsia"/>
                      <w:szCs w:val="21"/>
                      <w:highlight w:val="none"/>
                    </w:rPr>
                    <w:t>A</w:t>
                  </w:r>
                </w:p>
              </w:tc>
              <w:tc>
                <w:tcPr>
                  <w:tcW w:w="280" w:type="pct"/>
                  <w:tcBorders>
                    <w:tl2br w:val="nil"/>
                    <w:tr2bl w:val="nil"/>
                  </w:tcBorders>
                  <w:vAlign w:val="center"/>
                </w:tcPr>
                <w:p>
                  <w:pPr>
                    <w:jc w:val="center"/>
                    <w:rPr>
                      <w:szCs w:val="21"/>
                      <w:highlight w:val="none"/>
                    </w:rPr>
                  </w:pPr>
                  <w:r>
                    <w:rPr>
                      <w:rFonts w:hint="eastAsia"/>
                      <w:szCs w:val="21"/>
                      <w:highlight w:val="none"/>
                    </w:rPr>
                    <w:t>B</w:t>
                  </w:r>
                </w:p>
              </w:tc>
              <w:tc>
                <w:tcPr>
                  <w:tcW w:w="269" w:type="pct"/>
                  <w:tcBorders>
                    <w:tl2br w:val="nil"/>
                    <w:tr2bl w:val="nil"/>
                  </w:tcBorders>
                  <w:vAlign w:val="center"/>
                </w:tcPr>
                <w:p>
                  <w:pPr>
                    <w:jc w:val="center"/>
                    <w:rPr>
                      <w:szCs w:val="21"/>
                      <w:highlight w:val="none"/>
                    </w:rPr>
                  </w:pPr>
                  <w:r>
                    <w:rPr>
                      <w:rFonts w:hint="eastAsia"/>
                      <w:szCs w:val="21"/>
                      <w:highlight w:val="none"/>
                    </w:rPr>
                    <w:t>C</w:t>
                  </w:r>
                </w:p>
              </w:tc>
              <w:tc>
                <w:tcPr>
                  <w:tcW w:w="275" w:type="pct"/>
                  <w:tcBorders>
                    <w:tl2br w:val="nil"/>
                    <w:tr2bl w:val="nil"/>
                  </w:tcBorders>
                  <w:vAlign w:val="center"/>
                </w:tcPr>
                <w:p>
                  <w:pPr>
                    <w:jc w:val="center"/>
                    <w:rPr>
                      <w:szCs w:val="21"/>
                      <w:highlight w:val="none"/>
                    </w:rPr>
                  </w:pPr>
                  <w:r>
                    <w:rPr>
                      <w:rFonts w:hint="eastAsia"/>
                      <w:szCs w:val="21"/>
                      <w:highlight w:val="none"/>
                    </w:rPr>
                    <w:t>D</w:t>
                  </w:r>
                </w:p>
              </w:tc>
              <w:tc>
                <w:tcPr>
                  <w:tcW w:w="494" w:type="pct"/>
                  <w:tcBorders>
                    <w:tl2br w:val="nil"/>
                    <w:tr2bl w:val="nil"/>
                  </w:tcBorders>
                  <w:vAlign w:val="center"/>
                </w:tcPr>
                <w:p>
                  <w:pPr>
                    <w:jc w:val="center"/>
                    <w:rPr>
                      <w:szCs w:val="21"/>
                      <w:highlight w:val="none"/>
                    </w:rPr>
                  </w:pPr>
                  <w:r>
                    <w:rPr>
                      <w:rFonts w:hint="eastAsia"/>
                      <w:szCs w:val="21"/>
                      <w:highlight w:val="none"/>
                    </w:rPr>
                    <w:t>卫生防护距离计算值（m）</w:t>
                  </w:r>
                </w:p>
              </w:tc>
              <w:tc>
                <w:tcPr>
                  <w:tcW w:w="342" w:type="pct"/>
                  <w:tcBorders>
                    <w:tl2br w:val="nil"/>
                    <w:tr2bl w:val="nil"/>
                  </w:tcBorders>
                  <w:vAlign w:val="center"/>
                </w:tcPr>
                <w:p>
                  <w:pPr>
                    <w:jc w:val="center"/>
                    <w:rPr>
                      <w:szCs w:val="21"/>
                      <w:highlight w:val="none"/>
                    </w:rPr>
                  </w:pPr>
                  <w:r>
                    <w:rPr>
                      <w:rFonts w:hint="eastAsia"/>
                      <w:szCs w:val="21"/>
                      <w:highlight w:val="none"/>
                    </w:rPr>
                    <w:t>卫生防护距离（m）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7" w:type="pct"/>
                  <w:tcBorders>
                    <w:tl2br w:val="nil"/>
                    <w:tr2bl w:val="nil"/>
                  </w:tcBorders>
                  <w:vAlign w:val="center"/>
                </w:tcPr>
                <w:p>
                  <w:pPr>
                    <w:spacing w:before="24" w:beforeLines="10" w:after="24" w:afterLines="10"/>
                    <w:jc w:val="center"/>
                    <w:rPr>
                      <w:bCs/>
                      <w:kern w:val="0"/>
                      <w:szCs w:val="21"/>
                      <w:highlight w:val="none"/>
                    </w:rPr>
                  </w:pPr>
                  <w:r>
                    <w:rPr>
                      <w:rFonts w:hint="eastAsia"/>
                      <w:szCs w:val="21"/>
                      <w:highlight w:val="none"/>
                    </w:rPr>
                    <w:t>污水处理站</w:t>
                  </w:r>
                </w:p>
              </w:tc>
              <w:tc>
                <w:tcPr>
                  <w:tcW w:w="409" w:type="pct"/>
                  <w:tcBorders>
                    <w:tl2br w:val="nil"/>
                    <w:tr2bl w:val="nil"/>
                  </w:tcBorders>
                  <w:vAlign w:val="center"/>
                </w:tcPr>
                <w:p>
                  <w:pPr>
                    <w:spacing w:before="24" w:beforeLines="10" w:after="24" w:afterLines="10"/>
                    <w:jc w:val="center"/>
                    <w:rPr>
                      <w:bCs/>
                      <w:kern w:val="0"/>
                      <w:szCs w:val="21"/>
                      <w:highlight w:val="none"/>
                    </w:rPr>
                  </w:pPr>
                  <w:r>
                    <w:rPr>
                      <w:rFonts w:hint="eastAsia"/>
                      <w:bCs/>
                      <w:kern w:val="0"/>
                      <w:szCs w:val="21"/>
                      <w:highlight w:val="none"/>
                    </w:rPr>
                    <w:t>硫化氢</w:t>
                  </w:r>
                </w:p>
              </w:tc>
              <w:tc>
                <w:tcPr>
                  <w:tcW w:w="466" w:type="pct"/>
                  <w:tcBorders>
                    <w:tl2br w:val="nil"/>
                    <w:tr2bl w:val="nil"/>
                  </w:tcBorders>
                  <w:vAlign w:val="center"/>
                </w:tcPr>
                <w:p>
                  <w:pPr>
                    <w:spacing w:before="24" w:beforeLines="10" w:after="24" w:afterLines="10"/>
                    <w:jc w:val="center"/>
                    <w:rPr>
                      <w:bCs/>
                      <w:kern w:val="0"/>
                      <w:szCs w:val="21"/>
                      <w:highlight w:val="none"/>
                    </w:rPr>
                  </w:pPr>
                  <w:r>
                    <w:rPr>
                      <w:rFonts w:hint="eastAsia"/>
                      <w:bCs/>
                      <w:kern w:val="0"/>
                      <w:szCs w:val="21"/>
                      <w:highlight w:val="none"/>
                    </w:rPr>
                    <w:t>0.0007</w:t>
                  </w:r>
                </w:p>
              </w:tc>
              <w:tc>
                <w:tcPr>
                  <w:tcW w:w="574" w:type="pct"/>
                  <w:tcBorders>
                    <w:tl2br w:val="nil"/>
                    <w:tr2bl w:val="nil"/>
                  </w:tcBorders>
                  <w:vAlign w:val="center"/>
                </w:tcPr>
                <w:p>
                  <w:pPr>
                    <w:spacing w:before="24" w:beforeLines="10" w:after="24" w:afterLines="10"/>
                    <w:jc w:val="center"/>
                    <w:rPr>
                      <w:bCs/>
                      <w:kern w:val="0"/>
                      <w:szCs w:val="21"/>
                      <w:highlight w:val="none"/>
                    </w:rPr>
                  </w:pPr>
                  <w:r>
                    <w:rPr>
                      <w:rFonts w:hint="eastAsia"/>
                      <w:bCs/>
                      <w:kern w:val="0"/>
                      <w:szCs w:val="21"/>
                      <w:highlight w:val="none"/>
                    </w:rPr>
                    <w:t>0.03</w:t>
                  </w:r>
                </w:p>
              </w:tc>
              <w:tc>
                <w:tcPr>
                  <w:tcW w:w="344" w:type="pct"/>
                  <w:tcBorders>
                    <w:tl2br w:val="nil"/>
                    <w:tr2bl w:val="nil"/>
                  </w:tcBorders>
                  <w:vAlign w:val="center"/>
                </w:tcPr>
                <w:p>
                  <w:pPr>
                    <w:spacing w:before="24" w:beforeLines="10" w:after="24" w:afterLines="10"/>
                    <w:jc w:val="center"/>
                    <w:rPr>
                      <w:rFonts w:hint="default" w:eastAsia="宋体"/>
                      <w:bCs/>
                      <w:color w:val="0000FF"/>
                      <w:kern w:val="0"/>
                      <w:szCs w:val="21"/>
                      <w:highlight w:val="none"/>
                      <w:lang w:val="en-US" w:eastAsia="zh-CN"/>
                    </w:rPr>
                  </w:pPr>
                  <w:r>
                    <w:rPr>
                      <w:rFonts w:hint="eastAsia"/>
                      <w:bCs/>
                      <w:color w:val="0000FF"/>
                      <w:kern w:val="0"/>
                      <w:szCs w:val="21"/>
                      <w:highlight w:val="none"/>
                      <w:lang w:val="en-US" w:eastAsia="zh-CN"/>
                    </w:rPr>
                    <w:t>1m</w:t>
                  </w:r>
                </w:p>
              </w:tc>
              <w:tc>
                <w:tcPr>
                  <w:tcW w:w="384" w:type="pct"/>
                  <w:tcBorders>
                    <w:tl2br w:val="nil"/>
                    <w:tr2bl w:val="nil"/>
                  </w:tcBorders>
                  <w:vAlign w:val="center"/>
                </w:tcPr>
                <w:p>
                  <w:pPr>
                    <w:spacing w:before="24" w:beforeLines="10" w:after="24" w:afterLines="10"/>
                    <w:jc w:val="center"/>
                    <w:rPr>
                      <w:rFonts w:hint="default" w:eastAsia="宋体"/>
                      <w:bCs/>
                      <w:kern w:val="0"/>
                      <w:szCs w:val="21"/>
                      <w:highlight w:val="none"/>
                      <w:lang w:val="en-US" w:eastAsia="zh-CN"/>
                    </w:rPr>
                  </w:pPr>
                  <w:r>
                    <w:rPr>
                      <w:rFonts w:hint="eastAsia"/>
                      <w:bCs/>
                      <w:kern w:val="0"/>
                      <w:szCs w:val="21"/>
                      <w:highlight w:val="none"/>
                      <w:lang w:val="en-US" w:eastAsia="zh-CN"/>
                    </w:rPr>
                    <w:t>300</w:t>
                  </w:r>
                </w:p>
              </w:tc>
              <w:tc>
                <w:tcPr>
                  <w:tcW w:w="516" w:type="pct"/>
                  <w:tcBorders>
                    <w:tl2br w:val="nil"/>
                    <w:tr2bl w:val="nil"/>
                  </w:tcBorders>
                  <w:vAlign w:val="center"/>
                </w:tcPr>
                <w:p>
                  <w:pPr>
                    <w:spacing w:before="24" w:beforeLines="10" w:after="24" w:afterLines="10"/>
                    <w:jc w:val="center"/>
                    <w:rPr>
                      <w:rFonts w:hint="default" w:eastAsia="宋体"/>
                      <w:bCs/>
                      <w:kern w:val="0"/>
                      <w:szCs w:val="21"/>
                      <w:highlight w:val="none"/>
                      <w:lang w:val="en-US" w:eastAsia="zh-CN"/>
                    </w:rPr>
                  </w:pPr>
                  <w:r>
                    <w:rPr>
                      <w:rFonts w:hint="eastAsia"/>
                      <w:bCs/>
                      <w:kern w:val="0"/>
                      <w:szCs w:val="21"/>
                      <w:highlight w:val="none"/>
                      <w:lang w:val="en-US" w:eastAsia="zh-CN"/>
                    </w:rPr>
                    <w:t>3.8</w:t>
                  </w:r>
                </w:p>
              </w:tc>
              <w:tc>
                <w:tcPr>
                  <w:tcW w:w="275" w:type="pct"/>
                  <w:tcBorders>
                    <w:tl2br w:val="nil"/>
                    <w:tr2bl w:val="nil"/>
                  </w:tcBorders>
                  <w:vAlign w:val="center"/>
                </w:tcPr>
                <w:p>
                  <w:pPr>
                    <w:jc w:val="center"/>
                    <w:rPr>
                      <w:bCs/>
                      <w:szCs w:val="21"/>
                      <w:highlight w:val="none"/>
                    </w:rPr>
                  </w:pPr>
                  <w:r>
                    <w:rPr>
                      <w:rFonts w:hint="eastAsia"/>
                      <w:bCs/>
                      <w:szCs w:val="21"/>
                      <w:highlight w:val="none"/>
                    </w:rPr>
                    <w:t>470</w:t>
                  </w:r>
                </w:p>
              </w:tc>
              <w:tc>
                <w:tcPr>
                  <w:tcW w:w="280" w:type="pct"/>
                  <w:tcBorders>
                    <w:tl2br w:val="nil"/>
                    <w:tr2bl w:val="nil"/>
                  </w:tcBorders>
                  <w:vAlign w:val="center"/>
                </w:tcPr>
                <w:p>
                  <w:pPr>
                    <w:jc w:val="center"/>
                    <w:rPr>
                      <w:bCs/>
                      <w:szCs w:val="21"/>
                      <w:highlight w:val="none"/>
                    </w:rPr>
                  </w:pPr>
                  <w:r>
                    <w:rPr>
                      <w:rFonts w:hint="eastAsia"/>
                      <w:highlight w:val="none"/>
                    </w:rPr>
                    <w:t>0.021</w:t>
                  </w:r>
                </w:p>
              </w:tc>
              <w:tc>
                <w:tcPr>
                  <w:tcW w:w="269" w:type="pct"/>
                  <w:tcBorders>
                    <w:tl2br w:val="nil"/>
                    <w:tr2bl w:val="nil"/>
                  </w:tcBorders>
                  <w:vAlign w:val="center"/>
                </w:tcPr>
                <w:p>
                  <w:pPr>
                    <w:jc w:val="center"/>
                    <w:rPr>
                      <w:bCs/>
                      <w:szCs w:val="21"/>
                      <w:highlight w:val="none"/>
                    </w:rPr>
                  </w:pPr>
                  <w:r>
                    <w:rPr>
                      <w:rFonts w:hint="eastAsia"/>
                      <w:highlight w:val="none"/>
                    </w:rPr>
                    <w:t>1.85</w:t>
                  </w:r>
                </w:p>
              </w:tc>
              <w:tc>
                <w:tcPr>
                  <w:tcW w:w="275" w:type="pct"/>
                  <w:tcBorders>
                    <w:tl2br w:val="nil"/>
                    <w:tr2bl w:val="nil"/>
                  </w:tcBorders>
                  <w:vAlign w:val="center"/>
                </w:tcPr>
                <w:p>
                  <w:pPr>
                    <w:jc w:val="center"/>
                    <w:rPr>
                      <w:bCs/>
                      <w:szCs w:val="21"/>
                      <w:highlight w:val="none"/>
                    </w:rPr>
                  </w:pPr>
                  <w:r>
                    <w:rPr>
                      <w:rFonts w:hint="eastAsia"/>
                      <w:highlight w:val="none"/>
                    </w:rPr>
                    <w:t>0.84</w:t>
                  </w:r>
                </w:p>
              </w:tc>
              <w:tc>
                <w:tcPr>
                  <w:tcW w:w="494" w:type="pct"/>
                  <w:tcBorders>
                    <w:tl2br w:val="nil"/>
                    <w:tr2bl w:val="nil"/>
                  </w:tcBorders>
                  <w:vAlign w:val="center"/>
                </w:tcPr>
                <w:p>
                  <w:pPr>
                    <w:jc w:val="center"/>
                    <w:rPr>
                      <w:rFonts w:hint="default" w:eastAsia="宋体"/>
                      <w:highlight w:val="none"/>
                      <w:lang w:val="en-US" w:eastAsia="zh-CN"/>
                    </w:rPr>
                  </w:pPr>
                  <w:r>
                    <w:rPr>
                      <w:rFonts w:hint="eastAsia"/>
                      <w:highlight w:val="none"/>
                      <w:lang w:val="en-US" w:eastAsia="zh-CN"/>
                    </w:rPr>
                    <w:t>2.61</w:t>
                  </w:r>
                </w:p>
              </w:tc>
              <w:tc>
                <w:tcPr>
                  <w:tcW w:w="342" w:type="pct"/>
                  <w:tcBorders>
                    <w:tl2br w:val="nil"/>
                    <w:tr2bl w:val="nil"/>
                  </w:tcBorders>
                  <w:vAlign w:val="center"/>
                </w:tcPr>
                <w:p>
                  <w:pPr>
                    <w:jc w:val="center"/>
                    <w:rPr>
                      <w:highlight w:val="none"/>
                    </w:rPr>
                  </w:pPr>
                  <w:r>
                    <w:rPr>
                      <w:rFonts w:hint="eastAsia"/>
                      <w:highlight w:val="none"/>
                    </w:rPr>
                    <w:t>50</w:t>
                  </w:r>
                </w:p>
              </w:tc>
            </w:tr>
          </w:tbl>
          <w:p>
            <w:pPr>
              <w:autoSpaceDE w:val="0"/>
              <w:autoSpaceDN w:val="0"/>
              <w:jc w:val="center"/>
              <w:rPr>
                <w:highlight w:val="none"/>
              </w:rPr>
            </w:pPr>
          </w:p>
          <w:p>
            <w:pPr>
              <w:autoSpaceDE w:val="0"/>
              <w:autoSpaceDN w:val="0"/>
              <w:jc w:val="center"/>
              <w:rPr>
                <w:highlight w:val="none"/>
              </w:rPr>
            </w:pPr>
            <w:r>
              <w:rPr>
                <w:highlight w:val="none"/>
              </w:rPr>
              <w:drawing>
                <wp:inline distT="0" distB="0" distL="114300" distR="114300">
                  <wp:extent cx="4440555" cy="2969895"/>
                  <wp:effectExtent l="0" t="0" r="7620" b="1905"/>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22"/>
                          <a:stretch>
                            <a:fillRect/>
                          </a:stretch>
                        </pic:blipFill>
                        <pic:spPr>
                          <a:xfrm>
                            <a:off x="0" y="0"/>
                            <a:ext cx="4440555" cy="2969895"/>
                          </a:xfrm>
                          <a:prstGeom prst="rect">
                            <a:avLst/>
                          </a:prstGeom>
                          <a:noFill/>
                          <a:ln>
                            <a:noFill/>
                          </a:ln>
                        </pic:spPr>
                      </pic:pic>
                    </a:graphicData>
                  </a:graphic>
                </wp:inline>
              </w:drawing>
            </w:r>
          </w:p>
          <w:p>
            <w:pPr>
              <w:autoSpaceDE w:val="0"/>
              <w:autoSpaceDN w:val="0"/>
              <w:spacing w:after="120" w:afterLines="50"/>
              <w:jc w:val="center"/>
              <w:rPr>
                <w:highlight w:val="none"/>
                <w:lang w:val="en-GB"/>
              </w:rPr>
            </w:pPr>
            <w:r>
              <w:rPr>
                <w:b/>
                <w:bCs/>
                <w:szCs w:val="21"/>
                <w:highlight w:val="none"/>
                <w:lang w:val="en-GB"/>
              </w:rPr>
              <w:t>图</w:t>
            </w:r>
            <w:r>
              <w:rPr>
                <w:b/>
                <w:bCs/>
                <w:szCs w:val="21"/>
                <w:highlight w:val="none"/>
              </w:rPr>
              <w:t>4</w:t>
            </w:r>
            <w:r>
              <w:rPr>
                <w:b/>
                <w:bCs/>
                <w:szCs w:val="21"/>
                <w:highlight w:val="none"/>
                <w:lang w:val="en-GB"/>
              </w:rPr>
              <w:t>-</w:t>
            </w:r>
            <w:r>
              <w:rPr>
                <w:rFonts w:hint="eastAsia"/>
                <w:b/>
                <w:bCs/>
                <w:szCs w:val="21"/>
                <w:highlight w:val="none"/>
              </w:rPr>
              <w:t>2</w:t>
            </w:r>
            <w:r>
              <w:rPr>
                <w:b/>
                <w:bCs/>
                <w:szCs w:val="21"/>
                <w:highlight w:val="none"/>
              </w:rPr>
              <w:t xml:space="preserve"> </w:t>
            </w:r>
            <w:r>
              <w:rPr>
                <w:b/>
                <w:bCs/>
                <w:szCs w:val="21"/>
                <w:highlight w:val="none"/>
                <w:lang w:val="en-GB"/>
              </w:rPr>
              <w:t xml:space="preserve"> 卫生防护距离计算结果图</w:t>
            </w:r>
          </w:p>
          <w:p>
            <w:pPr>
              <w:wordWrap w:val="0"/>
              <w:spacing w:line="360" w:lineRule="auto"/>
              <w:ind w:firstLine="480" w:firstLineChars="200"/>
              <w:rPr>
                <w:color w:val="000000"/>
                <w:sz w:val="24"/>
                <w:highlight w:val="none"/>
              </w:rPr>
            </w:pPr>
            <w:r>
              <w:rPr>
                <w:color w:val="000000"/>
                <w:sz w:val="24"/>
                <w:highlight w:val="none"/>
              </w:rPr>
              <w:t>经计算</w:t>
            </w:r>
            <w:r>
              <w:rPr>
                <w:rFonts w:hint="eastAsia"/>
                <w:color w:val="000000"/>
                <w:sz w:val="24"/>
                <w:highlight w:val="none"/>
              </w:rPr>
              <w:t>项</w:t>
            </w:r>
            <w:r>
              <w:rPr>
                <w:rFonts w:hint="eastAsia"/>
                <w:sz w:val="24"/>
                <w:highlight w:val="none"/>
              </w:rPr>
              <w:t>目</w:t>
            </w:r>
            <w:r>
              <w:rPr>
                <w:sz w:val="24"/>
                <w:highlight w:val="none"/>
              </w:rPr>
              <w:t>卫生防护距离为</w:t>
            </w:r>
            <w:r>
              <w:rPr>
                <w:rFonts w:hint="eastAsia"/>
                <w:sz w:val="24"/>
                <w:highlight w:val="none"/>
              </w:rPr>
              <w:t>5</w:t>
            </w:r>
            <w:r>
              <w:rPr>
                <w:sz w:val="24"/>
                <w:highlight w:val="none"/>
              </w:rPr>
              <w:t>0m</w:t>
            </w:r>
            <w:r>
              <w:rPr>
                <w:rFonts w:hint="eastAsia"/>
                <w:sz w:val="24"/>
                <w:highlight w:val="none"/>
              </w:rPr>
              <w:t>，</w:t>
            </w:r>
            <w:r>
              <w:rPr>
                <w:sz w:val="24"/>
                <w:highlight w:val="none"/>
              </w:rPr>
              <w:t>因此确定本项目</w:t>
            </w:r>
            <w:r>
              <w:rPr>
                <w:rFonts w:hint="eastAsia"/>
                <w:sz w:val="24"/>
                <w:highlight w:val="none"/>
              </w:rPr>
              <w:t>建成后</w:t>
            </w:r>
            <w:r>
              <w:rPr>
                <w:sz w:val="24"/>
                <w:highlight w:val="none"/>
              </w:rPr>
              <w:t>卫生防护距离为</w:t>
            </w:r>
            <w:r>
              <w:rPr>
                <w:rFonts w:hint="eastAsia"/>
                <w:sz w:val="24"/>
                <w:highlight w:val="none"/>
              </w:rPr>
              <w:t>以污水处理站边界为起点设置50m卫生防护距离</w:t>
            </w:r>
            <w:r>
              <w:rPr>
                <w:color w:val="000000"/>
                <w:sz w:val="24"/>
                <w:highlight w:val="none"/>
              </w:rPr>
              <w:t>。</w:t>
            </w:r>
            <w:r>
              <w:rPr>
                <w:rFonts w:hint="eastAsia"/>
                <w:color w:val="000000"/>
                <w:sz w:val="24"/>
                <w:highlight w:val="none"/>
              </w:rPr>
              <w:t>本项目卫生防护距离内无集中居住区、医院、学校等敏感目标，对周围大气环境影响较小。</w:t>
            </w:r>
          </w:p>
          <w:p>
            <w:pPr>
              <w:wordWrap w:val="0"/>
              <w:spacing w:line="360" w:lineRule="auto"/>
              <w:ind w:firstLine="480" w:firstLineChars="200"/>
              <w:rPr>
                <w:color w:val="000000"/>
                <w:sz w:val="24"/>
                <w:highlight w:val="none"/>
              </w:rPr>
            </w:pPr>
            <w:r>
              <w:rPr>
                <w:rFonts w:hint="eastAsia"/>
                <w:color w:val="000000"/>
                <w:sz w:val="24"/>
                <w:highlight w:val="none"/>
              </w:rPr>
              <w:t>（6）废气监测要求</w:t>
            </w:r>
          </w:p>
          <w:p>
            <w:pPr>
              <w:pStyle w:val="96"/>
              <w:ind w:firstLine="480"/>
              <w:rPr>
                <w:highlight w:val="none"/>
              </w:rPr>
            </w:pPr>
            <w:r>
              <w:rPr>
                <w:highlight w:val="none"/>
              </w:rPr>
              <w:t>企业应按照《排污单位自行监测技术指南 总则》（HJ 819-2017）、《排污单位自行监测技术指南 农副食品加工业》（HJ 986-2018）、《排污单位自行监测技术指南 火力发电及锅炉》（HJ 820-2017）、《固定污染源排污许可分类管理目录》相关要求，开展大气污染源监测，大气污染源监测计划见表 4-</w:t>
            </w:r>
            <w:r>
              <w:rPr>
                <w:rFonts w:hint="eastAsia"/>
                <w:highlight w:val="none"/>
              </w:rPr>
              <w:t>7</w:t>
            </w:r>
            <w:r>
              <w:rPr>
                <w:highlight w:val="none"/>
              </w:rPr>
              <w:t>。</w:t>
            </w:r>
          </w:p>
          <w:p>
            <w:pPr>
              <w:widowControl/>
              <w:adjustRightInd w:val="0"/>
              <w:snapToGrid w:val="0"/>
              <w:jc w:val="center"/>
              <w:rPr>
                <w:b/>
                <w:kern w:val="0"/>
                <w:highlight w:val="none"/>
              </w:rPr>
            </w:pPr>
            <w:r>
              <w:rPr>
                <w:b/>
                <w:kern w:val="0"/>
                <w:highlight w:val="none"/>
              </w:rPr>
              <w:t>表4-</w:t>
            </w:r>
            <w:r>
              <w:rPr>
                <w:rFonts w:hint="eastAsia"/>
                <w:b/>
                <w:kern w:val="0"/>
                <w:highlight w:val="none"/>
              </w:rPr>
              <w:t>7</w:t>
            </w:r>
            <w:r>
              <w:rPr>
                <w:b/>
                <w:kern w:val="0"/>
                <w:highlight w:val="none"/>
              </w:rPr>
              <w:t xml:space="preserve">  废气监测计划表</w:t>
            </w:r>
          </w:p>
          <w:tbl>
            <w:tblPr>
              <w:tblStyle w:val="40"/>
              <w:tblW w:w="86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924"/>
              <w:gridCol w:w="1282"/>
              <w:gridCol w:w="1637"/>
              <w:gridCol w:w="1122"/>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tcBorders>
                    <w:left w:val="nil"/>
                  </w:tcBorders>
                  <w:vAlign w:val="center"/>
                </w:tcPr>
                <w:p>
                  <w:pPr>
                    <w:autoSpaceDE w:val="0"/>
                    <w:autoSpaceDN w:val="0"/>
                    <w:jc w:val="center"/>
                    <w:rPr>
                      <w:b/>
                      <w:bCs/>
                      <w:kern w:val="0"/>
                      <w:szCs w:val="21"/>
                      <w:highlight w:val="none"/>
                      <w:lang w:bidi="zh-CN"/>
                    </w:rPr>
                  </w:pPr>
                  <w:r>
                    <w:rPr>
                      <w:b/>
                      <w:bCs/>
                      <w:kern w:val="0"/>
                      <w:szCs w:val="21"/>
                      <w:highlight w:val="none"/>
                      <w:lang w:bidi="zh-CN"/>
                    </w:rPr>
                    <w:t>类别</w:t>
                  </w:r>
                </w:p>
              </w:tc>
              <w:tc>
                <w:tcPr>
                  <w:tcW w:w="924" w:type="dxa"/>
                  <w:vAlign w:val="center"/>
                </w:tcPr>
                <w:p>
                  <w:pPr>
                    <w:autoSpaceDE w:val="0"/>
                    <w:autoSpaceDN w:val="0"/>
                    <w:jc w:val="center"/>
                    <w:rPr>
                      <w:b/>
                      <w:bCs/>
                      <w:kern w:val="0"/>
                      <w:szCs w:val="21"/>
                      <w:highlight w:val="none"/>
                      <w:lang w:bidi="zh-CN"/>
                    </w:rPr>
                  </w:pPr>
                  <w:r>
                    <w:rPr>
                      <w:b/>
                      <w:bCs/>
                      <w:kern w:val="0"/>
                      <w:szCs w:val="21"/>
                      <w:highlight w:val="none"/>
                      <w:lang w:bidi="zh-CN"/>
                    </w:rPr>
                    <w:t>排气筒</w:t>
                  </w:r>
                  <w:r>
                    <w:rPr>
                      <w:rFonts w:hint="eastAsia"/>
                      <w:b/>
                      <w:bCs/>
                      <w:kern w:val="0"/>
                      <w:szCs w:val="21"/>
                      <w:highlight w:val="none"/>
                      <w:lang w:bidi="zh-CN"/>
                    </w:rPr>
                    <w:t>编号</w:t>
                  </w:r>
                </w:p>
              </w:tc>
              <w:tc>
                <w:tcPr>
                  <w:tcW w:w="1282" w:type="dxa"/>
                  <w:vAlign w:val="center"/>
                </w:tcPr>
                <w:p>
                  <w:pPr>
                    <w:autoSpaceDE w:val="0"/>
                    <w:autoSpaceDN w:val="0"/>
                    <w:jc w:val="center"/>
                    <w:rPr>
                      <w:b/>
                      <w:bCs/>
                      <w:kern w:val="0"/>
                      <w:szCs w:val="21"/>
                      <w:highlight w:val="none"/>
                      <w:lang w:bidi="zh-CN"/>
                    </w:rPr>
                  </w:pPr>
                  <w:r>
                    <w:rPr>
                      <w:b/>
                      <w:bCs/>
                      <w:kern w:val="0"/>
                      <w:szCs w:val="21"/>
                      <w:highlight w:val="none"/>
                      <w:lang w:bidi="zh-CN"/>
                    </w:rPr>
                    <w:t>监测点位</w:t>
                  </w:r>
                </w:p>
              </w:tc>
              <w:tc>
                <w:tcPr>
                  <w:tcW w:w="1637" w:type="dxa"/>
                  <w:vAlign w:val="center"/>
                </w:tcPr>
                <w:p>
                  <w:pPr>
                    <w:autoSpaceDE w:val="0"/>
                    <w:autoSpaceDN w:val="0"/>
                    <w:jc w:val="center"/>
                    <w:rPr>
                      <w:b/>
                      <w:bCs/>
                      <w:kern w:val="0"/>
                      <w:szCs w:val="21"/>
                      <w:highlight w:val="none"/>
                      <w:lang w:bidi="zh-CN"/>
                    </w:rPr>
                  </w:pPr>
                  <w:r>
                    <w:rPr>
                      <w:b/>
                      <w:bCs/>
                      <w:kern w:val="0"/>
                      <w:szCs w:val="21"/>
                      <w:highlight w:val="none"/>
                      <w:lang w:bidi="zh-CN"/>
                    </w:rPr>
                    <w:t>监测因子</w:t>
                  </w:r>
                </w:p>
              </w:tc>
              <w:tc>
                <w:tcPr>
                  <w:tcW w:w="1122" w:type="dxa"/>
                  <w:vAlign w:val="center"/>
                </w:tcPr>
                <w:p>
                  <w:pPr>
                    <w:autoSpaceDE w:val="0"/>
                    <w:autoSpaceDN w:val="0"/>
                    <w:jc w:val="center"/>
                    <w:rPr>
                      <w:b/>
                      <w:bCs/>
                      <w:kern w:val="0"/>
                      <w:szCs w:val="21"/>
                      <w:highlight w:val="none"/>
                      <w:lang w:bidi="zh-CN"/>
                    </w:rPr>
                  </w:pPr>
                  <w:r>
                    <w:rPr>
                      <w:b/>
                      <w:bCs/>
                      <w:kern w:val="0"/>
                      <w:szCs w:val="21"/>
                      <w:highlight w:val="none"/>
                      <w:lang w:bidi="zh-CN"/>
                    </w:rPr>
                    <w:t>监测频次</w:t>
                  </w:r>
                </w:p>
              </w:tc>
              <w:tc>
                <w:tcPr>
                  <w:tcW w:w="2719" w:type="dxa"/>
                  <w:tcBorders>
                    <w:right w:val="nil"/>
                  </w:tcBorders>
                  <w:vAlign w:val="center"/>
                </w:tcPr>
                <w:p>
                  <w:pPr>
                    <w:autoSpaceDE w:val="0"/>
                    <w:autoSpaceDN w:val="0"/>
                    <w:jc w:val="center"/>
                    <w:rPr>
                      <w:b/>
                      <w:bCs/>
                      <w:kern w:val="0"/>
                      <w:szCs w:val="21"/>
                      <w:highlight w:val="none"/>
                      <w:lang w:bidi="zh-CN"/>
                    </w:rPr>
                  </w:pPr>
                  <w:r>
                    <w:rPr>
                      <w:b/>
                      <w:bCs/>
                      <w:kern w:val="0"/>
                      <w:szCs w:val="21"/>
                      <w:highlight w:val="none"/>
                      <w:lang w:bidi="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tcBorders>
                    <w:left w:val="nil"/>
                  </w:tcBorders>
                  <w:vAlign w:val="center"/>
                </w:tcPr>
                <w:p>
                  <w:pPr>
                    <w:autoSpaceDE w:val="0"/>
                    <w:autoSpaceDN w:val="0"/>
                    <w:jc w:val="center"/>
                    <w:rPr>
                      <w:kern w:val="0"/>
                      <w:szCs w:val="21"/>
                      <w:highlight w:val="none"/>
                      <w:lang w:bidi="zh-CN"/>
                    </w:rPr>
                  </w:pPr>
                  <w:r>
                    <w:rPr>
                      <w:kern w:val="0"/>
                      <w:szCs w:val="21"/>
                      <w:highlight w:val="none"/>
                      <w:lang w:bidi="zh-CN"/>
                    </w:rPr>
                    <w:t>有组织</w:t>
                  </w:r>
                </w:p>
              </w:tc>
              <w:tc>
                <w:tcPr>
                  <w:tcW w:w="924" w:type="dxa"/>
                  <w:vAlign w:val="center"/>
                </w:tcPr>
                <w:p>
                  <w:pPr>
                    <w:autoSpaceDE w:val="0"/>
                    <w:autoSpaceDN w:val="0"/>
                    <w:jc w:val="center"/>
                    <w:rPr>
                      <w:kern w:val="0"/>
                      <w:szCs w:val="21"/>
                      <w:highlight w:val="none"/>
                      <w:lang w:bidi="zh-CN"/>
                    </w:rPr>
                  </w:pPr>
                  <w:r>
                    <w:rPr>
                      <w:kern w:val="0"/>
                      <w:szCs w:val="21"/>
                      <w:highlight w:val="none"/>
                      <w:lang w:bidi="zh-CN"/>
                    </w:rPr>
                    <w:t>DA001</w:t>
                  </w:r>
                </w:p>
              </w:tc>
              <w:tc>
                <w:tcPr>
                  <w:tcW w:w="1282" w:type="dxa"/>
                  <w:vAlign w:val="center"/>
                </w:tcPr>
                <w:p>
                  <w:pPr>
                    <w:autoSpaceDE w:val="0"/>
                    <w:autoSpaceDN w:val="0"/>
                    <w:jc w:val="center"/>
                    <w:rPr>
                      <w:kern w:val="0"/>
                      <w:szCs w:val="21"/>
                      <w:highlight w:val="none"/>
                      <w:lang w:bidi="zh-CN"/>
                    </w:rPr>
                  </w:pPr>
                  <w:r>
                    <w:rPr>
                      <w:rFonts w:hint="eastAsia"/>
                      <w:szCs w:val="21"/>
                      <w:highlight w:val="none"/>
                    </w:rPr>
                    <w:t>锅炉燃烧废气</w:t>
                  </w:r>
                  <w:r>
                    <w:rPr>
                      <w:rFonts w:hint="eastAsia"/>
                      <w:kern w:val="0"/>
                      <w:szCs w:val="21"/>
                      <w:highlight w:val="none"/>
                      <w:lang w:bidi="zh-CN"/>
                    </w:rPr>
                    <w:t>排放口</w:t>
                  </w:r>
                </w:p>
              </w:tc>
              <w:tc>
                <w:tcPr>
                  <w:tcW w:w="1637" w:type="dxa"/>
                  <w:vAlign w:val="center"/>
                </w:tcPr>
                <w:p>
                  <w:pPr>
                    <w:autoSpaceDE w:val="0"/>
                    <w:autoSpaceDN w:val="0"/>
                    <w:jc w:val="center"/>
                    <w:rPr>
                      <w:kern w:val="0"/>
                      <w:szCs w:val="21"/>
                      <w:highlight w:val="none"/>
                      <w:lang w:bidi="zh-CN"/>
                    </w:rPr>
                  </w:pPr>
                  <w:r>
                    <w:rPr>
                      <w:rFonts w:hint="eastAsia"/>
                      <w:kern w:val="0"/>
                      <w:szCs w:val="21"/>
                      <w:highlight w:val="none"/>
                      <w:lang w:bidi="zh-CN"/>
                    </w:rPr>
                    <w:t>颗粒物</w:t>
                  </w:r>
                </w:p>
                <w:p>
                  <w:pPr>
                    <w:autoSpaceDE w:val="0"/>
                    <w:autoSpaceDN w:val="0"/>
                    <w:jc w:val="center"/>
                    <w:rPr>
                      <w:kern w:val="0"/>
                      <w:szCs w:val="21"/>
                      <w:highlight w:val="none"/>
                      <w:lang w:bidi="zh-CN"/>
                    </w:rPr>
                  </w:pPr>
                  <w:r>
                    <w:rPr>
                      <w:rFonts w:hint="eastAsia"/>
                      <w:kern w:val="0"/>
                      <w:szCs w:val="21"/>
                      <w:highlight w:val="none"/>
                      <w:lang w:bidi="zh-CN"/>
                    </w:rPr>
                    <w:t>二氧化硫</w:t>
                  </w:r>
                </w:p>
                <w:p>
                  <w:pPr>
                    <w:autoSpaceDE w:val="0"/>
                    <w:autoSpaceDN w:val="0"/>
                    <w:jc w:val="center"/>
                    <w:rPr>
                      <w:kern w:val="0"/>
                      <w:szCs w:val="21"/>
                      <w:highlight w:val="none"/>
                      <w:lang w:bidi="zh-CN"/>
                    </w:rPr>
                  </w:pPr>
                  <w:r>
                    <w:rPr>
                      <w:rFonts w:hint="eastAsia"/>
                      <w:kern w:val="0"/>
                      <w:szCs w:val="21"/>
                      <w:highlight w:val="none"/>
                      <w:lang w:bidi="zh-CN"/>
                    </w:rPr>
                    <w:t>氮氧化物</w:t>
                  </w:r>
                </w:p>
                <w:p>
                  <w:pPr>
                    <w:autoSpaceDE w:val="0"/>
                    <w:autoSpaceDN w:val="0"/>
                    <w:jc w:val="center"/>
                    <w:rPr>
                      <w:kern w:val="0"/>
                      <w:szCs w:val="21"/>
                      <w:highlight w:val="none"/>
                      <w:lang w:bidi="zh-CN"/>
                    </w:rPr>
                  </w:pPr>
                  <w:r>
                    <w:rPr>
                      <w:rFonts w:hint="eastAsia"/>
                      <w:kern w:val="0"/>
                      <w:szCs w:val="21"/>
                      <w:highlight w:val="none"/>
                      <w:lang w:bidi="zh-CN"/>
                    </w:rPr>
                    <w:t>林格曼黑度</w:t>
                  </w:r>
                </w:p>
                <w:p>
                  <w:pPr>
                    <w:autoSpaceDE w:val="0"/>
                    <w:autoSpaceDN w:val="0"/>
                    <w:jc w:val="center"/>
                    <w:rPr>
                      <w:kern w:val="0"/>
                      <w:szCs w:val="21"/>
                      <w:highlight w:val="none"/>
                      <w:lang w:bidi="zh-CN"/>
                    </w:rPr>
                  </w:pPr>
                  <w:r>
                    <w:rPr>
                      <w:rFonts w:hint="eastAsia"/>
                      <w:kern w:val="0"/>
                      <w:szCs w:val="21"/>
                      <w:highlight w:val="none"/>
                      <w:lang w:bidi="zh-CN"/>
                    </w:rPr>
                    <w:t>汞及其化合物</w:t>
                  </w:r>
                </w:p>
              </w:tc>
              <w:tc>
                <w:tcPr>
                  <w:tcW w:w="1122" w:type="dxa"/>
                  <w:vAlign w:val="center"/>
                </w:tcPr>
                <w:p>
                  <w:pPr>
                    <w:autoSpaceDE w:val="0"/>
                    <w:autoSpaceDN w:val="0"/>
                    <w:jc w:val="center"/>
                    <w:rPr>
                      <w:kern w:val="0"/>
                      <w:szCs w:val="21"/>
                      <w:highlight w:val="none"/>
                      <w:lang w:bidi="zh-CN"/>
                    </w:rPr>
                  </w:pPr>
                  <w:r>
                    <w:rPr>
                      <w:rFonts w:hint="eastAsia"/>
                      <w:szCs w:val="21"/>
                      <w:highlight w:val="none"/>
                    </w:rPr>
                    <w:t>1次/月</w:t>
                  </w:r>
                </w:p>
              </w:tc>
              <w:tc>
                <w:tcPr>
                  <w:tcW w:w="2719" w:type="dxa"/>
                  <w:tcBorders>
                    <w:right w:val="nil"/>
                  </w:tcBorders>
                  <w:vAlign w:val="center"/>
                </w:tcPr>
                <w:p>
                  <w:pPr>
                    <w:autoSpaceDE w:val="0"/>
                    <w:autoSpaceDN w:val="0"/>
                    <w:jc w:val="center"/>
                    <w:rPr>
                      <w:kern w:val="0"/>
                      <w:szCs w:val="21"/>
                      <w:highlight w:val="none"/>
                      <w:lang w:bidi="zh-CN"/>
                    </w:rPr>
                  </w:pPr>
                  <w:r>
                    <w:rPr>
                      <w:rFonts w:hint="eastAsia"/>
                      <w:szCs w:val="21"/>
                      <w:highlight w:val="none"/>
                    </w:rPr>
                    <w:t>《锅炉大气污染物排放标准》（</w:t>
                  </w:r>
                  <w:r>
                    <w:rPr>
                      <w:szCs w:val="21"/>
                      <w:highlight w:val="none"/>
                    </w:rPr>
                    <w:t>GB13271-2014</w:t>
                  </w:r>
                  <w:r>
                    <w:rPr>
                      <w:rFonts w:hint="eastAsia"/>
                      <w:szCs w:val="21"/>
                      <w:highlight w:val="none"/>
                    </w:rPr>
                    <w:t>）表</w:t>
                  </w:r>
                  <w:r>
                    <w:rPr>
                      <w:szCs w:val="21"/>
                      <w:highlight w:val="none"/>
                    </w:rPr>
                    <w:t>2</w:t>
                  </w:r>
                  <w:r>
                    <w:rPr>
                      <w:rFonts w:hint="eastAsia"/>
                      <w:szCs w:val="21"/>
                      <w:highlight w:val="none"/>
                    </w:rPr>
                    <w:t>燃煤锅炉标准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tcBorders>
                    <w:left w:val="nil"/>
                  </w:tcBorders>
                  <w:vAlign w:val="center"/>
                </w:tcPr>
                <w:p>
                  <w:pPr>
                    <w:autoSpaceDE w:val="0"/>
                    <w:autoSpaceDN w:val="0"/>
                    <w:jc w:val="center"/>
                    <w:rPr>
                      <w:kern w:val="0"/>
                      <w:szCs w:val="21"/>
                      <w:highlight w:val="none"/>
                      <w:lang w:bidi="zh-CN"/>
                    </w:rPr>
                  </w:pPr>
                  <w:r>
                    <w:rPr>
                      <w:kern w:val="0"/>
                      <w:szCs w:val="21"/>
                      <w:highlight w:val="none"/>
                      <w:lang w:bidi="zh-CN"/>
                    </w:rPr>
                    <w:t>无组织</w:t>
                  </w:r>
                </w:p>
              </w:tc>
              <w:tc>
                <w:tcPr>
                  <w:tcW w:w="2206" w:type="dxa"/>
                  <w:gridSpan w:val="2"/>
                  <w:vAlign w:val="center"/>
                </w:tcPr>
                <w:p>
                  <w:pPr>
                    <w:autoSpaceDE w:val="0"/>
                    <w:autoSpaceDN w:val="0"/>
                    <w:jc w:val="center"/>
                    <w:rPr>
                      <w:color w:val="0000FF"/>
                      <w:szCs w:val="21"/>
                      <w:highlight w:val="none"/>
                    </w:rPr>
                  </w:pPr>
                  <w:r>
                    <w:rPr>
                      <w:rFonts w:hint="eastAsia"/>
                      <w:color w:val="0000FF"/>
                      <w:spacing w:val="-2"/>
                      <w:szCs w:val="21"/>
                      <w:highlight w:val="none"/>
                      <w:lang w:val="en-US" w:eastAsia="zh-CN"/>
                    </w:rPr>
                    <w:t>厂界</w:t>
                  </w:r>
                </w:p>
              </w:tc>
              <w:tc>
                <w:tcPr>
                  <w:tcW w:w="1637" w:type="dxa"/>
                  <w:vAlign w:val="center"/>
                </w:tcPr>
                <w:p>
                  <w:pPr>
                    <w:autoSpaceDE w:val="0"/>
                    <w:autoSpaceDN w:val="0"/>
                    <w:jc w:val="center"/>
                    <w:rPr>
                      <w:color w:val="0000FF"/>
                      <w:kern w:val="0"/>
                      <w:szCs w:val="21"/>
                      <w:highlight w:val="none"/>
                      <w:lang w:bidi="zh-CN"/>
                    </w:rPr>
                  </w:pPr>
                  <w:r>
                    <w:rPr>
                      <w:spacing w:val="-3"/>
                      <w:szCs w:val="21"/>
                      <w:highlight w:val="none"/>
                    </w:rPr>
                    <w:t>氨、硫化氢、臭气浓</w:t>
                  </w:r>
                  <w:r>
                    <w:rPr>
                      <w:szCs w:val="21"/>
                      <w:highlight w:val="none"/>
                    </w:rPr>
                    <w:t>度</w:t>
                  </w:r>
                </w:p>
              </w:tc>
              <w:tc>
                <w:tcPr>
                  <w:tcW w:w="1122" w:type="dxa"/>
                  <w:vAlign w:val="center"/>
                </w:tcPr>
                <w:p>
                  <w:pPr>
                    <w:autoSpaceDE w:val="0"/>
                    <w:autoSpaceDN w:val="0"/>
                    <w:jc w:val="center"/>
                    <w:rPr>
                      <w:color w:val="0000FF"/>
                      <w:kern w:val="0"/>
                      <w:szCs w:val="21"/>
                      <w:highlight w:val="none"/>
                      <w:lang w:bidi="zh-CN"/>
                    </w:rPr>
                  </w:pPr>
                  <w:r>
                    <w:rPr>
                      <w:kern w:val="0"/>
                      <w:szCs w:val="21"/>
                      <w:highlight w:val="none"/>
                      <w:lang w:bidi="zh-CN"/>
                    </w:rPr>
                    <w:t>1次/</w:t>
                  </w:r>
                  <w:r>
                    <w:rPr>
                      <w:rFonts w:hint="eastAsia"/>
                      <w:kern w:val="0"/>
                      <w:szCs w:val="21"/>
                      <w:highlight w:val="none"/>
                      <w:lang w:bidi="zh-CN"/>
                    </w:rPr>
                    <w:t>半</w:t>
                  </w:r>
                  <w:r>
                    <w:rPr>
                      <w:kern w:val="0"/>
                      <w:szCs w:val="21"/>
                      <w:highlight w:val="none"/>
                      <w:lang w:bidi="zh-CN"/>
                    </w:rPr>
                    <w:t>年</w:t>
                  </w:r>
                </w:p>
              </w:tc>
              <w:tc>
                <w:tcPr>
                  <w:tcW w:w="2719" w:type="dxa"/>
                  <w:tcBorders>
                    <w:right w:val="nil"/>
                  </w:tcBorders>
                  <w:vAlign w:val="center"/>
                </w:tcPr>
                <w:p>
                  <w:pPr>
                    <w:autoSpaceDE w:val="0"/>
                    <w:autoSpaceDN w:val="0"/>
                    <w:jc w:val="center"/>
                    <w:rPr>
                      <w:color w:val="0000FF"/>
                      <w:kern w:val="0"/>
                      <w:szCs w:val="21"/>
                      <w:highlight w:val="none"/>
                      <w:lang w:bidi="zh-CN"/>
                    </w:rPr>
                  </w:pPr>
                  <w:r>
                    <w:rPr>
                      <w:spacing w:val="35"/>
                      <w:szCs w:val="21"/>
                      <w:highlight w:val="none"/>
                    </w:rPr>
                    <w:t>《</w:t>
                  </w:r>
                  <w:r>
                    <w:rPr>
                      <w:spacing w:val="-25"/>
                      <w:szCs w:val="21"/>
                      <w:highlight w:val="none"/>
                    </w:rPr>
                    <w:t xml:space="preserve"> </w:t>
                  </w:r>
                  <w:r>
                    <w:rPr>
                      <w:spacing w:val="35"/>
                      <w:szCs w:val="21"/>
                      <w:highlight w:val="none"/>
                    </w:rPr>
                    <w:t>恶臭污染物排放标</w:t>
                  </w:r>
                  <w:r>
                    <w:rPr>
                      <w:spacing w:val="-10"/>
                      <w:szCs w:val="21"/>
                      <w:highlight w:val="none"/>
                    </w:rPr>
                    <w:t>准》（</w:t>
                  </w:r>
                  <w:r>
                    <w:rPr>
                      <w:rFonts w:eastAsia="Times New Roman"/>
                      <w:spacing w:val="-10"/>
                      <w:szCs w:val="21"/>
                      <w:highlight w:val="none"/>
                    </w:rPr>
                    <w:t>GB</w:t>
                  </w:r>
                  <w:r>
                    <w:rPr>
                      <w:rFonts w:eastAsia="Times New Roman"/>
                      <w:spacing w:val="27"/>
                      <w:szCs w:val="21"/>
                      <w:highlight w:val="none"/>
                    </w:rPr>
                    <w:t xml:space="preserve"> </w:t>
                  </w:r>
                  <w:r>
                    <w:rPr>
                      <w:rFonts w:eastAsia="Times New Roman"/>
                      <w:spacing w:val="-10"/>
                      <w:szCs w:val="21"/>
                      <w:highlight w:val="none"/>
                    </w:rPr>
                    <w:t>14554-93</w:t>
                  </w:r>
                  <w:r>
                    <w:rPr>
                      <w:spacing w:val="-10"/>
                      <w:szCs w:val="21"/>
                      <w:highlight w:val="none"/>
                    </w:rPr>
                    <w:t>）</w:t>
                  </w:r>
                </w:p>
              </w:tc>
            </w:tr>
          </w:tbl>
          <w:p>
            <w:pPr>
              <w:spacing w:line="360" w:lineRule="auto"/>
              <w:ind w:firstLine="440" w:firstLineChars="200"/>
              <w:rPr>
                <w:bCs/>
                <w:spacing w:val="-10"/>
                <w:sz w:val="24"/>
                <w:szCs w:val="21"/>
                <w:highlight w:val="none"/>
              </w:rPr>
            </w:pPr>
          </w:p>
          <w:p>
            <w:pPr>
              <w:spacing w:line="360" w:lineRule="auto"/>
              <w:ind w:firstLine="440" w:firstLineChars="200"/>
              <w:rPr>
                <w:bCs/>
                <w:spacing w:val="-10"/>
                <w:sz w:val="24"/>
                <w:szCs w:val="21"/>
                <w:highlight w:val="none"/>
              </w:rPr>
            </w:pPr>
          </w:p>
        </w:tc>
      </w:tr>
    </w:tbl>
    <w:p>
      <w:pPr>
        <w:rPr>
          <w:highlight w:val="none"/>
        </w:rPr>
        <w:sectPr>
          <w:pgSz w:w="11907" w:h="16840"/>
          <w:pgMar w:top="1701" w:right="1417" w:bottom="2127" w:left="1417" w:header="851" w:footer="851" w:gutter="0"/>
          <w:pgBorders>
            <w:top w:val="none" w:sz="0" w:space="0"/>
            <w:left w:val="none" w:sz="0" w:space="0"/>
            <w:bottom w:val="none" w:sz="0" w:space="0"/>
            <w:right w:val="none" w:sz="0" w:space="0"/>
          </w:pgBorders>
          <w:cols w:space="720" w:num="1"/>
          <w:docGrid w:linePitch="312" w:charSpace="0"/>
        </w:sectPr>
      </w:pPr>
    </w:p>
    <w:tbl>
      <w:tblPr>
        <w:tblStyle w:val="39"/>
        <w:tblW w:w="50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5"/>
        <w:gridCol w:w="13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1" w:hRule="atLeast"/>
          <w:jc w:val="center"/>
        </w:trPr>
        <w:tc>
          <w:tcPr>
            <w:tcW w:w="116" w:type="pct"/>
            <w:tcMar>
              <w:left w:w="28" w:type="dxa"/>
              <w:right w:w="28" w:type="dxa"/>
            </w:tcMar>
            <w:vAlign w:val="center"/>
          </w:tcPr>
          <w:p>
            <w:pPr>
              <w:widowControl/>
              <w:jc w:val="center"/>
              <w:rPr>
                <w:b/>
                <w:bCs/>
                <w:kern w:val="0"/>
                <w:sz w:val="24"/>
                <w:szCs w:val="20"/>
                <w:highlight w:val="none"/>
              </w:rPr>
            </w:pPr>
            <w:r>
              <w:rPr>
                <w:rFonts w:hint="eastAsia"/>
                <w:b/>
                <w:bCs/>
                <w:kern w:val="0"/>
                <w:sz w:val="24"/>
                <w:szCs w:val="20"/>
                <w:highlight w:val="none"/>
              </w:rPr>
              <w:t>运营</w:t>
            </w: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4883" w:type="pct"/>
          </w:tcPr>
          <w:p>
            <w:pPr>
              <w:adjustRightInd w:val="0"/>
              <w:snapToGrid w:val="0"/>
              <w:spacing w:line="360" w:lineRule="auto"/>
              <w:ind w:firstLine="481" w:firstLineChars="200"/>
              <w:rPr>
                <w:b/>
                <w:bCs/>
                <w:sz w:val="24"/>
                <w:highlight w:val="none"/>
              </w:rPr>
            </w:pPr>
            <w:r>
              <w:rPr>
                <w:rFonts w:hint="eastAsia"/>
                <w:b/>
                <w:bCs/>
                <w:sz w:val="24"/>
                <w:highlight w:val="none"/>
              </w:rPr>
              <w:t>2、</w:t>
            </w:r>
            <w:r>
              <w:rPr>
                <w:b/>
                <w:bCs/>
                <w:sz w:val="24"/>
                <w:highlight w:val="none"/>
              </w:rPr>
              <w:t>废水</w:t>
            </w:r>
          </w:p>
          <w:p>
            <w:pPr>
              <w:spacing w:line="360" w:lineRule="auto"/>
              <w:ind w:firstLine="480" w:firstLineChars="200"/>
              <w:rPr>
                <w:sz w:val="24"/>
                <w:highlight w:val="none"/>
              </w:rPr>
            </w:pPr>
            <w:r>
              <w:rPr>
                <w:rFonts w:hint="eastAsia"/>
                <w:sz w:val="24"/>
                <w:highlight w:val="none"/>
              </w:rPr>
              <w:t>（1）</w:t>
            </w:r>
            <w:r>
              <w:rPr>
                <w:sz w:val="24"/>
                <w:highlight w:val="none"/>
              </w:rPr>
              <w:t>废水污染源情况</w:t>
            </w:r>
          </w:p>
          <w:p>
            <w:pPr>
              <w:spacing w:line="360" w:lineRule="auto"/>
              <w:ind w:firstLine="480" w:firstLineChars="200"/>
              <w:rPr>
                <w:sz w:val="24"/>
                <w:highlight w:val="none"/>
              </w:rPr>
            </w:pPr>
            <w:r>
              <w:rPr>
                <w:rFonts w:hint="eastAsia"/>
                <w:sz w:val="24"/>
                <w:highlight w:val="none"/>
              </w:rPr>
              <w:t>根据项目给排水情况，</w:t>
            </w:r>
            <w:r>
              <w:rPr>
                <w:sz w:val="24"/>
                <w:highlight w:val="none"/>
              </w:rPr>
              <w:t>本项目废水主要为</w:t>
            </w:r>
            <w:r>
              <w:rPr>
                <w:rFonts w:hint="eastAsia"/>
                <w:sz w:val="24"/>
                <w:highlight w:val="none"/>
              </w:rPr>
              <w:t>生活污水，生产废水</w:t>
            </w:r>
            <w:r>
              <w:rPr>
                <w:sz w:val="24"/>
                <w:highlight w:val="none"/>
              </w:rPr>
              <w:t>。</w:t>
            </w:r>
          </w:p>
          <w:p>
            <w:pPr>
              <w:widowControl/>
              <w:adjustRightInd w:val="0"/>
              <w:snapToGrid w:val="0"/>
              <w:jc w:val="center"/>
              <w:rPr>
                <w:b/>
                <w:kern w:val="0"/>
                <w:highlight w:val="none"/>
              </w:rPr>
            </w:pPr>
            <w:r>
              <w:rPr>
                <w:b/>
                <w:kern w:val="0"/>
                <w:highlight w:val="none"/>
              </w:rPr>
              <w:t>表</w:t>
            </w:r>
            <w:r>
              <w:rPr>
                <w:rFonts w:hint="eastAsia"/>
                <w:b/>
                <w:kern w:val="0"/>
                <w:highlight w:val="none"/>
              </w:rPr>
              <w:t xml:space="preserve">4-8  </w:t>
            </w:r>
            <w:r>
              <w:rPr>
                <w:b/>
                <w:kern w:val="0"/>
                <w:highlight w:val="none"/>
              </w:rPr>
              <w:t>废水污染源产生、排放汇总表</w:t>
            </w:r>
            <w:r>
              <w:rPr>
                <w:rFonts w:hint="eastAsia"/>
                <w:b/>
                <w:kern w:val="0"/>
                <w:highlight w:val="none"/>
              </w:rPr>
              <w:t>（pH无量纲）</w:t>
            </w:r>
          </w:p>
          <w:tbl>
            <w:tblPr>
              <w:tblStyle w:val="3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94"/>
              <w:gridCol w:w="615"/>
              <w:gridCol w:w="780"/>
              <w:gridCol w:w="741"/>
              <w:gridCol w:w="627"/>
              <w:gridCol w:w="711"/>
              <w:gridCol w:w="588"/>
              <w:gridCol w:w="635"/>
              <w:gridCol w:w="500"/>
              <w:gridCol w:w="675"/>
              <w:gridCol w:w="438"/>
              <w:gridCol w:w="730"/>
              <w:gridCol w:w="632"/>
              <w:gridCol w:w="600"/>
              <w:gridCol w:w="400"/>
              <w:gridCol w:w="650"/>
              <w:gridCol w:w="588"/>
              <w:gridCol w:w="653"/>
              <w:gridCol w:w="572"/>
              <w:gridCol w:w="1062"/>
              <w:gridCol w:w="70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jc w:val="center"/>
                    <w:rPr>
                      <w:b/>
                      <w:bCs/>
                      <w:sz w:val="18"/>
                      <w:szCs w:val="18"/>
                      <w:highlight w:val="none"/>
                    </w:rPr>
                  </w:pPr>
                  <w:r>
                    <w:rPr>
                      <w:b/>
                      <w:bCs/>
                      <w:sz w:val="18"/>
                      <w:szCs w:val="18"/>
                      <w:highlight w:val="none"/>
                    </w:rPr>
                    <w:t>产排污环节</w:t>
                  </w:r>
                </w:p>
              </w:tc>
              <w:tc>
                <w:tcPr>
                  <w:tcW w:w="615" w:type="dxa"/>
                  <w:vMerge w:val="restart"/>
                  <w:tcBorders>
                    <w:tl2br w:val="nil"/>
                    <w:tr2bl w:val="nil"/>
                  </w:tcBorders>
                  <w:vAlign w:val="center"/>
                </w:tcPr>
                <w:p>
                  <w:pPr>
                    <w:jc w:val="center"/>
                    <w:rPr>
                      <w:b/>
                      <w:bCs/>
                      <w:sz w:val="18"/>
                      <w:szCs w:val="18"/>
                      <w:highlight w:val="none"/>
                    </w:rPr>
                  </w:pPr>
                  <w:r>
                    <w:rPr>
                      <w:b/>
                      <w:bCs/>
                      <w:sz w:val="18"/>
                      <w:szCs w:val="18"/>
                      <w:highlight w:val="none"/>
                    </w:rPr>
                    <w:t>类别</w:t>
                  </w:r>
                </w:p>
              </w:tc>
              <w:tc>
                <w:tcPr>
                  <w:tcW w:w="780" w:type="dxa"/>
                  <w:vMerge w:val="restart"/>
                  <w:tcBorders>
                    <w:tl2br w:val="nil"/>
                    <w:tr2bl w:val="nil"/>
                  </w:tcBorders>
                  <w:vAlign w:val="center"/>
                </w:tcPr>
                <w:p>
                  <w:pPr>
                    <w:jc w:val="center"/>
                    <w:rPr>
                      <w:b/>
                      <w:bCs/>
                      <w:sz w:val="18"/>
                      <w:szCs w:val="18"/>
                      <w:highlight w:val="none"/>
                    </w:rPr>
                  </w:pPr>
                  <w:r>
                    <w:rPr>
                      <w:b/>
                      <w:bCs/>
                      <w:sz w:val="18"/>
                      <w:szCs w:val="18"/>
                      <w:highlight w:val="none"/>
                    </w:rPr>
                    <w:t>污染物</w:t>
                  </w:r>
                </w:p>
                <w:p>
                  <w:pPr>
                    <w:jc w:val="center"/>
                    <w:rPr>
                      <w:b/>
                      <w:bCs/>
                      <w:sz w:val="18"/>
                      <w:szCs w:val="18"/>
                      <w:highlight w:val="none"/>
                    </w:rPr>
                  </w:pPr>
                  <w:r>
                    <w:rPr>
                      <w:b/>
                      <w:bCs/>
                      <w:sz w:val="18"/>
                      <w:szCs w:val="18"/>
                      <w:highlight w:val="none"/>
                    </w:rPr>
                    <w:t>种类</w:t>
                  </w:r>
                </w:p>
              </w:tc>
              <w:tc>
                <w:tcPr>
                  <w:tcW w:w="2079" w:type="dxa"/>
                  <w:gridSpan w:val="3"/>
                  <w:tcBorders>
                    <w:tl2br w:val="nil"/>
                    <w:tr2bl w:val="nil"/>
                  </w:tcBorders>
                  <w:vAlign w:val="center"/>
                </w:tcPr>
                <w:p>
                  <w:pPr>
                    <w:jc w:val="center"/>
                    <w:rPr>
                      <w:b/>
                      <w:bCs/>
                      <w:sz w:val="18"/>
                      <w:szCs w:val="18"/>
                      <w:highlight w:val="none"/>
                    </w:rPr>
                  </w:pPr>
                  <w:r>
                    <w:rPr>
                      <w:b/>
                      <w:bCs/>
                      <w:sz w:val="18"/>
                      <w:szCs w:val="18"/>
                      <w:highlight w:val="none"/>
                    </w:rPr>
                    <w:t>污染物产生量和浓度</w:t>
                  </w:r>
                </w:p>
              </w:tc>
              <w:tc>
                <w:tcPr>
                  <w:tcW w:w="2836" w:type="dxa"/>
                  <w:gridSpan w:val="5"/>
                  <w:tcBorders>
                    <w:tl2br w:val="nil"/>
                    <w:tr2bl w:val="nil"/>
                  </w:tcBorders>
                  <w:vAlign w:val="center"/>
                </w:tcPr>
                <w:p>
                  <w:pPr>
                    <w:jc w:val="center"/>
                    <w:rPr>
                      <w:b/>
                      <w:bCs/>
                      <w:sz w:val="18"/>
                      <w:szCs w:val="18"/>
                      <w:highlight w:val="none"/>
                    </w:rPr>
                  </w:pPr>
                  <w:r>
                    <w:rPr>
                      <w:b/>
                      <w:bCs/>
                      <w:sz w:val="18"/>
                      <w:szCs w:val="18"/>
                      <w:highlight w:val="none"/>
                    </w:rPr>
                    <w:t>污染治理设施</w:t>
                  </w:r>
                </w:p>
              </w:tc>
              <w:tc>
                <w:tcPr>
                  <w:tcW w:w="1962" w:type="dxa"/>
                  <w:gridSpan w:val="3"/>
                  <w:tcBorders>
                    <w:tl2br w:val="nil"/>
                    <w:tr2bl w:val="nil"/>
                  </w:tcBorders>
                  <w:vAlign w:val="center"/>
                </w:tcPr>
                <w:p>
                  <w:pPr>
                    <w:jc w:val="center"/>
                    <w:rPr>
                      <w:b/>
                      <w:bCs/>
                      <w:sz w:val="18"/>
                      <w:szCs w:val="18"/>
                      <w:highlight w:val="none"/>
                    </w:rPr>
                  </w:pPr>
                  <w:r>
                    <w:rPr>
                      <w:b/>
                      <w:bCs/>
                      <w:sz w:val="18"/>
                      <w:szCs w:val="18"/>
                      <w:highlight w:val="none"/>
                    </w:rPr>
                    <w:t>污染物排放量和浓度</w:t>
                  </w:r>
                </w:p>
              </w:tc>
              <w:tc>
                <w:tcPr>
                  <w:tcW w:w="3925" w:type="dxa"/>
                  <w:gridSpan w:val="6"/>
                  <w:tcBorders>
                    <w:tl2br w:val="nil"/>
                    <w:tr2bl w:val="nil"/>
                  </w:tcBorders>
                  <w:vAlign w:val="center"/>
                </w:tcPr>
                <w:p>
                  <w:pPr>
                    <w:jc w:val="center"/>
                    <w:rPr>
                      <w:b/>
                      <w:bCs/>
                      <w:sz w:val="18"/>
                      <w:szCs w:val="18"/>
                      <w:highlight w:val="none"/>
                    </w:rPr>
                  </w:pPr>
                  <w:r>
                    <w:rPr>
                      <w:b/>
                      <w:bCs/>
                      <w:sz w:val="18"/>
                      <w:szCs w:val="18"/>
                      <w:highlight w:val="none"/>
                    </w:rPr>
                    <w:t>排放口基本情况</w:t>
                  </w:r>
                </w:p>
              </w:tc>
              <w:tc>
                <w:tcPr>
                  <w:tcW w:w="707" w:type="dxa"/>
                  <w:tcBorders>
                    <w:tl2br w:val="nil"/>
                    <w:tr2bl w:val="nil"/>
                  </w:tcBorders>
                  <w:vAlign w:val="center"/>
                </w:tcPr>
                <w:p>
                  <w:pPr>
                    <w:jc w:val="center"/>
                    <w:rPr>
                      <w:b/>
                      <w:bCs/>
                      <w:sz w:val="18"/>
                      <w:szCs w:val="18"/>
                      <w:highlight w:val="none"/>
                    </w:rPr>
                  </w:pPr>
                  <w:r>
                    <w:rPr>
                      <w:b/>
                      <w:bCs/>
                      <w:sz w:val="18"/>
                      <w:szCs w:val="18"/>
                      <w:highlight w:val="none"/>
                    </w:rPr>
                    <w:t>排放</w:t>
                  </w:r>
                </w:p>
                <w:p>
                  <w:pPr>
                    <w:jc w:val="center"/>
                    <w:rPr>
                      <w:b/>
                      <w:bCs/>
                      <w:sz w:val="18"/>
                      <w:szCs w:val="18"/>
                      <w:highlight w:val="none"/>
                    </w:rPr>
                  </w:pPr>
                  <w:r>
                    <w:rPr>
                      <w:b/>
                      <w:bCs/>
                      <w:sz w:val="18"/>
                      <w:szCs w:val="18"/>
                      <w:highlight w:val="none"/>
                    </w:rPr>
                    <w:t>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b/>
                      <w:bCs/>
                      <w:sz w:val="18"/>
                      <w:szCs w:val="18"/>
                      <w:highlight w:val="none"/>
                    </w:rPr>
                  </w:pPr>
                </w:p>
              </w:tc>
              <w:tc>
                <w:tcPr>
                  <w:tcW w:w="615" w:type="dxa"/>
                  <w:vMerge w:val="continue"/>
                  <w:tcBorders>
                    <w:tl2br w:val="nil"/>
                    <w:tr2bl w:val="nil"/>
                  </w:tcBorders>
                  <w:vAlign w:val="center"/>
                </w:tcPr>
                <w:p>
                  <w:pPr>
                    <w:jc w:val="center"/>
                    <w:rPr>
                      <w:b/>
                      <w:bCs/>
                      <w:sz w:val="18"/>
                      <w:szCs w:val="18"/>
                      <w:highlight w:val="none"/>
                    </w:rPr>
                  </w:pPr>
                </w:p>
              </w:tc>
              <w:tc>
                <w:tcPr>
                  <w:tcW w:w="780" w:type="dxa"/>
                  <w:vMerge w:val="continue"/>
                  <w:tcBorders>
                    <w:tl2br w:val="nil"/>
                    <w:tr2bl w:val="nil"/>
                  </w:tcBorders>
                  <w:vAlign w:val="center"/>
                </w:tcPr>
                <w:p>
                  <w:pPr>
                    <w:jc w:val="center"/>
                    <w:rPr>
                      <w:b/>
                      <w:bCs/>
                      <w:sz w:val="18"/>
                      <w:szCs w:val="18"/>
                      <w:highlight w:val="none"/>
                    </w:rPr>
                  </w:pPr>
                </w:p>
              </w:tc>
              <w:tc>
                <w:tcPr>
                  <w:tcW w:w="741" w:type="dxa"/>
                  <w:tcBorders>
                    <w:tl2br w:val="nil"/>
                    <w:tr2bl w:val="nil"/>
                  </w:tcBorders>
                  <w:vAlign w:val="center"/>
                </w:tcPr>
                <w:p>
                  <w:pPr>
                    <w:jc w:val="center"/>
                    <w:rPr>
                      <w:b/>
                      <w:bCs/>
                      <w:sz w:val="18"/>
                      <w:szCs w:val="18"/>
                      <w:highlight w:val="none"/>
                    </w:rPr>
                  </w:pPr>
                  <w:r>
                    <w:rPr>
                      <w:b/>
                      <w:bCs/>
                      <w:sz w:val="18"/>
                      <w:szCs w:val="18"/>
                      <w:highlight w:val="none"/>
                    </w:rPr>
                    <w:t>废水量</w:t>
                  </w:r>
                </w:p>
              </w:tc>
              <w:tc>
                <w:tcPr>
                  <w:tcW w:w="627" w:type="dxa"/>
                  <w:tcBorders>
                    <w:tl2br w:val="nil"/>
                    <w:tr2bl w:val="nil"/>
                  </w:tcBorders>
                  <w:vAlign w:val="center"/>
                </w:tcPr>
                <w:p>
                  <w:pPr>
                    <w:jc w:val="center"/>
                    <w:rPr>
                      <w:b/>
                      <w:bCs/>
                      <w:sz w:val="18"/>
                      <w:szCs w:val="18"/>
                      <w:highlight w:val="none"/>
                    </w:rPr>
                  </w:pPr>
                  <w:r>
                    <w:rPr>
                      <w:b/>
                      <w:bCs/>
                      <w:sz w:val="18"/>
                      <w:szCs w:val="18"/>
                      <w:highlight w:val="none"/>
                    </w:rPr>
                    <w:t>产生浓度</w:t>
                  </w:r>
                </w:p>
              </w:tc>
              <w:tc>
                <w:tcPr>
                  <w:tcW w:w="711" w:type="dxa"/>
                  <w:tcBorders>
                    <w:tl2br w:val="nil"/>
                    <w:tr2bl w:val="nil"/>
                  </w:tcBorders>
                  <w:vAlign w:val="center"/>
                </w:tcPr>
                <w:p>
                  <w:pPr>
                    <w:jc w:val="center"/>
                    <w:rPr>
                      <w:b/>
                      <w:bCs/>
                      <w:sz w:val="18"/>
                      <w:szCs w:val="18"/>
                      <w:highlight w:val="none"/>
                    </w:rPr>
                  </w:pPr>
                  <w:r>
                    <w:rPr>
                      <w:b/>
                      <w:bCs/>
                      <w:sz w:val="18"/>
                      <w:szCs w:val="18"/>
                      <w:highlight w:val="none"/>
                    </w:rPr>
                    <w:t>产生量</w:t>
                  </w:r>
                </w:p>
              </w:tc>
              <w:tc>
                <w:tcPr>
                  <w:tcW w:w="588" w:type="dxa"/>
                  <w:tcBorders>
                    <w:tl2br w:val="nil"/>
                    <w:tr2bl w:val="nil"/>
                  </w:tcBorders>
                  <w:vAlign w:val="center"/>
                </w:tcPr>
                <w:p>
                  <w:pPr>
                    <w:jc w:val="center"/>
                    <w:rPr>
                      <w:b/>
                      <w:bCs/>
                      <w:sz w:val="18"/>
                      <w:szCs w:val="18"/>
                      <w:highlight w:val="none"/>
                    </w:rPr>
                  </w:pPr>
                  <w:r>
                    <w:rPr>
                      <w:b/>
                      <w:bCs/>
                      <w:sz w:val="18"/>
                      <w:szCs w:val="18"/>
                      <w:highlight w:val="none"/>
                    </w:rPr>
                    <w:t>处理能力</w:t>
                  </w:r>
                </w:p>
              </w:tc>
              <w:tc>
                <w:tcPr>
                  <w:tcW w:w="635" w:type="dxa"/>
                  <w:vMerge w:val="restart"/>
                  <w:tcBorders>
                    <w:tl2br w:val="nil"/>
                    <w:tr2bl w:val="nil"/>
                  </w:tcBorders>
                  <w:vAlign w:val="center"/>
                </w:tcPr>
                <w:p>
                  <w:pPr>
                    <w:jc w:val="center"/>
                    <w:rPr>
                      <w:b/>
                      <w:bCs/>
                      <w:sz w:val="18"/>
                      <w:szCs w:val="18"/>
                      <w:highlight w:val="none"/>
                    </w:rPr>
                  </w:pPr>
                  <w:r>
                    <w:rPr>
                      <w:b/>
                      <w:bCs/>
                      <w:sz w:val="18"/>
                      <w:szCs w:val="18"/>
                      <w:highlight w:val="none"/>
                    </w:rPr>
                    <w:t>治理设施编号</w:t>
                  </w:r>
                </w:p>
              </w:tc>
              <w:tc>
                <w:tcPr>
                  <w:tcW w:w="500" w:type="dxa"/>
                  <w:vMerge w:val="restart"/>
                  <w:tcBorders>
                    <w:tl2br w:val="nil"/>
                    <w:tr2bl w:val="nil"/>
                  </w:tcBorders>
                  <w:vAlign w:val="center"/>
                </w:tcPr>
                <w:p>
                  <w:pPr>
                    <w:jc w:val="center"/>
                    <w:rPr>
                      <w:b/>
                      <w:bCs/>
                      <w:sz w:val="18"/>
                      <w:szCs w:val="18"/>
                      <w:highlight w:val="none"/>
                    </w:rPr>
                  </w:pPr>
                  <w:r>
                    <w:rPr>
                      <w:b/>
                      <w:bCs/>
                      <w:sz w:val="18"/>
                      <w:szCs w:val="18"/>
                      <w:highlight w:val="none"/>
                    </w:rPr>
                    <w:t>主要治理工艺</w:t>
                  </w:r>
                </w:p>
              </w:tc>
              <w:tc>
                <w:tcPr>
                  <w:tcW w:w="675" w:type="dxa"/>
                  <w:tcBorders>
                    <w:tl2br w:val="nil"/>
                    <w:tr2bl w:val="nil"/>
                  </w:tcBorders>
                  <w:vAlign w:val="center"/>
                </w:tcPr>
                <w:p>
                  <w:pPr>
                    <w:jc w:val="center"/>
                    <w:rPr>
                      <w:b/>
                      <w:bCs/>
                      <w:sz w:val="18"/>
                      <w:szCs w:val="18"/>
                      <w:highlight w:val="none"/>
                    </w:rPr>
                  </w:pPr>
                  <w:r>
                    <w:rPr>
                      <w:b/>
                      <w:bCs/>
                      <w:sz w:val="18"/>
                      <w:szCs w:val="18"/>
                      <w:highlight w:val="none"/>
                    </w:rPr>
                    <w:t>去除效率</w:t>
                  </w:r>
                </w:p>
              </w:tc>
              <w:tc>
                <w:tcPr>
                  <w:tcW w:w="438" w:type="dxa"/>
                  <w:vMerge w:val="restart"/>
                  <w:tcBorders>
                    <w:tl2br w:val="nil"/>
                    <w:tr2bl w:val="nil"/>
                  </w:tcBorders>
                  <w:vAlign w:val="center"/>
                </w:tcPr>
                <w:p>
                  <w:pPr>
                    <w:jc w:val="center"/>
                    <w:rPr>
                      <w:b/>
                      <w:bCs/>
                      <w:sz w:val="18"/>
                      <w:szCs w:val="18"/>
                      <w:highlight w:val="none"/>
                    </w:rPr>
                  </w:pPr>
                  <w:r>
                    <w:rPr>
                      <w:b/>
                      <w:bCs/>
                      <w:sz w:val="18"/>
                      <w:szCs w:val="18"/>
                      <w:highlight w:val="none"/>
                    </w:rPr>
                    <w:t>是否可行技术</w:t>
                  </w:r>
                </w:p>
              </w:tc>
              <w:tc>
                <w:tcPr>
                  <w:tcW w:w="730" w:type="dxa"/>
                  <w:tcBorders>
                    <w:tl2br w:val="nil"/>
                    <w:tr2bl w:val="nil"/>
                  </w:tcBorders>
                  <w:vAlign w:val="center"/>
                </w:tcPr>
                <w:p>
                  <w:pPr>
                    <w:jc w:val="center"/>
                    <w:rPr>
                      <w:b/>
                      <w:bCs/>
                      <w:sz w:val="18"/>
                      <w:szCs w:val="18"/>
                      <w:highlight w:val="none"/>
                    </w:rPr>
                  </w:pPr>
                  <w:r>
                    <w:rPr>
                      <w:b/>
                      <w:bCs/>
                      <w:sz w:val="18"/>
                      <w:szCs w:val="18"/>
                      <w:highlight w:val="none"/>
                    </w:rPr>
                    <w:t>废水量</w:t>
                  </w:r>
                </w:p>
              </w:tc>
              <w:tc>
                <w:tcPr>
                  <w:tcW w:w="632" w:type="dxa"/>
                  <w:tcBorders>
                    <w:tl2br w:val="nil"/>
                    <w:tr2bl w:val="nil"/>
                  </w:tcBorders>
                  <w:vAlign w:val="center"/>
                </w:tcPr>
                <w:p>
                  <w:pPr>
                    <w:jc w:val="center"/>
                    <w:rPr>
                      <w:b/>
                      <w:bCs/>
                      <w:sz w:val="18"/>
                      <w:szCs w:val="18"/>
                      <w:highlight w:val="none"/>
                    </w:rPr>
                  </w:pPr>
                  <w:r>
                    <w:rPr>
                      <w:b/>
                      <w:bCs/>
                      <w:sz w:val="18"/>
                      <w:szCs w:val="18"/>
                      <w:highlight w:val="none"/>
                    </w:rPr>
                    <w:t>排放浓度</w:t>
                  </w:r>
                </w:p>
              </w:tc>
              <w:tc>
                <w:tcPr>
                  <w:tcW w:w="600" w:type="dxa"/>
                  <w:tcBorders>
                    <w:tl2br w:val="nil"/>
                    <w:tr2bl w:val="nil"/>
                  </w:tcBorders>
                  <w:vAlign w:val="center"/>
                </w:tcPr>
                <w:p>
                  <w:pPr>
                    <w:jc w:val="center"/>
                    <w:rPr>
                      <w:b/>
                      <w:bCs/>
                      <w:sz w:val="18"/>
                      <w:szCs w:val="18"/>
                      <w:highlight w:val="none"/>
                    </w:rPr>
                  </w:pPr>
                  <w:r>
                    <w:rPr>
                      <w:b/>
                      <w:bCs/>
                      <w:sz w:val="18"/>
                      <w:szCs w:val="18"/>
                      <w:highlight w:val="none"/>
                    </w:rPr>
                    <w:t>排放量</w:t>
                  </w:r>
                </w:p>
              </w:tc>
              <w:tc>
                <w:tcPr>
                  <w:tcW w:w="400" w:type="dxa"/>
                  <w:tcBorders>
                    <w:tl2br w:val="nil"/>
                    <w:tr2bl w:val="nil"/>
                  </w:tcBorders>
                  <w:vAlign w:val="center"/>
                </w:tcPr>
                <w:p>
                  <w:pPr>
                    <w:jc w:val="center"/>
                    <w:rPr>
                      <w:b/>
                      <w:bCs/>
                      <w:sz w:val="18"/>
                      <w:szCs w:val="18"/>
                      <w:highlight w:val="none"/>
                    </w:rPr>
                  </w:pPr>
                  <w:r>
                    <w:rPr>
                      <w:b/>
                      <w:bCs/>
                      <w:sz w:val="18"/>
                      <w:szCs w:val="18"/>
                      <w:highlight w:val="none"/>
                    </w:rPr>
                    <w:t>排放</w:t>
                  </w:r>
                </w:p>
                <w:p>
                  <w:pPr>
                    <w:jc w:val="center"/>
                    <w:rPr>
                      <w:b/>
                      <w:bCs/>
                      <w:sz w:val="18"/>
                      <w:szCs w:val="18"/>
                      <w:highlight w:val="none"/>
                    </w:rPr>
                  </w:pPr>
                  <w:r>
                    <w:rPr>
                      <w:b/>
                      <w:bCs/>
                      <w:sz w:val="18"/>
                      <w:szCs w:val="18"/>
                      <w:highlight w:val="none"/>
                    </w:rPr>
                    <w:t>方式</w:t>
                  </w:r>
                </w:p>
              </w:tc>
              <w:tc>
                <w:tcPr>
                  <w:tcW w:w="650" w:type="dxa"/>
                  <w:tcBorders>
                    <w:tl2br w:val="nil"/>
                    <w:tr2bl w:val="nil"/>
                  </w:tcBorders>
                  <w:vAlign w:val="center"/>
                </w:tcPr>
                <w:p>
                  <w:pPr>
                    <w:jc w:val="center"/>
                    <w:rPr>
                      <w:b/>
                      <w:bCs/>
                      <w:sz w:val="18"/>
                      <w:szCs w:val="18"/>
                      <w:highlight w:val="none"/>
                    </w:rPr>
                  </w:pPr>
                  <w:r>
                    <w:rPr>
                      <w:b/>
                      <w:bCs/>
                      <w:sz w:val="18"/>
                      <w:szCs w:val="18"/>
                      <w:highlight w:val="none"/>
                    </w:rPr>
                    <w:t>排放去向</w:t>
                  </w:r>
                </w:p>
              </w:tc>
              <w:tc>
                <w:tcPr>
                  <w:tcW w:w="588" w:type="dxa"/>
                  <w:tcBorders>
                    <w:tl2br w:val="nil"/>
                    <w:tr2bl w:val="nil"/>
                  </w:tcBorders>
                  <w:vAlign w:val="center"/>
                </w:tcPr>
                <w:p>
                  <w:pPr>
                    <w:jc w:val="center"/>
                    <w:rPr>
                      <w:b/>
                      <w:bCs/>
                      <w:sz w:val="18"/>
                      <w:szCs w:val="18"/>
                      <w:highlight w:val="none"/>
                    </w:rPr>
                  </w:pPr>
                  <w:r>
                    <w:rPr>
                      <w:b/>
                      <w:bCs/>
                      <w:sz w:val="18"/>
                      <w:szCs w:val="18"/>
                      <w:highlight w:val="none"/>
                    </w:rPr>
                    <w:t>排放</w:t>
                  </w:r>
                </w:p>
                <w:p>
                  <w:pPr>
                    <w:jc w:val="center"/>
                    <w:rPr>
                      <w:b/>
                      <w:bCs/>
                      <w:sz w:val="18"/>
                      <w:szCs w:val="18"/>
                      <w:highlight w:val="none"/>
                    </w:rPr>
                  </w:pPr>
                  <w:r>
                    <w:rPr>
                      <w:b/>
                      <w:bCs/>
                      <w:sz w:val="18"/>
                      <w:szCs w:val="18"/>
                      <w:highlight w:val="none"/>
                    </w:rPr>
                    <w:t>规律</w:t>
                  </w:r>
                </w:p>
              </w:tc>
              <w:tc>
                <w:tcPr>
                  <w:tcW w:w="653" w:type="dxa"/>
                  <w:tcBorders>
                    <w:tl2br w:val="nil"/>
                    <w:tr2bl w:val="nil"/>
                  </w:tcBorders>
                  <w:vAlign w:val="center"/>
                </w:tcPr>
                <w:p>
                  <w:pPr>
                    <w:jc w:val="center"/>
                    <w:rPr>
                      <w:b/>
                      <w:bCs/>
                      <w:sz w:val="18"/>
                      <w:szCs w:val="18"/>
                      <w:highlight w:val="none"/>
                    </w:rPr>
                  </w:pPr>
                  <w:r>
                    <w:rPr>
                      <w:b/>
                      <w:bCs/>
                      <w:sz w:val="18"/>
                      <w:szCs w:val="18"/>
                      <w:highlight w:val="none"/>
                    </w:rPr>
                    <w:t>排放编号及名称</w:t>
                  </w:r>
                </w:p>
              </w:tc>
              <w:tc>
                <w:tcPr>
                  <w:tcW w:w="572" w:type="dxa"/>
                  <w:tcBorders>
                    <w:tl2br w:val="nil"/>
                    <w:tr2bl w:val="nil"/>
                  </w:tcBorders>
                  <w:vAlign w:val="center"/>
                </w:tcPr>
                <w:p>
                  <w:pPr>
                    <w:jc w:val="center"/>
                    <w:rPr>
                      <w:b/>
                      <w:bCs/>
                      <w:sz w:val="18"/>
                      <w:szCs w:val="18"/>
                      <w:highlight w:val="none"/>
                    </w:rPr>
                  </w:pPr>
                  <w:r>
                    <w:rPr>
                      <w:b/>
                      <w:bCs/>
                      <w:sz w:val="18"/>
                      <w:szCs w:val="18"/>
                      <w:highlight w:val="none"/>
                    </w:rPr>
                    <w:t>排放类型</w:t>
                  </w:r>
                </w:p>
              </w:tc>
              <w:tc>
                <w:tcPr>
                  <w:tcW w:w="1062" w:type="dxa"/>
                  <w:tcBorders>
                    <w:tl2br w:val="nil"/>
                    <w:tr2bl w:val="nil"/>
                  </w:tcBorders>
                  <w:vAlign w:val="center"/>
                </w:tcPr>
                <w:p>
                  <w:pPr>
                    <w:jc w:val="center"/>
                    <w:rPr>
                      <w:b/>
                      <w:bCs/>
                      <w:sz w:val="18"/>
                      <w:szCs w:val="18"/>
                      <w:highlight w:val="none"/>
                    </w:rPr>
                  </w:pPr>
                  <w:r>
                    <w:rPr>
                      <w:b/>
                      <w:bCs/>
                      <w:sz w:val="18"/>
                      <w:szCs w:val="18"/>
                      <w:highlight w:val="none"/>
                    </w:rPr>
                    <w:t>地理</w:t>
                  </w:r>
                </w:p>
                <w:p>
                  <w:pPr>
                    <w:jc w:val="center"/>
                    <w:rPr>
                      <w:b/>
                      <w:bCs/>
                      <w:sz w:val="18"/>
                      <w:szCs w:val="18"/>
                      <w:highlight w:val="none"/>
                    </w:rPr>
                  </w:pPr>
                  <w:r>
                    <w:rPr>
                      <w:b/>
                      <w:bCs/>
                      <w:sz w:val="18"/>
                      <w:szCs w:val="18"/>
                      <w:highlight w:val="none"/>
                    </w:rPr>
                    <w:t>坐标</w:t>
                  </w:r>
                </w:p>
              </w:tc>
              <w:tc>
                <w:tcPr>
                  <w:tcW w:w="707" w:type="dxa"/>
                  <w:vMerge w:val="restart"/>
                  <w:tcBorders>
                    <w:tl2br w:val="nil"/>
                    <w:tr2bl w:val="nil"/>
                  </w:tcBorders>
                  <w:vAlign w:val="center"/>
                </w:tcPr>
                <w:p>
                  <w:pPr>
                    <w:jc w:val="center"/>
                    <w:rPr>
                      <w:b/>
                      <w:bCs/>
                      <w:sz w:val="18"/>
                      <w:szCs w:val="18"/>
                      <w:highlight w:val="none"/>
                    </w:rPr>
                  </w:pPr>
                  <w:r>
                    <w:rPr>
                      <w:b/>
                      <w:bCs/>
                      <w:sz w:val="18"/>
                      <w:szCs w:val="18"/>
                      <w:highlight w:val="none"/>
                    </w:rPr>
                    <w:t>浓度</w:t>
                  </w:r>
                </w:p>
                <w:p>
                  <w:pPr>
                    <w:jc w:val="center"/>
                    <w:rPr>
                      <w:b/>
                      <w:bCs/>
                      <w:sz w:val="18"/>
                      <w:szCs w:val="18"/>
                      <w:highlight w:val="none"/>
                    </w:rPr>
                  </w:pPr>
                  <w:r>
                    <w:rPr>
                      <w:b/>
                      <w:bCs/>
                      <w:sz w:val="18"/>
                      <w:szCs w:val="18"/>
                      <w:highlight w:val="none"/>
                    </w:rPr>
                    <w:t>mg/</w:t>
                  </w:r>
                  <w:r>
                    <w:rPr>
                      <w:rFonts w:hint="eastAsia"/>
                      <w:b/>
                      <w:bCs/>
                      <w:sz w:val="18"/>
                      <w:szCs w:val="18"/>
                      <w:highlight w:val="none"/>
                    </w:rPr>
                    <w:t>L</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b/>
                      <w:bCs/>
                      <w:sz w:val="18"/>
                      <w:szCs w:val="18"/>
                      <w:highlight w:val="none"/>
                    </w:rPr>
                  </w:pPr>
                </w:p>
              </w:tc>
              <w:tc>
                <w:tcPr>
                  <w:tcW w:w="615" w:type="dxa"/>
                  <w:vMerge w:val="continue"/>
                  <w:tcBorders>
                    <w:tl2br w:val="nil"/>
                    <w:tr2bl w:val="nil"/>
                  </w:tcBorders>
                  <w:vAlign w:val="center"/>
                </w:tcPr>
                <w:p>
                  <w:pPr>
                    <w:jc w:val="center"/>
                    <w:rPr>
                      <w:b/>
                      <w:bCs/>
                      <w:sz w:val="18"/>
                      <w:szCs w:val="18"/>
                      <w:highlight w:val="none"/>
                    </w:rPr>
                  </w:pPr>
                </w:p>
              </w:tc>
              <w:tc>
                <w:tcPr>
                  <w:tcW w:w="780" w:type="dxa"/>
                  <w:vMerge w:val="continue"/>
                  <w:tcBorders>
                    <w:tl2br w:val="nil"/>
                    <w:tr2bl w:val="nil"/>
                  </w:tcBorders>
                  <w:vAlign w:val="center"/>
                </w:tcPr>
                <w:p>
                  <w:pPr>
                    <w:jc w:val="center"/>
                    <w:rPr>
                      <w:b/>
                      <w:bCs/>
                      <w:sz w:val="18"/>
                      <w:szCs w:val="18"/>
                      <w:highlight w:val="none"/>
                    </w:rPr>
                  </w:pPr>
                </w:p>
              </w:tc>
              <w:tc>
                <w:tcPr>
                  <w:tcW w:w="741" w:type="dxa"/>
                  <w:tcBorders>
                    <w:tl2br w:val="nil"/>
                    <w:tr2bl w:val="nil"/>
                  </w:tcBorders>
                  <w:vAlign w:val="center"/>
                </w:tcPr>
                <w:p>
                  <w:pPr>
                    <w:jc w:val="center"/>
                    <w:rPr>
                      <w:b/>
                      <w:bCs/>
                      <w:sz w:val="18"/>
                      <w:szCs w:val="18"/>
                      <w:highlight w:val="none"/>
                    </w:rPr>
                  </w:pPr>
                  <w:r>
                    <w:rPr>
                      <w:b/>
                      <w:bCs/>
                      <w:sz w:val="18"/>
                      <w:szCs w:val="18"/>
                      <w:highlight w:val="none"/>
                    </w:rPr>
                    <w:t>m</w:t>
                  </w:r>
                  <w:r>
                    <w:rPr>
                      <w:b/>
                      <w:bCs/>
                      <w:sz w:val="18"/>
                      <w:szCs w:val="18"/>
                      <w:highlight w:val="none"/>
                      <w:vertAlign w:val="superscript"/>
                    </w:rPr>
                    <w:t>3</w:t>
                  </w:r>
                  <w:r>
                    <w:rPr>
                      <w:b/>
                      <w:bCs/>
                      <w:sz w:val="18"/>
                      <w:szCs w:val="18"/>
                      <w:highlight w:val="none"/>
                    </w:rPr>
                    <w:t>/a</w:t>
                  </w:r>
                </w:p>
              </w:tc>
              <w:tc>
                <w:tcPr>
                  <w:tcW w:w="627" w:type="dxa"/>
                  <w:tcBorders>
                    <w:tl2br w:val="nil"/>
                    <w:tr2bl w:val="nil"/>
                  </w:tcBorders>
                  <w:vAlign w:val="center"/>
                </w:tcPr>
                <w:p>
                  <w:pPr>
                    <w:jc w:val="center"/>
                    <w:rPr>
                      <w:b/>
                      <w:bCs/>
                      <w:sz w:val="18"/>
                      <w:szCs w:val="18"/>
                      <w:highlight w:val="none"/>
                    </w:rPr>
                  </w:pPr>
                  <w:r>
                    <w:rPr>
                      <w:b/>
                      <w:bCs/>
                      <w:sz w:val="18"/>
                      <w:szCs w:val="18"/>
                      <w:highlight w:val="none"/>
                    </w:rPr>
                    <w:t>mg/</w:t>
                  </w:r>
                  <w:r>
                    <w:rPr>
                      <w:rFonts w:hint="eastAsia"/>
                      <w:b/>
                      <w:bCs/>
                      <w:sz w:val="18"/>
                      <w:szCs w:val="18"/>
                      <w:highlight w:val="none"/>
                    </w:rPr>
                    <w:t>L</w:t>
                  </w:r>
                </w:p>
              </w:tc>
              <w:tc>
                <w:tcPr>
                  <w:tcW w:w="711" w:type="dxa"/>
                  <w:tcBorders>
                    <w:tl2br w:val="nil"/>
                    <w:tr2bl w:val="nil"/>
                  </w:tcBorders>
                  <w:vAlign w:val="center"/>
                </w:tcPr>
                <w:p>
                  <w:pPr>
                    <w:jc w:val="center"/>
                    <w:rPr>
                      <w:b/>
                      <w:bCs/>
                      <w:sz w:val="18"/>
                      <w:szCs w:val="18"/>
                      <w:highlight w:val="none"/>
                    </w:rPr>
                  </w:pPr>
                  <w:r>
                    <w:rPr>
                      <w:b/>
                      <w:bCs/>
                      <w:sz w:val="18"/>
                      <w:szCs w:val="18"/>
                      <w:highlight w:val="none"/>
                    </w:rPr>
                    <w:t>t/a</w:t>
                  </w:r>
                </w:p>
              </w:tc>
              <w:tc>
                <w:tcPr>
                  <w:tcW w:w="588" w:type="dxa"/>
                  <w:tcBorders>
                    <w:tl2br w:val="nil"/>
                    <w:tr2bl w:val="nil"/>
                  </w:tcBorders>
                  <w:vAlign w:val="center"/>
                </w:tcPr>
                <w:p>
                  <w:pPr>
                    <w:jc w:val="center"/>
                    <w:rPr>
                      <w:b/>
                      <w:bCs/>
                      <w:sz w:val="18"/>
                      <w:szCs w:val="18"/>
                      <w:highlight w:val="none"/>
                    </w:rPr>
                  </w:pPr>
                  <w:r>
                    <w:rPr>
                      <w:b/>
                      <w:bCs/>
                      <w:sz w:val="18"/>
                      <w:szCs w:val="18"/>
                      <w:highlight w:val="none"/>
                    </w:rPr>
                    <w:t>m</w:t>
                  </w:r>
                  <w:r>
                    <w:rPr>
                      <w:b/>
                      <w:bCs/>
                      <w:sz w:val="18"/>
                      <w:szCs w:val="18"/>
                      <w:highlight w:val="none"/>
                      <w:vertAlign w:val="superscript"/>
                    </w:rPr>
                    <w:t>3</w:t>
                  </w:r>
                  <w:r>
                    <w:rPr>
                      <w:b/>
                      <w:bCs/>
                      <w:sz w:val="18"/>
                      <w:szCs w:val="18"/>
                      <w:highlight w:val="none"/>
                    </w:rPr>
                    <w:t>/</w:t>
                  </w:r>
                  <w:r>
                    <w:rPr>
                      <w:rFonts w:hint="eastAsia"/>
                      <w:b/>
                      <w:bCs/>
                      <w:sz w:val="18"/>
                      <w:szCs w:val="18"/>
                      <w:highlight w:val="none"/>
                    </w:rPr>
                    <w:t>d</w:t>
                  </w:r>
                </w:p>
              </w:tc>
              <w:tc>
                <w:tcPr>
                  <w:tcW w:w="635" w:type="dxa"/>
                  <w:vMerge w:val="continue"/>
                  <w:tcBorders>
                    <w:tl2br w:val="nil"/>
                    <w:tr2bl w:val="nil"/>
                  </w:tcBorders>
                  <w:vAlign w:val="center"/>
                </w:tcPr>
                <w:p>
                  <w:pPr>
                    <w:jc w:val="center"/>
                    <w:rPr>
                      <w:b/>
                      <w:bCs/>
                      <w:sz w:val="18"/>
                      <w:szCs w:val="18"/>
                      <w:highlight w:val="none"/>
                    </w:rPr>
                  </w:pPr>
                </w:p>
              </w:tc>
              <w:tc>
                <w:tcPr>
                  <w:tcW w:w="500" w:type="dxa"/>
                  <w:vMerge w:val="continue"/>
                  <w:tcBorders>
                    <w:tl2br w:val="nil"/>
                    <w:tr2bl w:val="nil"/>
                  </w:tcBorders>
                  <w:vAlign w:val="center"/>
                </w:tcPr>
                <w:p>
                  <w:pPr>
                    <w:jc w:val="center"/>
                    <w:rPr>
                      <w:b/>
                      <w:bCs/>
                      <w:sz w:val="18"/>
                      <w:szCs w:val="18"/>
                      <w:highlight w:val="none"/>
                    </w:rPr>
                  </w:pPr>
                </w:p>
              </w:tc>
              <w:tc>
                <w:tcPr>
                  <w:tcW w:w="675" w:type="dxa"/>
                  <w:tcBorders>
                    <w:tl2br w:val="nil"/>
                    <w:tr2bl w:val="nil"/>
                  </w:tcBorders>
                  <w:vAlign w:val="center"/>
                </w:tcPr>
                <w:p>
                  <w:pPr>
                    <w:jc w:val="center"/>
                    <w:rPr>
                      <w:b/>
                      <w:bCs/>
                      <w:sz w:val="18"/>
                      <w:szCs w:val="18"/>
                      <w:highlight w:val="none"/>
                    </w:rPr>
                  </w:pPr>
                  <w:r>
                    <w:rPr>
                      <w:b/>
                      <w:bCs/>
                      <w:sz w:val="18"/>
                      <w:szCs w:val="18"/>
                      <w:highlight w:val="none"/>
                    </w:rPr>
                    <w:t>%</w:t>
                  </w:r>
                </w:p>
              </w:tc>
              <w:tc>
                <w:tcPr>
                  <w:tcW w:w="438" w:type="dxa"/>
                  <w:vMerge w:val="continue"/>
                  <w:tcBorders>
                    <w:tl2br w:val="nil"/>
                    <w:tr2bl w:val="nil"/>
                  </w:tcBorders>
                  <w:vAlign w:val="center"/>
                </w:tcPr>
                <w:p>
                  <w:pPr>
                    <w:jc w:val="center"/>
                    <w:rPr>
                      <w:b/>
                      <w:bCs/>
                      <w:sz w:val="18"/>
                      <w:szCs w:val="18"/>
                      <w:highlight w:val="none"/>
                    </w:rPr>
                  </w:pPr>
                </w:p>
              </w:tc>
              <w:tc>
                <w:tcPr>
                  <w:tcW w:w="730" w:type="dxa"/>
                  <w:tcBorders>
                    <w:tl2br w:val="nil"/>
                    <w:tr2bl w:val="nil"/>
                  </w:tcBorders>
                  <w:vAlign w:val="center"/>
                </w:tcPr>
                <w:p>
                  <w:pPr>
                    <w:jc w:val="center"/>
                    <w:rPr>
                      <w:b/>
                      <w:bCs/>
                      <w:sz w:val="18"/>
                      <w:szCs w:val="18"/>
                      <w:highlight w:val="none"/>
                    </w:rPr>
                  </w:pPr>
                  <w:r>
                    <w:rPr>
                      <w:b/>
                      <w:bCs/>
                      <w:sz w:val="18"/>
                      <w:szCs w:val="18"/>
                      <w:highlight w:val="none"/>
                    </w:rPr>
                    <w:t>m</w:t>
                  </w:r>
                  <w:r>
                    <w:rPr>
                      <w:b/>
                      <w:bCs/>
                      <w:sz w:val="18"/>
                      <w:szCs w:val="18"/>
                      <w:highlight w:val="none"/>
                      <w:vertAlign w:val="superscript"/>
                    </w:rPr>
                    <w:t>3</w:t>
                  </w:r>
                  <w:r>
                    <w:rPr>
                      <w:b/>
                      <w:bCs/>
                      <w:sz w:val="18"/>
                      <w:szCs w:val="18"/>
                      <w:highlight w:val="none"/>
                    </w:rPr>
                    <w:t>/a</w:t>
                  </w:r>
                </w:p>
              </w:tc>
              <w:tc>
                <w:tcPr>
                  <w:tcW w:w="632" w:type="dxa"/>
                  <w:tcBorders>
                    <w:tl2br w:val="nil"/>
                    <w:tr2bl w:val="nil"/>
                  </w:tcBorders>
                  <w:vAlign w:val="center"/>
                </w:tcPr>
                <w:p>
                  <w:pPr>
                    <w:jc w:val="center"/>
                    <w:rPr>
                      <w:b/>
                      <w:bCs/>
                      <w:sz w:val="18"/>
                      <w:szCs w:val="18"/>
                      <w:highlight w:val="none"/>
                    </w:rPr>
                  </w:pPr>
                  <w:r>
                    <w:rPr>
                      <w:b/>
                      <w:bCs/>
                      <w:sz w:val="18"/>
                      <w:szCs w:val="18"/>
                      <w:highlight w:val="none"/>
                    </w:rPr>
                    <w:t>mg/</w:t>
                  </w:r>
                  <w:r>
                    <w:rPr>
                      <w:rFonts w:hint="eastAsia"/>
                      <w:b/>
                      <w:bCs/>
                      <w:sz w:val="18"/>
                      <w:szCs w:val="18"/>
                      <w:highlight w:val="none"/>
                    </w:rPr>
                    <w:t>L</w:t>
                  </w:r>
                </w:p>
              </w:tc>
              <w:tc>
                <w:tcPr>
                  <w:tcW w:w="600" w:type="dxa"/>
                  <w:tcBorders>
                    <w:tl2br w:val="nil"/>
                    <w:tr2bl w:val="nil"/>
                  </w:tcBorders>
                  <w:vAlign w:val="center"/>
                </w:tcPr>
                <w:p>
                  <w:pPr>
                    <w:jc w:val="center"/>
                    <w:rPr>
                      <w:b/>
                      <w:bCs/>
                      <w:sz w:val="18"/>
                      <w:szCs w:val="18"/>
                      <w:highlight w:val="none"/>
                    </w:rPr>
                  </w:pPr>
                  <w:r>
                    <w:rPr>
                      <w:b/>
                      <w:bCs/>
                      <w:sz w:val="18"/>
                      <w:szCs w:val="18"/>
                      <w:highlight w:val="none"/>
                    </w:rPr>
                    <w:t>t/a</w:t>
                  </w:r>
                </w:p>
              </w:tc>
              <w:tc>
                <w:tcPr>
                  <w:tcW w:w="400" w:type="dxa"/>
                  <w:tcBorders>
                    <w:tl2br w:val="nil"/>
                    <w:tr2bl w:val="nil"/>
                  </w:tcBorders>
                  <w:vAlign w:val="center"/>
                </w:tcPr>
                <w:p>
                  <w:pPr>
                    <w:jc w:val="center"/>
                    <w:rPr>
                      <w:b/>
                      <w:bCs/>
                      <w:sz w:val="18"/>
                      <w:szCs w:val="18"/>
                      <w:highlight w:val="none"/>
                    </w:rPr>
                  </w:pPr>
                  <w:r>
                    <w:rPr>
                      <w:b/>
                      <w:bCs/>
                      <w:sz w:val="18"/>
                      <w:szCs w:val="18"/>
                      <w:highlight w:val="none"/>
                    </w:rPr>
                    <w:t>/</w:t>
                  </w:r>
                </w:p>
              </w:tc>
              <w:tc>
                <w:tcPr>
                  <w:tcW w:w="650" w:type="dxa"/>
                  <w:tcBorders>
                    <w:tl2br w:val="nil"/>
                    <w:tr2bl w:val="nil"/>
                  </w:tcBorders>
                  <w:vAlign w:val="center"/>
                </w:tcPr>
                <w:p>
                  <w:pPr>
                    <w:jc w:val="center"/>
                    <w:rPr>
                      <w:b/>
                      <w:bCs/>
                      <w:sz w:val="18"/>
                      <w:szCs w:val="18"/>
                      <w:highlight w:val="none"/>
                    </w:rPr>
                  </w:pPr>
                  <w:r>
                    <w:rPr>
                      <w:rFonts w:hint="eastAsia"/>
                      <w:b/>
                      <w:bCs/>
                      <w:sz w:val="18"/>
                      <w:szCs w:val="18"/>
                      <w:highlight w:val="none"/>
                    </w:rPr>
                    <w:t>/</w:t>
                  </w:r>
                </w:p>
              </w:tc>
              <w:tc>
                <w:tcPr>
                  <w:tcW w:w="588" w:type="dxa"/>
                  <w:tcBorders>
                    <w:tl2br w:val="nil"/>
                    <w:tr2bl w:val="nil"/>
                  </w:tcBorders>
                  <w:vAlign w:val="center"/>
                </w:tcPr>
                <w:p>
                  <w:pPr>
                    <w:jc w:val="center"/>
                    <w:rPr>
                      <w:b/>
                      <w:bCs/>
                      <w:sz w:val="18"/>
                      <w:szCs w:val="18"/>
                      <w:highlight w:val="none"/>
                    </w:rPr>
                  </w:pPr>
                  <w:r>
                    <w:rPr>
                      <w:rFonts w:hint="eastAsia"/>
                      <w:b/>
                      <w:bCs/>
                      <w:sz w:val="18"/>
                      <w:szCs w:val="18"/>
                      <w:highlight w:val="none"/>
                    </w:rPr>
                    <w:t>/</w:t>
                  </w:r>
                </w:p>
              </w:tc>
              <w:tc>
                <w:tcPr>
                  <w:tcW w:w="653" w:type="dxa"/>
                  <w:tcBorders>
                    <w:tl2br w:val="nil"/>
                    <w:tr2bl w:val="nil"/>
                  </w:tcBorders>
                  <w:vAlign w:val="center"/>
                </w:tcPr>
                <w:p>
                  <w:pPr>
                    <w:jc w:val="center"/>
                    <w:rPr>
                      <w:b/>
                      <w:bCs/>
                      <w:sz w:val="18"/>
                      <w:szCs w:val="18"/>
                      <w:highlight w:val="none"/>
                    </w:rPr>
                  </w:pPr>
                  <w:r>
                    <w:rPr>
                      <w:rFonts w:hint="eastAsia"/>
                      <w:b/>
                      <w:bCs/>
                      <w:sz w:val="18"/>
                      <w:szCs w:val="18"/>
                      <w:highlight w:val="none"/>
                    </w:rPr>
                    <w:t>/</w:t>
                  </w:r>
                </w:p>
              </w:tc>
              <w:tc>
                <w:tcPr>
                  <w:tcW w:w="572" w:type="dxa"/>
                  <w:tcBorders>
                    <w:tl2br w:val="nil"/>
                    <w:tr2bl w:val="nil"/>
                  </w:tcBorders>
                  <w:vAlign w:val="center"/>
                </w:tcPr>
                <w:p>
                  <w:pPr>
                    <w:jc w:val="center"/>
                    <w:rPr>
                      <w:b/>
                      <w:bCs/>
                      <w:sz w:val="18"/>
                      <w:szCs w:val="18"/>
                      <w:highlight w:val="none"/>
                    </w:rPr>
                  </w:pPr>
                  <w:r>
                    <w:rPr>
                      <w:b/>
                      <w:bCs/>
                      <w:sz w:val="18"/>
                      <w:szCs w:val="18"/>
                      <w:highlight w:val="none"/>
                    </w:rPr>
                    <w:t>/</w:t>
                  </w:r>
                </w:p>
              </w:tc>
              <w:tc>
                <w:tcPr>
                  <w:tcW w:w="1062" w:type="dxa"/>
                  <w:tcBorders>
                    <w:tl2br w:val="nil"/>
                    <w:tr2bl w:val="nil"/>
                  </w:tcBorders>
                  <w:vAlign w:val="center"/>
                </w:tcPr>
                <w:p>
                  <w:pPr>
                    <w:jc w:val="center"/>
                    <w:rPr>
                      <w:b/>
                      <w:bCs/>
                      <w:sz w:val="18"/>
                      <w:szCs w:val="18"/>
                      <w:highlight w:val="none"/>
                    </w:rPr>
                  </w:pPr>
                  <w:r>
                    <w:rPr>
                      <w:b/>
                      <w:bCs/>
                      <w:sz w:val="18"/>
                      <w:szCs w:val="18"/>
                      <w:highlight w:val="none"/>
                    </w:rPr>
                    <w:t>/</w:t>
                  </w:r>
                </w:p>
              </w:tc>
              <w:tc>
                <w:tcPr>
                  <w:tcW w:w="707" w:type="dxa"/>
                  <w:vMerge w:val="continue"/>
                  <w:tcBorders>
                    <w:tl2br w:val="nil"/>
                    <w:tr2bl w:val="nil"/>
                  </w:tcBorders>
                  <w:vAlign w:val="center"/>
                </w:tcPr>
                <w:p>
                  <w:pPr>
                    <w:jc w:val="center"/>
                    <w:rPr>
                      <w:b/>
                      <w:bCs/>
                      <w:sz w:val="18"/>
                      <w:szCs w:val="18"/>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jc w:val="center"/>
                    <w:rPr>
                      <w:sz w:val="18"/>
                      <w:szCs w:val="18"/>
                      <w:highlight w:val="none"/>
                    </w:rPr>
                  </w:pPr>
                  <w:r>
                    <w:rPr>
                      <w:rFonts w:hint="eastAsia"/>
                      <w:sz w:val="18"/>
                      <w:szCs w:val="18"/>
                      <w:highlight w:val="none"/>
                    </w:rPr>
                    <w:t>生产、员工生活</w:t>
                  </w:r>
                </w:p>
              </w:tc>
              <w:tc>
                <w:tcPr>
                  <w:tcW w:w="615" w:type="dxa"/>
                  <w:vMerge w:val="restart"/>
                  <w:tcBorders>
                    <w:tl2br w:val="nil"/>
                    <w:tr2bl w:val="nil"/>
                  </w:tcBorders>
                  <w:vAlign w:val="center"/>
                </w:tcPr>
                <w:p>
                  <w:pPr>
                    <w:jc w:val="center"/>
                    <w:rPr>
                      <w:sz w:val="18"/>
                      <w:szCs w:val="18"/>
                      <w:highlight w:val="none"/>
                    </w:rPr>
                  </w:pPr>
                  <w:r>
                    <w:rPr>
                      <w:rFonts w:hint="eastAsia"/>
                      <w:sz w:val="18"/>
                      <w:szCs w:val="18"/>
                      <w:highlight w:val="none"/>
                    </w:rPr>
                    <w:t>综合废水</w:t>
                  </w:r>
                </w:p>
              </w:tc>
              <w:tc>
                <w:tcPr>
                  <w:tcW w:w="780" w:type="dxa"/>
                  <w:tcBorders>
                    <w:tl2br w:val="nil"/>
                    <w:tr2bl w:val="nil"/>
                  </w:tcBorders>
                  <w:vAlign w:val="center"/>
                </w:tcPr>
                <w:p>
                  <w:pPr>
                    <w:jc w:val="center"/>
                    <w:rPr>
                      <w:sz w:val="18"/>
                      <w:szCs w:val="18"/>
                      <w:highlight w:val="none"/>
                    </w:rPr>
                  </w:pPr>
                  <w:r>
                    <w:rPr>
                      <w:sz w:val="18"/>
                      <w:szCs w:val="18"/>
                      <w:highlight w:val="none"/>
                    </w:rPr>
                    <w:t>pH</w:t>
                  </w:r>
                </w:p>
              </w:tc>
              <w:tc>
                <w:tcPr>
                  <w:tcW w:w="741" w:type="dxa"/>
                  <w:vMerge w:val="restart"/>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42636</w:t>
                  </w:r>
                </w:p>
              </w:tc>
              <w:tc>
                <w:tcPr>
                  <w:tcW w:w="627" w:type="dxa"/>
                  <w:tcBorders>
                    <w:tl2br w:val="nil"/>
                    <w:tr2bl w:val="nil"/>
                  </w:tcBorders>
                  <w:vAlign w:val="center"/>
                </w:tcPr>
                <w:p>
                  <w:pPr>
                    <w:jc w:val="center"/>
                    <w:rPr>
                      <w:sz w:val="18"/>
                      <w:szCs w:val="18"/>
                      <w:highlight w:val="none"/>
                    </w:rPr>
                  </w:pPr>
                  <w:r>
                    <w:rPr>
                      <w:rFonts w:hint="eastAsia"/>
                      <w:sz w:val="18"/>
                      <w:szCs w:val="18"/>
                      <w:highlight w:val="none"/>
                    </w:rPr>
                    <w:t>6~9</w:t>
                  </w:r>
                </w:p>
              </w:tc>
              <w:tc>
                <w:tcPr>
                  <w:tcW w:w="711" w:type="dxa"/>
                  <w:tcBorders>
                    <w:tl2br w:val="nil"/>
                    <w:tr2bl w:val="nil"/>
                  </w:tcBorders>
                  <w:vAlign w:val="center"/>
                </w:tcPr>
                <w:p>
                  <w:pPr>
                    <w:jc w:val="center"/>
                    <w:rPr>
                      <w:sz w:val="18"/>
                      <w:szCs w:val="18"/>
                      <w:highlight w:val="none"/>
                    </w:rPr>
                  </w:pPr>
                  <w:r>
                    <w:rPr>
                      <w:rFonts w:hint="eastAsia"/>
                      <w:sz w:val="18"/>
                      <w:szCs w:val="18"/>
                      <w:highlight w:val="none"/>
                    </w:rPr>
                    <w:t>/</w:t>
                  </w:r>
                </w:p>
              </w:tc>
              <w:tc>
                <w:tcPr>
                  <w:tcW w:w="588" w:type="dxa"/>
                  <w:vMerge w:val="restart"/>
                  <w:tcBorders>
                    <w:tl2br w:val="nil"/>
                    <w:tr2bl w:val="nil"/>
                  </w:tcBorders>
                  <w:vAlign w:val="center"/>
                </w:tcPr>
                <w:p>
                  <w:pPr>
                    <w:jc w:val="center"/>
                    <w:rPr>
                      <w:sz w:val="18"/>
                      <w:szCs w:val="18"/>
                      <w:highlight w:val="none"/>
                    </w:rPr>
                  </w:pPr>
                  <w:r>
                    <w:rPr>
                      <w:rFonts w:hint="eastAsia"/>
                      <w:sz w:val="18"/>
                      <w:szCs w:val="18"/>
                      <w:highlight w:val="none"/>
                    </w:rPr>
                    <w:t>200</w:t>
                  </w:r>
                </w:p>
              </w:tc>
              <w:tc>
                <w:tcPr>
                  <w:tcW w:w="635" w:type="dxa"/>
                  <w:vMerge w:val="restart"/>
                  <w:tcBorders>
                    <w:tl2br w:val="nil"/>
                    <w:tr2bl w:val="nil"/>
                  </w:tcBorders>
                  <w:vAlign w:val="center"/>
                </w:tcPr>
                <w:p>
                  <w:pPr>
                    <w:jc w:val="center"/>
                    <w:rPr>
                      <w:sz w:val="18"/>
                      <w:szCs w:val="18"/>
                      <w:highlight w:val="none"/>
                    </w:rPr>
                  </w:pPr>
                  <w:r>
                    <w:rPr>
                      <w:sz w:val="18"/>
                      <w:szCs w:val="18"/>
                      <w:highlight w:val="none"/>
                    </w:rPr>
                    <w:t>TW001</w:t>
                  </w:r>
                </w:p>
              </w:tc>
              <w:tc>
                <w:tcPr>
                  <w:tcW w:w="500" w:type="dxa"/>
                  <w:vMerge w:val="restart"/>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rPr>
                    <w:t>化粪池、</w:t>
                  </w:r>
                  <w:r>
                    <w:rPr>
                      <w:rFonts w:hint="eastAsia" w:eastAsia="宋体"/>
                      <w:color w:val="0000FF"/>
                      <w:sz w:val="18"/>
                      <w:szCs w:val="18"/>
                      <w:highlight w:val="none"/>
                    </w:rPr>
                    <w:t>兼氧FMBR+催化氧化处理</w:t>
                  </w:r>
                </w:p>
              </w:tc>
              <w:tc>
                <w:tcPr>
                  <w:tcW w:w="675" w:type="dxa"/>
                  <w:tcBorders>
                    <w:tl2br w:val="nil"/>
                    <w:tr2bl w:val="nil"/>
                  </w:tcBorders>
                  <w:vAlign w:val="center"/>
                </w:tcPr>
                <w:p>
                  <w:pPr>
                    <w:jc w:val="center"/>
                    <w:rPr>
                      <w:sz w:val="18"/>
                      <w:szCs w:val="18"/>
                      <w:highlight w:val="none"/>
                    </w:rPr>
                  </w:pPr>
                  <w:r>
                    <w:rPr>
                      <w:rFonts w:hint="eastAsia"/>
                      <w:sz w:val="18"/>
                      <w:szCs w:val="18"/>
                      <w:highlight w:val="none"/>
                    </w:rPr>
                    <w:t>/</w:t>
                  </w:r>
                </w:p>
              </w:tc>
              <w:tc>
                <w:tcPr>
                  <w:tcW w:w="438" w:type="dxa"/>
                  <w:vMerge w:val="restart"/>
                  <w:tcBorders>
                    <w:tl2br w:val="nil"/>
                    <w:tr2bl w:val="nil"/>
                  </w:tcBorders>
                  <w:vAlign w:val="center"/>
                </w:tcPr>
                <w:p>
                  <w:pPr>
                    <w:jc w:val="center"/>
                    <w:rPr>
                      <w:sz w:val="18"/>
                      <w:szCs w:val="18"/>
                      <w:highlight w:val="none"/>
                    </w:rPr>
                  </w:pPr>
                  <w:r>
                    <w:rPr>
                      <w:rFonts w:hint="eastAsia"/>
                      <w:sz w:val="18"/>
                      <w:szCs w:val="18"/>
                      <w:highlight w:val="none"/>
                    </w:rPr>
                    <w:t>是</w:t>
                  </w:r>
                </w:p>
              </w:tc>
              <w:tc>
                <w:tcPr>
                  <w:tcW w:w="730" w:type="dxa"/>
                  <w:vMerge w:val="restart"/>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42636</w:t>
                  </w:r>
                </w:p>
              </w:tc>
              <w:tc>
                <w:tcPr>
                  <w:tcW w:w="632" w:type="dxa"/>
                  <w:tcBorders>
                    <w:tl2br w:val="nil"/>
                    <w:tr2bl w:val="nil"/>
                  </w:tcBorders>
                  <w:vAlign w:val="center"/>
                </w:tcPr>
                <w:p>
                  <w:pPr>
                    <w:jc w:val="center"/>
                    <w:rPr>
                      <w:sz w:val="18"/>
                      <w:szCs w:val="18"/>
                      <w:highlight w:val="none"/>
                    </w:rPr>
                  </w:pPr>
                  <w:r>
                    <w:rPr>
                      <w:rFonts w:hint="eastAsia"/>
                      <w:sz w:val="18"/>
                      <w:szCs w:val="18"/>
                      <w:highlight w:val="none"/>
                    </w:rPr>
                    <w:t>6~9</w:t>
                  </w:r>
                </w:p>
              </w:tc>
              <w:tc>
                <w:tcPr>
                  <w:tcW w:w="600" w:type="dxa"/>
                  <w:tcBorders>
                    <w:tl2br w:val="nil"/>
                    <w:tr2bl w:val="nil"/>
                  </w:tcBorders>
                  <w:vAlign w:val="center"/>
                </w:tcPr>
                <w:p>
                  <w:pPr>
                    <w:jc w:val="center"/>
                    <w:rPr>
                      <w:sz w:val="18"/>
                      <w:szCs w:val="18"/>
                      <w:highlight w:val="none"/>
                    </w:rPr>
                  </w:pPr>
                  <w:r>
                    <w:rPr>
                      <w:rFonts w:hint="eastAsia"/>
                      <w:sz w:val="18"/>
                      <w:szCs w:val="18"/>
                      <w:highlight w:val="none"/>
                    </w:rPr>
                    <w:t>/</w:t>
                  </w:r>
                </w:p>
              </w:tc>
              <w:tc>
                <w:tcPr>
                  <w:tcW w:w="400" w:type="dxa"/>
                  <w:vMerge w:val="restart"/>
                  <w:tcBorders>
                    <w:tl2br w:val="nil"/>
                    <w:tr2bl w:val="nil"/>
                  </w:tcBorders>
                  <w:vAlign w:val="center"/>
                </w:tcPr>
                <w:p>
                  <w:pPr>
                    <w:jc w:val="center"/>
                    <w:rPr>
                      <w:sz w:val="18"/>
                      <w:szCs w:val="18"/>
                      <w:highlight w:val="none"/>
                    </w:rPr>
                  </w:pPr>
                  <w:r>
                    <w:rPr>
                      <w:rFonts w:hint="eastAsia"/>
                      <w:sz w:val="18"/>
                      <w:szCs w:val="18"/>
                      <w:highlight w:val="none"/>
                    </w:rPr>
                    <w:t>间接排放</w:t>
                  </w:r>
                </w:p>
              </w:tc>
              <w:tc>
                <w:tcPr>
                  <w:tcW w:w="650" w:type="dxa"/>
                  <w:vMerge w:val="restart"/>
                  <w:tcBorders>
                    <w:tl2br w:val="nil"/>
                    <w:tr2bl w:val="nil"/>
                  </w:tcBorders>
                  <w:vAlign w:val="center"/>
                </w:tcPr>
                <w:p>
                  <w:pPr>
                    <w:jc w:val="center"/>
                    <w:rPr>
                      <w:sz w:val="18"/>
                      <w:szCs w:val="18"/>
                      <w:highlight w:val="none"/>
                    </w:rPr>
                  </w:pPr>
                  <w:r>
                    <w:rPr>
                      <w:sz w:val="18"/>
                      <w:szCs w:val="18"/>
                      <w:highlight w:val="none"/>
                    </w:rPr>
                    <w:t>部分回用于厂区绿化，其余外排至</w:t>
                  </w:r>
                  <w:r>
                    <w:rPr>
                      <w:rFonts w:hint="eastAsia"/>
                      <w:sz w:val="18"/>
                      <w:szCs w:val="18"/>
                      <w:highlight w:val="none"/>
                    </w:rPr>
                    <w:t>企业租用的池塘后</w:t>
                  </w:r>
                  <w:r>
                    <w:rPr>
                      <w:sz w:val="18"/>
                      <w:szCs w:val="18"/>
                      <w:highlight w:val="none"/>
                    </w:rPr>
                    <w:t>用于农田灌溉</w:t>
                  </w:r>
                </w:p>
              </w:tc>
              <w:tc>
                <w:tcPr>
                  <w:tcW w:w="588" w:type="dxa"/>
                  <w:vMerge w:val="restart"/>
                  <w:tcBorders>
                    <w:tl2br w:val="nil"/>
                    <w:tr2bl w:val="nil"/>
                  </w:tcBorders>
                  <w:vAlign w:val="center"/>
                </w:tcPr>
                <w:p>
                  <w:pPr>
                    <w:jc w:val="center"/>
                    <w:rPr>
                      <w:sz w:val="18"/>
                      <w:szCs w:val="18"/>
                      <w:highlight w:val="none"/>
                    </w:rPr>
                  </w:pPr>
                  <w:r>
                    <w:rPr>
                      <w:sz w:val="18"/>
                      <w:szCs w:val="18"/>
                      <w:highlight w:val="none"/>
                    </w:rPr>
                    <w:t>间断排放，排放期间流量不稳定，但有周期性规律</w:t>
                  </w:r>
                </w:p>
              </w:tc>
              <w:tc>
                <w:tcPr>
                  <w:tcW w:w="653" w:type="dxa"/>
                  <w:vMerge w:val="restart"/>
                  <w:tcBorders>
                    <w:tl2br w:val="nil"/>
                    <w:tr2bl w:val="nil"/>
                  </w:tcBorders>
                  <w:vAlign w:val="center"/>
                </w:tcPr>
                <w:p>
                  <w:pPr>
                    <w:jc w:val="center"/>
                    <w:rPr>
                      <w:sz w:val="18"/>
                      <w:szCs w:val="18"/>
                      <w:highlight w:val="none"/>
                    </w:rPr>
                  </w:pPr>
                  <w:r>
                    <w:rPr>
                      <w:rFonts w:hint="eastAsia"/>
                      <w:sz w:val="18"/>
                      <w:szCs w:val="18"/>
                      <w:highlight w:val="none"/>
                    </w:rPr>
                    <w:t>DW001</w:t>
                  </w:r>
                </w:p>
              </w:tc>
              <w:tc>
                <w:tcPr>
                  <w:tcW w:w="572" w:type="dxa"/>
                  <w:vMerge w:val="restart"/>
                  <w:tcBorders>
                    <w:tl2br w:val="nil"/>
                    <w:tr2bl w:val="nil"/>
                  </w:tcBorders>
                  <w:vAlign w:val="center"/>
                </w:tcPr>
                <w:p>
                  <w:pPr>
                    <w:jc w:val="center"/>
                    <w:rPr>
                      <w:sz w:val="18"/>
                      <w:szCs w:val="18"/>
                      <w:highlight w:val="none"/>
                    </w:rPr>
                  </w:pPr>
                  <w:r>
                    <w:rPr>
                      <w:rFonts w:hint="eastAsia"/>
                      <w:sz w:val="18"/>
                      <w:szCs w:val="18"/>
                      <w:highlight w:val="none"/>
                    </w:rPr>
                    <w:t>一般排放口</w:t>
                  </w:r>
                </w:p>
              </w:tc>
              <w:tc>
                <w:tcPr>
                  <w:tcW w:w="1062" w:type="dxa"/>
                  <w:vMerge w:val="restart"/>
                  <w:tcBorders>
                    <w:tl2br w:val="nil"/>
                    <w:tr2bl w:val="nil"/>
                  </w:tcBorders>
                  <w:vAlign w:val="center"/>
                </w:tcPr>
                <w:p>
                  <w:pPr>
                    <w:jc w:val="center"/>
                    <w:rPr>
                      <w:sz w:val="18"/>
                      <w:szCs w:val="18"/>
                      <w:highlight w:val="none"/>
                    </w:rPr>
                  </w:pPr>
                  <w:r>
                    <w:rPr>
                      <w:sz w:val="18"/>
                      <w:szCs w:val="18"/>
                      <w:highlight w:val="none"/>
                    </w:rPr>
                    <w:t>E115°56′10.98</w:t>
                  </w:r>
                  <w:r>
                    <w:rPr>
                      <w:rFonts w:hint="eastAsia"/>
                      <w:sz w:val="18"/>
                      <w:szCs w:val="18"/>
                      <w:highlight w:val="none"/>
                    </w:rPr>
                    <w:t>6</w:t>
                  </w:r>
                  <w:r>
                    <w:rPr>
                      <w:sz w:val="18"/>
                      <w:szCs w:val="18"/>
                      <w:highlight w:val="none"/>
                    </w:rPr>
                    <w:t>″</w:t>
                  </w:r>
                </w:p>
                <w:p>
                  <w:pPr>
                    <w:jc w:val="center"/>
                    <w:rPr>
                      <w:sz w:val="18"/>
                      <w:szCs w:val="18"/>
                      <w:highlight w:val="none"/>
                    </w:rPr>
                  </w:pPr>
                  <w:r>
                    <w:rPr>
                      <w:sz w:val="18"/>
                      <w:szCs w:val="18"/>
                      <w:highlight w:val="none"/>
                    </w:rPr>
                    <w:t>N29°20′50.812″</w:t>
                  </w:r>
                </w:p>
              </w:tc>
              <w:tc>
                <w:tcPr>
                  <w:tcW w:w="707"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rPr>
                    <w:t>6~</w:t>
                  </w:r>
                  <w:r>
                    <w:rPr>
                      <w:rFonts w:hint="eastAsia"/>
                      <w:sz w:val="18"/>
                      <w:szCs w:val="18"/>
                      <w:highlight w:val="none"/>
                      <w:lang w:val="en-US" w:eastAsia="zh-CN"/>
                    </w:rPr>
                    <w:t>8.5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sz w:val="18"/>
                      <w:szCs w:val="18"/>
                      <w:highlight w:val="none"/>
                    </w:rPr>
                    <w:t>COD</w:t>
                  </w:r>
                  <w:r>
                    <w:rPr>
                      <w:rFonts w:hint="eastAsia"/>
                      <w:sz w:val="18"/>
                      <w:szCs w:val="18"/>
                      <w:highlight w:val="none"/>
                      <w:vertAlign w:val="subscript"/>
                    </w:rPr>
                    <w:t>Cr</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1416.1</w:t>
                  </w:r>
                </w:p>
              </w:tc>
              <w:tc>
                <w:tcPr>
                  <w:tcW w:w="711"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60.4</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rPr>
                    <w:t>98</w:t>
                  </w:r>
                  <w:r>
                    <w:rPr>
                      <w:rFonts w:hint="eastAsia"/>
                      <w:sz w:val="18"/>
                      <w:szCs w:val="18"/>
                      <w:highlight w:val="none"/>
                      <w:lang w:val="en-US" w:eastAsia="zh-CN"/>
                    </w:rPr>
                    <w:t>.56</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20.4</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0.872</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50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sz w:val="18"/>
                      <w:szCs w:val="18"/>
                      <w:highlight w:val="none"/>
                    </w:rPr>
                    <w:t>BOD</w:t>
                  </w:r>
                  <w:r>
                    <w:rPr>
                      <w:rFonts w:hint="eastAsia"/>
                      <w:sz w:val="18"/>
                      <w:szCs w:val="18"/>
                      <w:highlight w:val="none"/>
                      <w:vertAlign w:val="subscript"/>
                    </w:rPr>
                    <w:t>5</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756</w:t>
                  </w:r>
                </w:p>
              </w:tc>
              <w:tc>
                <w:tcPr>
                  <w:tcW w:w="711"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32.2</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98.87</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8.5</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0.364</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sz w:val="18"/>
                      <w:szCs w:val="18"/>
                      <w:highlight w:val="none"/>
                    </w:rPr>
                    <w:t>SS</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199.1</w:t>
                  </w:r>
                </w:p>
              </w:tc>
              <w:tc>
                <w:tcPr>
                  <w:tcW w:w="711"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8.5</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98.7</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2.6</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0.110</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sz w:val="18"/>
                      <w:szCs w:val="18"/>
                      <w:highlight w:val="none"/>
                    </w:rPr>
                    <w:t>NH</w:t>
                  </w:r>
                  <w:r>
                    <w:rPr>
                      <w:rFonts w:hint="eastAsia"/>
                      <w:sz w:val="18"/>
                      <w:szCs w:val="18"/>
                      <w:highlight w:val="none"/>
                      <w:vertAlign w:val="subscript"/>
                    </w:rPr>
                    <w:t>3</w:t>
                  </w:r>
                  <w:r>
                    <w:rPr>
                      <w:rFonts w:hint="eastAsia"/>
                      <w:sz w:val="18"/>
                      <w:szCs w:val="18"/>
                      <w:highlight w:val="none"/>
                    </w:rPr>
                    <w:t>-N</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sz w:val="18"/>
                      <w:szCs w:val="18"/>
                      <w:highlight w:val="none"/>
                    </w:rPr>
                  </w:pPr>
                  <w:r>
                    <w:rPr>
                      <w:rFonts w:hint="eastAsia"/>
                      <w:sz w:val="18"/>
                      <w:szCs w:val="18"/>
                      <w:highlight w:val="none"/>
                    </w:rPr>
                    <w:t>39.5</w:t>
                  </w:r>
                </w:p>
              </w:tc>
              <w:tc>
                <w:tcPr>
                  <w:tcW w:w="711" w:type="dxa"/>
                  <w:tcBorders>
                    <w:tl2br w:val="nil"/>
                    <w:tr2bl w:val="nil"/>
                  </w:tcBorders>
                  <w:vAlign w:val="center"/>
                </w:tcPr>
                <w:p>
                  <w:pPr>
                    <w:jc w:val="center"/>
                    <w:rPr>
                      <w:rFonts w:hint="eastAsia" w:eastAsia="宋体"/>
                      <w:sz w:val="18"/>
                      <w:szCs w:val="18"/>
                      <w:highlight w:val="none"/>
                      <w:lang w:eastAsia="zh-CN"/>
                    </w:rPr>
                  </w:pPr>
                  <w:r>
                    <w:rPr>
                      <w:rFonts w:hint="eastAsia"/>
                      <w:sz w:val="18"/>
                      <w:szCs w:val="18"/>
                      <w:highlight w:val="none"/>
                    </w:rPr>
                    <w:t>1.</w:t>
                  </w:r>
                  <w:r>
                    <w:rPr>
                      <w:rFonts w:hint="eastAsia"/>
                      <w:sz w:val="18"/>
                      <w:szCs w:val="18"/>
                      <w:highlight w:val="none"/>
                      <w:lang w:val="en-US" w:eastAsia="zh-CN"/>
                    </w:rPr>
                    <w:t>7</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89.8</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4.03</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0.172</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rFonts w:hint="eastAsia"/>
                      <w:sz w:val="18"/>
                      <w:szCs w:val="18"/>
                      <w:highlight w:val="none"/>
                    </w:rPr>
                    <w:t>总氮</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sz w:val="18"/>
                      <w:szCs w:val="18"/>
                      <w:highlight w:val="none"/>
                    </w:rPr>
                  </w:pPr>
                  <w:r>
                    <w:rPr>
                      <w:rFonts w:hint="eastAsia"/>
                      <w:sz w:val="18"/>
                      <w:szCs w:val="18"/>
                      <w:highlight w:val="none"/>
                    </w:rPr>
                    <w:t>65.9</w:t>
                  </w:r>
                </w:p>
              </w:tc>
              <w:tc>
                <w:tcPr>
                  <w:tcW w:w="711" w:type="dxa"/>
                  <w:tcBorders>
                    <w:tl2br w:val="nil"/>
                    <w:tr2bl w:val="nil"/>
                  </w:tcBorders>
                  <w:vAlign w:val="center"/>
                </w:tcPr>
                <w:p>
                  <w:pPr>
                    <w:jc w:val="center"/>
                    <w:rPr>
                      <w:rFonts w:hint="eastAsia" w:eastAsia="宋体"/>
                      <w:sz w:val="18"/>
                      <w:szCs w:val="18"/>
                      <w:highlight w:val="none"/>
                      <w:lang w:eastAsia="zh-CN"/>
                    </w:rPr>
                  </w:pPr>
                  <w:r>
                    <w:rPr>
                      <w:rFonts w:hint="eastAsia"/>
                      <w:sz w:val="18"/>
                      <w:szCs w:val="18"/>
                      <w:highlight w:val="none"/>
                    </w:rPr>
                    <w:t>2.</w:t>
                  </w:r>
                  <w:r>
                    <w:rPr>
                      <w:rFonts w:hint="eastAsia"/>
                      <w:sz w:val="18"/>
                      <w:szCs w:val="18"/>
                      <w:highlight w:val="none"/>
                      <w:lang w:val="en-US" w:eastAsia="zh-CN"/>
                    </w:rPr>
                    <w:t>8</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86.4</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9.0</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0.382</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rFonts w:hint="eastAsia"/>
                      <w:sz w:val="18"/>
                      <w:szCs w:val="18"/>
                      <w:highlight w:val="none"/>
                    </w:rPr>
                    <w:t>总磷</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sz w:val="18"/>
                      <w:szCs w:val="18"/>
                      <w:highlight w:val="none"/>
                    </w:rPr>
                  </w:pPr>
                  <w:r>
                    <w:rPr>
                      <w:rFonts w:hint="eastAsia"/>
                      <w:sz w:val="18"/>
                      <w:szCs w:val="18"/>
                      <w:highlight w:val="none"/>
                    </w:rPr>
                    <w:t>7.6</w:t>
                  </w:r>
                </w:p>
              </w:tc>
              <w:tc>
                <w:tcPr>
                  <w:tcW w:w="711" w:type="dxa"/>
                  <w:tcBorders>
                    <w:tl2br w:val="nil"/>
                    <w:tr2bl w:val="nil"/>
                  </w:tcBorders>
                  <w:vAlign w:val="center"/>
                </w:tcPr>
                <w:p>
                  <w:pPr>
                    <w:jc w:val="center"/>
                    <w:rPr>
                      <w:sz w:val="18"/>
                      <w:szCs w:val="18"/>
                      <w:highlight w:val="none"/>
                    </w:rPr>
                  </w:pPr>
                  <w:r>
                    <w:rPr>
                      <w:rFonts w:hint="eastAsia"/>
                      <w:sz w:val="18"/>
                      <w:szCs w:val="18"/>
                      <w:highlight w:val="none"/>
                    </w:rPr>
                    <w:t>0.3</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94</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0.46</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0.019</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0.5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jc w:val="center"/>
                    <w:rPr>
                      <w:sz w:val="18"/>
                      <w:szCs w:val="18"/>
                      <w:highlight w:val="none"/>
                    </w:rPr>
                  </w:pPr>
                </w:p>
              </w:tc>
              <w:tc>
                <w:tcPr>
                  <w:tcW w:w="615" w:type="dxa"/>
                  <w:vMerge w:val="continue"/>
                  <w:tcBorders>
                    <w:tl2br w:val="nil"/>
                    <w:tr2bl w:val="nil"/>
                  </w:tcBorders>
                  <w:vAlign w:val="center"/>
                </w:tcPr>
                <w:p>
                  <w:pPr>
                    <w:jc w:val="center"/>
                    <w:rPr>
                      <w:sz w:val="18"/>
                      <w:szCs w:val="18"/>
                      <w:highlight w:val="none"/>
                    </w:rPr>
                  </w:pPr>
                </w:p>
              </w:tc>
              <w:tc>
                <w:tcPr>
                  <w:tcW w:w="780" w:type="dxa"/>
                  <w:tcBorders>
                    <w:tl2br w:val="nil"/>
                    <w:tr2bl w:val="nil"/>
                  </w:tcBorders>
                  <w:vAlign w:val="center"/>
                </w:tcPr>
                <w:p>
                  <w:pPr>
                    <w:jc w:val="center"/>
                    <w:rPr>
                      <w:sz w:val="18"/>
                      <w:szCs w:val="18"/>
                      <w:highlight w:val="none"/>
                    </w:rPr>
                  </w:pPr>
                  <w:r>
                    <w:rPr>
                      <w:rFonts w:hint="eastAsia"/>
                      <w:sz w:val="18"/>
                      <w:szCs w:val="18"/>
                      <w:highlight w:val="none"/>
                    </w:rPr>
                    <w:t>动植物油</w:t>
                  </w:r>
                </w:p>
              </w:tc>
              <w:tc>
                <w:tcPr>
                  <w:tcW w:w="741" w:type="dxa"/>
                  <w:vMerge w:val="continue"/>
                  <w:tcBorders>
                    <w:tl2br w:val="nil"/>
                    <w:tr2bl w:val="nil"/>
                  </w:tcBorders>
                  <w:vAlign w:val="center"/>
                </w:tcPr>
                <w:p>
                  <w:pPr>
                    <w:jc w:val="center"/>
                    <w:rPr>
                      <w:sz w:val="18"/>
                      <w:szCs w:val="18"/>
                      <w:highlight w:val="none"/>
                    </w:rPr>
                  </w:pPr>
                </w:p>
              </w:tc>
              <w:tc>
                <w:tcPr>
                  <w:tcW w:w="627"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5.4</w:t>
                  </w:r>
                </w:p>
              </w:tc>
              <w:tc>
                <w:tcPr>
                  <w:tcW w:w="711" w:type="dxa"/>
                  <w:tcBorders>
                    <w:tl2br w:val="nil"/>
                    <w:tr2bl w:val="nil"/>
                  </w:tcBorders>
                  <w:vAlign w:val="center"/>
                </w:tcPr>
                <w:p>
                  <w:pPr>
                    <w:jc w:val="center"/>
                    <w:rPr>
                      <w:sz w:val="18"/>
                      <w:szCs w:val="18"/>
                      <w:highlight w:val="none"/>
                    </w:rPr>
                  </w:pPr>
                  <w:r>
                    <w:rPr>
                      <w:rFonts w:hint="eastAsia"/>
                      <w:sz w:val="18"/>
                      <w:szCs w:val="18"/>
                      <w:highlight w:val="none"/>
                    </w:rPr>
                    <w:t>0.2</w:t>
                  </w:r>
                </w:p>
              </w:tc>
              <w:tc>
                <w:tcPr>
                  <w:tcW w:w="588" w:type="dxa"/>
                  <w:vMerge w:val="continue"/>
                  <w:tcBorders>
                    <w:tl2br w:val="nil"/>
                    <w:tr2bl w:val="nil"/>
                  </w:tcBorders>
                  <w:vAlign w:val="center"/>
                </w:tcPr>
                <w:p>
                  <w:pPr>
                    <w:jc w:val="center"/>
                    <w:rPr>
                      <w:sz w:val="18"/>
                      <w:szCs w:val="18"/>
                      <w:highlight w:val="none"/>
                    </w:rPr>
                  </w:pPr>
                </w:p>
              </w:tc>
              <w:tc>
                <w:tcPr>
                  <w:tcW w:w="635" w:type="dxa"/>
                  <w:vMerge w:val="continue"/>
                  <w:tcBorders>
                    <w:tl2br w:val="nil"/>
                    <w:tr2bl w:val="nil"/>
                  </w:tcBorders>
                  <w:vAlign w:val="center"/>
                </w:tcPr>
                <w:p>
                  <w:pPr>
                    <w:jc w:val="center"/>
                    <w:rPr>
                      <w:sz w:val="18"/>
                      <w:szCs w:val="18"/>
                      <w:highlight w:val="none"/>
                    </w:rPr>
                  </w:pPr>
                </w:p>
              </w:tc>
              <w:tc>
                <w:tcPr>
                  <w:tcW w:w="500" w:type="dxa"/>
                  <w:vMerge w:val="continue"/>
                  <w:tcBorders>
                    <w:tl2br w:val="nil"/>
                    <w:tr2bl w:val="nil"/>
                  </w:tcBorders>
                  <w:vAlign w:val="center"/>
                </w:tcPr>
                <w:p>
                  <w:pPr>
                    <w:jc w:val="center"/>
                    <w:rPr>
                      <w:sz w:val="18"/>
                      <w:szCs w:val="18"/>
                      <w:highlight w:val="none"/>
                    </w:rPr>
                  </w:pPr>
                </w:p>
              </w:tc>
              <w:tc>
                <w:tcPr>
                  <w:tcW w:w="675"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98.43</w:t>
                  </w:r>
                </w:p>
              </w:tc>
              <w:tc>
                <w:tcPr>
                  <w:tcW w:w="438" w:type="dxa"/>
                  <w:vMerge w:val="continue"/>
                  <w:tcBorders>
                    <w:tl2br w:val="nil"/>
                    <w:tr2bl w:val="nil"/>
                  </w:tcBorders>
                  <w:vAlign w:val="center"/>
                </w:tcPr>
                <w:p>
                  <w:pPr>
                    <w:jc w:val="center"/>
                    <w:rPr>
                      <w:sz w:val="18"/>
                      <w:szCs w:val="18"/>
                      <w:highlight w:val="none"/>
                    </w:rPr>
                  </w:pPr>
                </w:p>
              </w:tc>
              <w:tc>
                <w:tcPr>
                  <w:tcW w:w="730" w:type="dxa"/>
                  <w:vMerge w:val="continue"/>
                  <w:tcBorders>
                    <w:tl2br w:val="nil"/>
                    <w:tr2bl w:val="nil"/>
                  </w:tcBorders>
                  <w:vAlign w:val="center"/>
                </w:tcPr>
                <w:p>
                  <w:pPr>
                    <w:jc w:val="center"/>
                    <w:rPr>
                      <w:sz w:val="18"/>
                      <w:szCs w:val="18"/>
                      <w:highlight w:val="none"/>
                    </w:rPr>
                  </w:pPr>
                </w:p>
              </w:tc>
              <w:tc>
                <w:tcPr>
                  <w:tcW w:w="632"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0.1</w:t>
                  </w:r>
                </w:p>
              </w:tc>
              <w:tc>
                <w:tcPr>
                  <w:tcW w:w="600" w:type="dxa"/>
                  <w:tcBorders>
                    <w:tl2br w:val="nil"/>
                    <w:tr2bl w:val="nil"/>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0.004</w:t>
                  </w:r>
                </w:p>
              </w:tc>
              <w:tc>
                <w:tcPr>
                  <w:tcW w:w="400" w:type="dxa"/>
                  <w:vMerge w:val="continue"/>
                  <w:tcBorders>
                    <w:tl2br w:val="nil"/>
                    <w:tr2bl w:val="nil"/>
                  </w:tcBorders>
                  <w:vAlign w:val="center"/>
                </w:tcPr>
                <w:p>
                  <w:pPr>
                    <w:jc w:val="center"/>
                    <w:rPr>
                      <w:sz w:val="18"/>
                      <w:szCs w:val="18"/>
                      <w:highlight w:val="none"/>
                    </w:rPr>
                  </w:pPr>
                </w:p>
              </w:tc>
              <w:tc>
                <w:tcPr>
                  <w:tcW w:w="650" w:type="dxa"/>
                  <w:vMerge w:val="continue"/>
                  <w:tcBorders>
                    <w:tl2br w:val="nil"/>
                    <w:tr2bl w:val="nil"/>
                  </w:tcBorders>
                  <w:vAlign w:val="center"/>
                </w:tcPr>
                <w:p>
                  <w:pPr>
                    <w:jc w:val="center"/>
                    <w:rPr>
                      <w:sz w:val="18"/>
                      <w:szCs w:val="18"/>
                      <w:highlight w:val="none"/>
                    </w:rPr>
                  </w:pPr>
                </w:p>
              </w:tc>
              <w:tc>
                <w:tcPr>
                  <w:tcW w:w="588" w:type="dxa"/>
                  <w:vMerge w:val="continue"/>
                  <w:tcBorders>
                    <w:tl2br w:val="nil"/>
                    <w:tr2bl w:val="nil"/>
                  </w:tcBorders>
                  <w:vAlign w:val="center"/>
                </w:tcPr>
                <w:p>
                  <w:pPr>
                    <w:jc w:val="center"/>
                    <w:rPr>
                      <w:sz w:val="18"/>
                      <w:szCs w:val="18"/>
                      <w:highlight w:val="none"/>
                    </w:rPr>
                  </w:pPr>
                </w:p>
              </w:tc>
              <w:tc>
                <w:tcPr>
                  <w:tcW w:w="653" w:type="dxa"/>
                  <w:vMerge w:val="continue"/>
                  <w:tcBorders>
                    <w:tl2br w:val="nil"/>
                    <w:tr2bl w:val="nil"/>
                  </w:tcBorders>
                  <w:vAlign w:val="center"/>
                </w:tcPr>
                <w:p>
                  <w:pPr>
                    <w:jc w:val="center"/>
                    <w:rPr>
                      <w:sz w:val="18"/>
                      <w:szCs w:val="18"/>
                      <w:highlight w:val="none"/>
                    </w:rPr>
                  </w:pPr>
                </w:p>
              </w:tc>
              <w:tc>
                <w:tcPr>
                  <w:tcW w:w="572" w:type="dxa"/>
                  <w:vMerge w:val="continue"/>
                  <w:tcBorders>
                    <w:tl2br w:val="nil"/>
                    <w:tr2bl w:val="nil"/>
                  </w:tcBorders>
                  <w:vAlign w:val="center"/>
                </w:tcPr>
                <w:p>
                  <w:pPr>
                    <w:jc w:val="center"/>
                    <w:rPr>
                      <w:sz w:val="18"/>
                      <w:szCs w:val="18"/>
                      <w:highlight w:val="none"/>
                    </w:rPr>
                  </w:pPr>
                </w:p>
              </w:tc>
              <w:tc>
                <w:tcPr>
                  <w:tcW w:w="1062" w:type="dxa"/>
                  <w:vMerge w:val="continue"/>
                  <w:tcBorders>
                    <w:tl2br w:val="nil"/>
                    <w:tr2bl w:val="nil"/>
                  </w:tcBorders>
                  <w:vAlign w:val="center"/>
                </w:tcPr>
                <w:p>
                  <w:pPr>
                    <w:jc w:val="center"/>
                    <w:rPr>
                      <w:sz w:val="18"/>
                      <w:szCs w:val="18"/>
                      <w:highlight w:val="none"/>
                    </w:rPr>
                  </w:pPr>
                </w:p>
              </w:tc>
              <w:tc>
                <w:tcPr>
                  <w:tcW w:w="707" w:type="dxa"/>
                  <w:tcBorders>
                    <w:tl2br w:val="nil"/>
                    <w:tr2bl w:val="nil"/>
                  </w:tcBorders>
                  <w:vAlign w:val="center"/>
                </w:tcPr>
                <w:p>
                  <w:pPr>
                    <w:jc w:val="center"/>
                    <w:rPr>
                      <w:sz w:val="18"/>
                      <w:szCs w:val="18"/>
                      <w:highlight w:val="none"/>
                    </w:rPr>
                  </w:pPr>
                  <w:r>
                    <w:rPr>
                      <w:rFonts w:hint="eastAsia"/>
                      <w:sz w:val="18"/>
                      <w:szCs w:val="18"/>
                      <w:highlight w:val="none"/>
                    </w:rPr>
                    <w:t>1</w:t>
                  </w:r>
                </w:p>
              </w:tc>
            </w:tr>
          </w:tbl>
          <w:p>
            <w:pPr>
              <w:spacing w:line="360" w:lineRule="auto"/>
              <w:rPr>
                <w:kern w:val="0"/>
                <w:sz w:val="24"/>
                <w:szCs w:val="20"/>
                <w:highlight w:val="none"/>
              </w:rPr>
            </w:pPr>
          </w:p>
        </w:tc>
      </w:tr>
    </w:tbl>
    <w:p>
      <w:pPr>
        <w:rPr>
          <w:highlight w:val="none"/>
        </w:rPr>
        <w:sectPr>
          <w:pgSz w:w="16840" w:h="11907" w:orient="landscape"/>
          <w:pgMar w:top="1531" w:right="1531" w:bottom="1531" w:left="1531" w:header="851" w:footer="851" w:gutter="0"/>
          <w:pgBorders>
            <w:top w:val="none" w:sz="0" w:space="0"/>
            <w:left w:val="none" w:sz="0" w:space="0"/>
            <w:bottom w:val="none" w:sz="0" w:space="0"/>
            <w:right w:val="none" w:sz="0" w:space="0"/>
          </w:pgBorders>
          <w:cols w:space="720" w:num="1"/>
          <w:docGrid w:linePitch="312" w:charSpace="0"/>
        </w:sectPr>
      </w:pPr>
    </w:p>
    <w:tbl>
      <w:tblPr>
        <w:tblStyle w:val="3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5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2" w:hRule="atLeast"/>
          <w:jc w:val="center"/>
        </w:trPr>
        <w:tc>
          <w:tcPr>
            <w:tcW w:w="403" w:type="dxa"/>
            <w:tcMar>
              <w:left w:w="28" w:type="dxa"/>
              <w:right w:w="28" w:type="dxa"/>
            </w:tcMar>
            <w:vAlign w:val="center"/>
          </w:tcPr>
          <w:p>
            <w:pPr>
              <w:widowControl/>
              <w:jc w:val="center"/>
              <w:rPr>
                <w:b/>
                <w:bCs/>
                <w:kern w:val="0"/>
                <w:sz w:val="24"/>
                <w:szCs w:val="20"/>
                <w:highlight w:val="none"/>
              </w:rPr>
            </w:pPr>
            <w:r>
              <w:rPr>
                <w:rFonts w:hint="eastAsia"/>
                <w:b/>
                <w:bCs/>
                <w:kern w:val="0"/>
                <w:sz w:val="24"/>
                <w:szCs w:val="20"/>
                <w:highlight w:val="none"/>
              </w:rPr>
              <w:t>运</w:t>
            </w:r>
          </w:p>
          <w:p>
            <w:pPr>
              <w:widowControl/>
              <w:jc w:val="center"/>
              <w:rPr>
                <w:b/>
                <w:bCs/>
                <w:kern w:val="0"/>
                <w:sz w:val="24"/>
                <w:szCs w:val="20"/>
                <w:highlight w:val="none"/>
              </w:rPr>
            </w:pPr>
            <w:r>
              <w:rPr>
                <w:rFonts w:hint="eastAsia"/>
                <w:b/>
                <w:bCs/>
                <w:kern w:val="0"/>
                <w:sz w:val="24"/>
                <w:szCs w:val="20"/>
                <w:highlight w:val="none"/>
              </w:rPr>
              <w:t>营</w:t>
            </w: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8578" w:type="dxa"/>
            <w:vAlign w:val="center"/>
          </w:tcPr>
          <w:p>
            <w:pPr>
              <w:spacing w:line="360" w:lineRule="auto"/>
              <w:ind w:firstLine="480" w:firstLineChars="200"/>
              <w:rPr>
                <w:sz w:val="24"/>
                <w:highlight w:val="none"/>
              </w:rPr>
            </w:pPr>
            <w:r>
              <w:rPr>
                <w:rFonts w:hint="eastAsia"/>
                <w:sz w:val="24"/>
                <w:highlight w:val="none"/>
              </w:rPr>
              <w:t>（2）废水污染物源强核算过程</w:t>
            </w:r>
          </w:p>
          <w:p>
            <w:pPr>
              <w:pStyle w:val="96"/>
              <w:ind w:firstLine="480"/>
              <w:rPr>
                <w:highlight w:val="none"/>
              </w:rPr>
            </w:pPr>
            <w:r>
              <w:rPr>
                <w:highlight w:val="none"/>
              </w:rPr>
              <w:t>项目</w:t>
            </w:r>
            <w:r>
              <w:rPr>
                <w:rFonts w:hint="eastAsia"/>
                <w:highlight w:val="none"/>
              </w:rPr>
              <w:t>废水</w:t>
            </w:r>
            <w:r>
              <w:rPr>
                <w:highlight w:val="none"/>
              </w:rPr>
              <w:t>主要为生活污水和生产废水。</w:t>
            </w:r>
          </w:p>
          <w:p>
            <w:pPr>
              <w:spacing w:line="360" w:lineRule="auto"/>
              <w:ind w:firstLine="480" w:firstLineChars="200"/>
              <w:rPr>
                <w:sz w:val="24"/>
                <w:highlight w:val="none"/>
              </w:rPr>
            </w:pPr>
            <w:r>
              <w:rPr>
                <w:rFonts w:hint="eastAsia"/>
                <w:sz w:val="24"/>
                <w:highlight w:val="none"/>
              </w:rPr>
              <w:t>1）生活污水</w:t>
            </w:r>
          </w:p>
          <w:p>
            <w:pPr>
              <w:pStyle w:val="96"/>
              <w:ind w:firstLine="480"/>
              <w:rPr>
                <w:highlight w:val="none"/>
              </w:rPr>
            </w:pPr>
            <w:r>
              <w:rPr>
                <w:rFonts w:hint="eastAsia"/>
                <w:highlight w:val="none"/>
              </w:rPr>
              <w:t>项目生活污水排放量为5.12</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highlight w:val="none"/>
              </w:rPr>
              <w:t>/d（1536</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highlight w:val="none"/>
              </w:rPr>
              <w:t>/a），生活污水中主要污染因子为COD、BOD</w:t>
            </w:r>
            <w:r>
              <w:rPr>
                <w:rFonts w:hint="eastAsia"/>
                <w:highlight w:val="none"/>
                <w:vertAlign w:val="subscript"/>
              </w:rPr>
              <w:t>5</w:t>
            </w:r>
            <w:r>
              <w:rPr>
                <w:rFonts w:hint="eastAsia"/>
                <w:highlight w:val="none"/>
              </w:rPr>
              <w:t>、SS、</w:t>
            </w:r>
            <w:r>
              <w:rPr>
                <w:rFonts w:hint="eastAsia"/>
                <w:spacing w:val="6"/>
                <w:kern w:val="2"/>
                <w:sz w:val="21"/>
                <w:szCs w:val="21"/>
                <w:highlight w:val="none"/>
              </w:rPr>
              <w:t>NH</w:t>
            </w:r>
            <w:r>
              <w:rPr>
                <w:rFonts w:hint="eastAsia"/>
                <w:spacing w:val="6"/>
                <w:kern w:val="2"/>
                <w:sz w:val="21"/>
                <w:szCs w:val="21"/>
                <w:highlight w:val="none"/>
                <w:vertAlign w:val="subscript"/>
              </w:rPr>
              <w:t>3</w:t>
            </w:r>
            <w:r>
              <w:rPr>
                <w:rFonts w:hint="eastAsia"/>
                <w:highlight w:val="none"/>
              </w:rPr>
              <w:t>-N、TP和动植物油，类比江西省一般生活污水水质，即COD的浓度为250mg/L，BOD</w:t>
            </w:r>
            <w:r>
              <w:rPr>
                <w:rFonts w:hint="eastAsia"/>
                <w:highlight w:val="none"/>
                <w:vertAlign w:val="subscript"/>
              </w:rPr>
              <w:t>5</w:t>
            </w:r>
            <w:r>
              <w:rPr>
                <w:rFonts w:hint="eastAsia"/>
                <w:highlight w:val="none"/>
              </w:rPr>
              <w:t>的浓度为150mg/L，SS的浓度为200mg/L，</w:t>
            </w:r>
            <w:r>
              <w:rPr>
                <w:rFonts w:hint="eastAsia"/>
                <w:spacing w:val="6"/>
                <w:kern w:val="2"/>
                <w:sz w:val="21"/>
                <w:szCs w:val="21"/>
                <w:highlight w:val="none"/>
              </w:rPr>
              <w:t>NH</w:t>
            </w:r>
            <w:r>
              <w:rPr>
                <w:rFonts w:hint="eastAsia"/>
                <w:spacing w:val="6"/>
                <w:kern w:val="2"/>
                <w:sz w:val="21"/>
                <w:szCs w:val="21"/>
                <w:highlight w:val="none"/>
                <w:vertAlign w:val="subscript"/>
              </w:rPr>
              <w:t>3</w:t>
            </w:r>
            <w:r>
              <w:rPr>
                <w:rFonts w:hint="eastAsia"/>
                <w:highlight w:val="none"/>
              </w:rPr>
              <w:t>-N的浓度为25mg/L、总氮30mg/L、TP浓度为2mg/L、动植物油浓度为20mg/L。</w:t>
            </w:r>
          </w:p>
          <w:p>
            <w:pPr>
              <w:pStyle w:val="96"/>
              <w:ind w:firstLine="480"/>
              <w:rPr>
                <w:kern w:val="2"/>
                <w:highlight w:val="none"/>
              </w:rPr>
            </w:pPr>
            <w:r>
              <w:rPr>
                <w:rFonts w:hint="eastAsia"/>
                <w:highlight w:val="none"/>
              </w:rPr>
              <w:t>生活污水经化粪池预处理后排入厂区自建污水处理站进一步处理达到</w:t>
            </w:r>
            <w:r>
              <w:rPr>
                <w:rFonts w:hint="default" w:ascii="Times New Roman" w:hAnsi="Times New Roman" w:eastAsia="宋体" w:cs="Times New Roman"/>
                <w:color w:val="0000FF"/>
                <w:highlight w:val="none"/>
              </w:rPr>
              <w:t>《城镇污水处理厂污染物排放标准》（GB18918-2002）表1中一级A标准，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rFonts w:hint="eastAsia"/>
                <w:highlight w:val="none"/>
              </w:rPr>
              <w:t>后，外排至企业租用的池塘后用于农田灌溉。</w:t>
            </w:r>
          </w:p>
          <w:p>
            <w:pPr>
              <w:spacing w:line="360" w:lineRule="auto"/>
              <w:ind w:firstLine="480" w:firstLineChars="200"/>
              <w:rPr>
                <w:sz w:val="24"/>
                <w:highlight w:val="none"/>
              </w:rPr>
            </w:pPr>
            <w:r>
              <w:rPr>
                <w:rFonts w:hint="eastAsia"/>
                <w:sz w:val="24"/>
                <w:highlight w:val="none"/>
              </w:rPr>
              <w:t>2）生产废水</w:t>
            </w:r>
          </w:p>
          <w:p>
            <w:pPr>
              <w:pStyle w:val="108"/>
              <w:ind w:firstLine="480"/>
              <w:rPr>
                <w:highlight w:val="none"/>
              </w:rPr>
            </w:pPr>
            <w:r>
              <w:rPr>
                <w:rFonts w:hint="eastAsia"/>
                <w:highlight w:val="none"/>
              </w:rPr>
              <w:t>①</w:t>
            </w:r>
            <w:r>
              <w:rPr>
                <w:highlight w:val="none"/>
              </w:rPr>
              <w:t>鸡蛋清洗废水</w:t>
            </w:r>
            <w:r>
              <w:rPr>
                <w:rFonts w:hint="eastAsia"/>
                <w:highlight w:val="none"/>
              </w:rPr>
              <w:t>、</w:t>
            </w:r>
            <w:r>
              <w:rPr>
                <w:highlight w:val="none"/>
              </w:rPr>
              <w:t>CIP 系统废水</w:t>
            </w:r>
          </w:p>
          <w:p>
            <w:pPr>
              <w:pStyle w:val="96"/>
              <w:ind w:firstLine="480"/>
              <w:rPr>
                <w:highlight w:val="none"/>
              </w:rPr>
            </w:pPr>
            <w:r>
              <w:rPr>
                <w:rFonts w:hint="eastAsia"/>
                <w:highlight w:val="none"/>
              </w:rPr>
              <w:t>根据前述给排水分析，</w:t>
            </w:r>
            <w:r>
              <w:rPr>
                <w:highlight w:val="none"/>
              </w:rPr>
              <w:t>鸡蛋清洗废水排放量为</w:t>
            </w:r>
            <w:r>
              <w:rPr>
                <w:rFonts w:hint="eastAsia"/>
                <w:highlight w:val="none"/>
              </w:rPr>
              <w:t>34.56</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rPr>
              <w:t>10368</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w:t>
            </w:r>
            <w:r>
              <w:rPr>
                <w:rFonts w:hint="eastAsia"/>
                <w:highlight w:val="none"/>
              </w:rPr>
              <w:t>、</w:t>
            </w:r>
            <w:r>
              <w:rPr>
                <w:highlight w:val="none"/>
              </w:rPr>
              <w:t>CIP 系统废水排放量为</w:t>
            </w:r>
            <w:r>
              <w:rPr>
                <w:rFonts w:hint="eastAsia"/>
                <w:highlight w:val="none"/>
                <w:lang w:val="en-US" w:eastAsia="zh-CN"/>
              </w:rPr>
              <w:t>98.19</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lang w:val="en-US" w:eastAsia="zh-CN"/>
              </w:rPr>
              <w:t>29457</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w:t>
            </w:r>
            <w:r>
              <w:rPr>
                <w:rFonts w:hint="eastAsia"/>
                <w:highlight w:val="none"/>
              </w:rPr>
              <w:t>，蛋液加工废水产生量合计为</w:t>
            </w:r>
            <w:r>
              <w:rPr>
                <w:rFonts w:hint="eastAsia"/>
                <w:highlight w:val="none"/>
                <w:lang w:val="en-US" w:eastAsia="zh-CN"/>
              </w:rPr>
              <w:t>132.75</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lang w:val="en-US" w:eastAsia="zh-CN"/>
              </w:rPr>
              <w:t>39825</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w:t>
            </w:r>
            <w:r>
              <w:rPr>
                <w:rFonts w:hint="eastAsia"/>
                <w:highlight w:val="none"/>
              </w:rPr>
              <w:t>。废水中主要污染因子为pH、COD</w:t>
            </w:r>
            <w:r>
              <w:rPr>
                <w:rFonts w:hint="eastAsia"/>
                <w:highlight w:val="none"/>
                <w:vertAlign w:val="subscript"/>
              </w:rPr>
              <w:t>Cr</w:t>
            </w:r>
            <w:r>
              <w:rPr>
                <w:rFonts w:hint="eastAsia"/>
                <w:highlight w:val="none"/>
              </w:rPr>
              <w:t>、BOD</w:t>
            </w:r>
            <w:r>
              <w:rPr>
                <w:rFonts w:hint="eastAsia"/>
                <w:highlight w:val="none"/>
                <w:vertAlign w:val="subscript"/>
              </w:rPr>
              <w:t>5</w:t>
            </w:r>
            <w:r>
              <w:rPr>
                <w:rFonts w:hint="eastAsia"/>
                <w:highlight w:val="none"/>
              </w:rPr>
              <w:t>、SS、氨氮、总氮、总磷、动植物油类。参考《Bardenpho+MBR+臭氧催化氧化工艺在液蛋加工废水中的应用》（工业水处理第43卷第11期），蛋液加工废水水质为：pH6-9、COD</w:t>
            </w:r>
            <w:r>
              <w:rPr>
                <w:rFonts w:hint="eastAsia"/>
                <w:highlight w:val="none"/>
                <w:vertAlign w:val="subscript"/>
              </w:rPr>
              <w:t>Cr</w:t>
            </w:r>
            <w:r>
              <w:rPr>
                <w:rFonts w:hint="eastAsia"/>
                <w:highlight w:val="none"/>
              </w:rPr>
              <w:t>1500mg/L、BOD</w:t>
            </w:r>
            <w:r>
              <w:rPr>
                <w:rFonts w:hint="eastAsia"/>
                <w:highlight w:val="none"/>
                <w:vertAlign w:val="subscript"/>
              </w:rPr>
              <w:t>5</w:t>
            </w:r>
            <w:r>
              <w:rPr>
                <w:rFonts w:hint="eastAsia"/>
                <w:highlight w:val="none"/>
              </w:rPr>
              <w:t>800mg/L、SS200mg/L、氨氮41</w:t>
            </w:r>
            <w:r>
              <w:rPr>
                <w:highlight w:val="none"/>
              </w:rPr>
              <w:t>mg/L</w:t>
            </w:r>
            <w:r>
              <w:rPr>
                <w:rFonts w:hint="eastAsia"/>
                <w:highlight w:val="none"/>
              </w:rPr>
              <w:t>、总氮69</w:t>
            </w:r>
            <w:r>
              <w:rPr>
                <w:highlight w:val="none"/>
              </w:rPr>
              <w:t>mg/L</w:t>
            </w:r>
            <w:r>
              <w:rPr>
                <w:rFonts w:hint="eastAsia"/>
                <w:highlight w:val="none"/>
              </w:rPr>
              <w:t>、总磷</w:t>
            </w:r>
            <w:r>
              <w:rPr>
                <w:highlight w:val="none"/>
              </w:rPr>
              <w:t>8mg/L</w:t>
            </w:r>
            <w:r>
              <w:rPr>
                <w:rFonts w:hint="eastAsia"/>
                <w:highlight w:val="none"/>
              </w:rPr>
              <w:t>、动植物油类5</w:t>
            </w:r>
            <w:r>
              <w:rPr>
                <w:highlight w:val="none"/>
              </w:rPr>
              <w:t>mg/L</w:t>
            </w:r>
            <w:r>
              <w:rPr>
                <w:rFonts w:hint="eastAsia"/>
                <w:highlight w:val="none"/>
              </w:rPr>
              <w:t>。</w:t>
            </w:r>
          </w:p>
          <w:p>
            <w:pPr>
              <w:pStyle w:val="108"/>
              <w:ind w:firstLine="480"/>
              <w:rPr>
                <w:highlight w:val="none"/>
              </w:rPr>
            </w:pPr>
            <w:r>
              <w:rPr>
                <w:rFonts w:hint="eastAsia"/>
                <w:highlight w:val="none"/>
              </w:rPr>
              <w:t>蛋液加工废水</w:t>
            </w:r>
            <w:r>
              <w:rPr>
                <w:highlight w:val="none"/>
              </w:rPr>
              <w:t>经</w:t>
            </w:r>
            <w:r>
              <w:rPr>
                <w:rFonts w:hint="eastAsia"/>
                <w:highlight w:val="none"/>
              </w:rPr>
              <w:t>厂区</w:t>
            </w:r>
            <w:r>
              <w:rPr>
                <w:highlight w:val="none"/>
              </w:rPr>
              <w:t>污水处理</w:t>
            </w:r>
            <w:r>
              <w:rPr>
                <w:rFonts w:hint="eastAsia"/>
                <w:highlight w:val="none"/>
              </w:rPr>
              <w:t>站</w:t>
            </w:r>
            <w:r>
              <w:rPr>
                <w:highlight w:val="none"/>
              </w:rPr>
              <w:t>处理达标后</w:t>
            </w:r>
            <w:r>
              <w:rPr>
                <w:rFonts w:hint="eastAsia"/>
                <w:highlight w:val="none"/>
              </w:rPr>
              <w:t>，部分回用于厂区绿化，其余外排至企业租用的池塘后用于农田灌溉。</w:t>
            </w:r>
          </w:p>
          <w:p>
            <w:pPr>
              <w:pStyle w:val="96"/>
              <w:ind w:firstLine="480"/>
              <w:rPr>
                <w:highlight w:val="none"/>
              </w:rPr>
            </w:pPr>
            <w:r>
              <w:rPr>
                <w:rFonts w:hint="eastAsia"/>
                <w:highlight w:val="none"/>
              </w:rPr>
              <w:t>②检验废水</w:t>
            </w:r>
          </w:p>
          <w:p>
            <w:pPr>
              <w:pStyle w:val="108"/>
              <w:ind w:firstLine="480"/>
              <w:rPr>
                <w:highlight w:val="none"/>
              </w:rPr>
            </w:pPr>
            <w:r>
              <w:rPr>
                <w:highlight w:val="none"/>
              </w:rPr>
              <w:t xml:space="preserve">检验清洗废水产生量约为 </w:t>
            </w:r>
            <w:r>
              <w:rPr>
                <w:rFonts w:hint="eastAsia"/>
                <w:highlight w:val="none"/>
              </w:rPr>
              <w:t>0.9</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rPr>
              <w:t>270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w:t>
            </w:r>
            <w:r>
              <w:rPr>
                <w:rFonts w:hint="eastAsia"/>
                <w:highlight w:val="none"/>
              </w:rPr>
              <w:t>，参考《实验室废水综合处理 技术研究》（硕士学位论文，秦承华），清洗废水水质为</w:t>
            </w:r>
            <w:r>
              <w:rPr>
                <w:highlight w:val="none"/>
              </w:rPr>
              <w:t>pH6~9</w:t>
            </w:r>
            <w:r>
              <w:rPr>
                <w:rFonts w:hint="eastAsia"/>
                <w:highlight w:val="none"/>
              </w:rPr>
              <w:t>、</w:t>
            </w:r>
            <w:r>
              <w:rPr>
                <w:highlight w:val="none"/>
              </w:rPr>
              <w:t>CODcr300mg/L</w:t>
            </w:r>
            <w:r>
              <w:rPr>
                <w:rFonts w:hint="eastAsia"/>
                <w:highlight w:val="none"/>
              </w:rPr>
              <w:t>、BOD</w:t>
            </w:r>
            <w:r>
              <w:rPr>
                <w:rFonts w:hint="eastAsia"/>
                <w:highlight w:val="none"/>
                <w:vertAlign w:val="subscript"/>
              </w:rPr>
              <w:t>5</w:t>
            </w:r>
            <w:r>
              <w:rPr>
                <w:highlight w:val="none"/>
              </w:rPr>
              <w:t>200mg/L</w:t>
            </w:r>
            <w:r>
              <w:rPr>
                <w:rFonts w:hint="eastAsia"/>
                <w:highlight w:val="none"/>
              </w:rPr>
              <w:t>、</w:t>
            </w:r>
            <w:r>
              <w:rPr>
                <w:highlight w:val="none"/>
              </w:rPr>
              <w:t>SS200mg/L。</w:t>
            </w:r>
            <w:r>
              <w:rPr>
                <w:rFonts w:hint="eastAsia"/>
                <w:highlight w:val="none"/>
              </w:rPr>
              <w:t>检验</w:t>
            </w:r>
            <w:r>
              <w:rPr>
                <w:highlight w:val="none"/>
              </w:rPr>
              <w:t>清洗废水经</w:t>
            </w:r>
            <w:r>
              <w:rPr>
                <w:rFonts w:hint="eastAsia"/>
                <w:highlight w:val="none"/>
              </w:rPr>
              <w:t>厂区</w:t>
            </w:r>
            <w:r>
              <w:rPr>
                <w:highlight w:val="none"/>
              </w:rPr>
              <w:t>污水处理</w:t>
            </w:r>
            <w:r>
              <w:rPr>
                <w:rFonts w:hint="eastAsia"/>
                <w:highlight w:val="none"/>
              </w:rPr>
              <w:t>站</w:t>
            </w:r>
            <w:r>
              <w:rPr>
                <w:highlight w:val="none"/>
              </w:rPr>
              <w:t>处理达标后</w:t>
            </w:r>
            <w:r>
              <w:rPr>
                <w:rFonts w:hint="eastAsia"/>
                <w:highlight w:val="none"/>
              </w:rPr>
              <w:t>，部分回用于厂区绿化，其余外排至企业租用的池塘后用于农田灌溉。</w:t>
            </w:r>
          </w:p>
          <w:p>
            <w:pPr>
              <w:pStyle w:val="96"/>
              <w:ind w:firstLine="480"/>
              <w:rPr>
                <w:highlight w:val="none"/>
              </w:rPr>
            </w:pPr>
            <w:r>
              <w:rPr>
                <w:rFonts w:hint="eastAsia"/>
                <w:highlight w:val="none"/>
              </w:rPr>
              <w:t>③蒸汽锅炉排水</w:t>
            </w:r>
          </w:p>
          <w:p>
            <w:pPr>
              <w:pStyle w:val="96"/>
              <w:ind w:firstLine="480"/>
              <w:rPr>
                <w:rFonts w:hint="eastAsia"/>
                <w:highlight w:val="none"/>
              </w:rPr>
            </w:pPr>
            <w:r>
              <w:rPr>
                <w:rFonts w:hint="eastAsia"/>
                <w:highlight w:val="none"/>
              </w:rPr>
              <w:t>蒸汽锅炉定期排污，排污水（含软化处理废水）产污系数为0.356t/t-原料，本项目锅炉生物质燃料用量为</w:t>
            </w:r>
            <w:r>
              <w:rPr>
                <w:rFonts w:hint="eastAsia"/>
                <w:highlight w:val="none"/>
                <w:lang w:val="en-US" w:eastAsia="zh-CN"/>
              </w:rPr>
              <w:t>1611</w:t>
            </w:r>
            <w:r>
              <w:rPr>
                <w:rFonts w:hint="eastAsia"/>
                <w:highlight w:val="none"/>
              </w:rPr>
              <w:t>t/a，则计算锅炉排污水量为</w:t>
            </w:r>
            <w:r>
              <w:rPr>
                <w:rFonts w:hint="eastAsia"/>
                <w:highlight w:val="none"/>
                <w:lang w:val="en-US" w:eastAsia="zh-CN"/>
              </w:rPr>
              <w:t>1.91</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highlight w:val="none"/>
              </w:rPr>
              <w:t>/d（</w:t>
            </w:r>
            <w:r>
              <w:rPr>
                <w:rFonts w:hint="eastAsia"/>
                <w:highlight w:val="none"/>
                <w:lang w:val="en-US" w:eastAsia="zh-CN"/>
              </w:rPr>
              <w:t>573</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highlight w:val="none"/>
              </w:rPr>
              <w:t>/a）。锅炉排污水水质约为COD</w:t>
            </w:r>
            <w:r>
              <w:rPr>
                <w:rFonts w:hint="eastAsia"/>
                <w:highlight w:val="none"/>
                <w:vertAlign w:val="subscript"/>
              </w:rPr>
              <w:t>Cr</w:t>
            </w:r>
            <w:r>
              <w:rPr>
                <w:rFonts w:hint="eastAsia"/>
                <w:highlight w:val="none"/>
              </w:rPr>
              <w:t>80mg/L、SS 60mg/L，该部分废水排入厂区</w:t>
            </w:r>
            <w:r>
              <w:rPr>
                <w:highlight w:val="none"/>
              </w:rPr>
              <w:t>污水处理</w:t>
            </w:r>
            <w:r>
              <w:rPr>
                <w:rFonts w:hint="eastAsia"/>
                <w:highlight w:val="none"/>
              </w:rPr>
              <w:t>站</w:t>
            </w:r>
            <w:r>
              <w:rPr>
                <w:highlight w:val="none"/>
              </w:rPr>
              <w:t>处理</w:t>
            </w:r>
            <w:r>
              <w:rPr>
                <w:rFonts w:hint="eastAsia"/>
                <w:highlight w:val="none"/>
              </w:rPr>
              <w:t>。</w:t>
            </w:r>
          </w:p>
          <w:p>
            <w:pPr>
              <w:pStyle w:val="108"/>
              <w:ind w:firstLine="480"/>
              <w:rPr>
                <w:highlight w:val="none"/>
              </w:rPr>
            </w:pPr>
            <w:r>
              <w:rPr>
                <w:rFonts w:hint="eastAsia"/>
                <w:highlight w:val="none"/>
                <w:lang w:val="en-US" w:eastAsia="zh-CN"/>
              </w:rPr>
              <w:t>④</w:t>
            </w:r>
            <w:r>
              <w:rPr>
                <w:highlight w:val="none"/>
              </w:rPr>
              <w:t>地面</w:t>
            </w:r>
            <w:r>
              <w:rPr>
                <w:rFonts w:hint="eastAsia"/>
                <w:highlight w:val="none"/>
              </w:rPr>
              <w:t>清</w:t>
            </w:r>
            <w:r>
              <w:rPr>
                <w:highlight w:val="none"/>
              </w:rPr>
              <w:t>洗废水</w:t>
            </w:r>
          </w:p>
          <w:p>
            <w:pPr>
              <w:pStyle w:val="108"/>
              <w:ind w:firstLine="480"/>
              <w:jc w:val="left"/>
              <w:rPr>
                <w:highlight w:val="none"/>
              </w:rPr>
            </w:pPr>
            <w:r>
              <w:rPr>
                <w:highlight w:val="none"/>
              </w:rPr>
              <w:t>地面</w:t>
            </w:r>
            <w:r>
              <w:rPr>
                <w:rFonts w:hint="eastAsia"/>
                <w:highlight w:val="none"/>
              </w:rPr>
              <w:t>清</w:t>
            </w:r>
            <w:r>
              <w:rPr>
                <w:highlight w:val="none"/>
              </w:rPr>
              <w:t>洗废水排放量约为</w:t>
            </w:r>
            <w:r>
              <w:rPr>
                <w:rFonts w:hint="eastAsia"/>
                <w:highlight w:val="none"/>
              </w:rPr>
              <w:t>2.4</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/d（</w:t>
            </w:r>
            <w:r>
              <w:rPr>
                <w:rFonts w:hint="eastAsia"/>
                <w:highlight w:val="none"/>
              </w:rPr>
              <w:t>720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highlight w:val="none"/>
              </w:rPr>
              <w:t>/a）</w:t>
            </w:r>
            <w:r>
              <w:rPr>
                <w:rFonts w:hint="eastAsia"/>
                <w:highlight w:val="none"/>
              </w:rPr>
              <w:t>，废水中主要污染因子为 pH、</w:t>
            </w:r>
          </w:p>
          <w:p>
            <w:pPr>
              <w:pStyle w:val="108"/>
              <w:ind w:firstLine="0" w:firstLineChars="0"/>
              <w:jc w:val="left"/>
              <w:rPr>
                <w:kern w:val="2"/>
                <w:highlight w:val="none"/>
              </w:rPr>
            </w:pPr>
            <w:r>
              <w:rPr>
                <w:rFonts w:hint="eastAsia"/>
                <w:highlight w:val="none"/>
              </w:rPr>
              <w:t>COD</w:t>
            </w:r>
            <w:r>
              <w:rPr>
                <w:rFonts w:hint="eastAsia"/>
                <w:highlight w:val="none"/>
                <w:vertAlign w:val="subscript"/>
              </w:rPr>
              <w:t>Cr</w:t>
            </w:r>
            <w:r>
              <w:rPr>
                <w:rFonts w:hint="eastAsia"/>
                <w:highlight w:val="none"/>
              </w:rPr>
              <w:t>、BOD</w:t>
            </w:r>
            <w:r>
              <w:rPr>
                <w:rFonts w:hint="eastAsia"/>
                <w:highlight w:val="none"/>
                <w:vertAlign w:val="subscript"/>
              </w:rPr>
              <w:t>5</w:t>
            </w:r>
            <w:r>
              <w:rPr>
                <w:rFonts w:hint="eastAsia"/>
                <w:highlight w:val="none"/>
              </w:rPr>
              <w:t>、SS、氨氮、总氮、总磷、动植物油类、石油类。参考</w:t>
            </w:r>
            <w:r>
              <w:rPr>
                <w:rFonts w:hint="eastAsia"/>
                <w:highlight w:val="none"/>
                <w:lang w:val="en-US" w:eastAsia="zh-CN"/>
              </w:rPr>
              <w:t>蛋液加工</w:t>
            </w:r>
            <w:r>
              <w:rPr>
                <w:rFonts w:hint="eastAsia"/>
                <w:highlight w:val="none"/>
              </w:rPr>
              <w:t>同类型企业，废水水质为 pH6-9、COD</w:t>
            </w:r>
            <w:r>
              <w:rPr>
                <w:rFonts w:hint="eastAsia"/>
                <w:highlight w:val="none"/>
                <w:vertAlign w:val="subscript"/>
              </w:rPr>
              <w:t>Cr</w:t>
            </w:r>
            <w:r>
              <w:rPr>
                <w:rFonts w:hint="eastAsia"/>
                <w:highlight w:val="none"/>
              </w:rPr>
              <w:t>300mg/L、BOD</w:t>
            </w:r>
            <w:r>
              <w:rPr>
                <w:rFonts w:hint="eastAsia"/>
                <w:highlight w:val="none"/>
                <w:vertAlign w:val="subscript"/>
              </w:rPr>
              <w:t>5</w:t>
            </w:r>
            <w:r>
              <w:rPr>
                <w:rFonts w:hint="eastAsia"/>
                <w:highlight w:val="none"/>
              </w:rPr>
              <w:t>200mg/L、SS300mg/L、氨氮25mg/L、总磷 3mg/L、总氮35mg/L、动植物油类5mg/L、石油类5mg/L</w:t>
            </w:r>
            <w:r>
              <w:rPr>
                <w:highlight w:val="none"/>
              </w:rPr>
              <w:t>。废水</w:t>
            </w:r>
            <w:r>
              <w:rPr>
                <w:rFonts w:hint="eastAsia"/>
                <w:highlight w:val="none"/>
              </w:rPr>
              <w:t>进入厂区</w:t>
            </w:r>
            <w:r>
              <w:rPr>
                <w:highlight w:val="none"/>
              </w:rPr>
              <w:t>污水处理设施处理</w:t>
            </w:r>
            <w:r>
              <w:rPr>
                <w:rFonts w:hint="eastAsia"/>
                <w:highlight w:val="none"/>
              </w:rPr>
              <w:t>。</w:t>
            </w:r>
          </w:p>
          <w:p>
            <w:pPr>
              <w:spacing w:line="360" w:lineRule="auto"/>
              <w:ind w:firstLine="480" w:firstLineChars="200"/>
              <w:jc w:val="left"/>
              <w:rPr>
                <w:sz w:val="24"/>
                <w:highlight w:val="none"/>
              </w:rPr>
            </w:pPr>
            <w:r>
              <w:rPr>
                <w:rFonts w:hint="eastAsia"/>
                <w:sz w:val="24"/>
                <w:highlight w:val="none"/>
              </w:rPr>
              <w:t>鸡蛋清洗废水、CIP系统废水、检验废水、地面清洗废水、锅炉排</w:t>
            </w:r>
            <w:r>
              <w:rPr>
                <w:rFonts w:hint="eastAsia"/>
                <w:sz w:val="24"/>
                <w:highlight w:val="none"/>
                <w:lang w:val="en-US" w:eastAsia="zh-CN"/>
              </w:rPr>
              <w:t>污</w:t>
            </w:r>
            <w:r>
              <w:rPr>
                <w:rFonts w:hint="eastAsia"/>
                <w:sz w:val="24"/>
                <w:highlight w:val="none"/>
              </w:rPr>
              <w:t>水等均分类收集，进入厂区自建污水处理站进行处理，生活污水经化粪池预处理后进入厂区污水处理站处理，污水处理站进口综合废水水质见表4-9。</w:t>
            </w:r>
          </w:p>
          <w:p>
            <w:pPr>
              <w:wordWrap w:val="0"/>
              <w:jc w:val="center"/>
              <w:rPr>
                <w:b/>
                <w:bCs/>
                <w:szCs w:val="21"/>
                <w:highlight w:val="none"/>
              </w:rPr>
            </w:pPr>
            <w:r>
              <w:rPr>
                <w:rFonts w:hint="eastAsia"/>
                <w:b/>
                <w:bCs/>
                <w:szCs w:val="21"/>
                <w:highlight w:val="none"/>
              </w:rPr>
              <w:t>表4-9 项目生产废水污染物产生情况  单位：mg/L（pH无量纲）</w:t>
            </w:r>
          </w:p>
          <w:tbl>
            <w:tblPr>
              <w:tblStyle w:val="3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831"/>
              <w:gridCol w:w="576"/>
              <w:gridCol w:w="739"/>
              <w:gridCol w:w="831"/>
              <w:gridCol w:w="738"/>
              <w:gridCol w:w="657"/>
              <w:gridCol w:w="554"/>
              <w:gridCol w:w="761"/>
              <w:gridCol w:w="657"/>
              <w:gridCol w:w="6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color w:val="0000FF"/>
                      <w:highlight w:val="none"/>
                    </w:rPr>
                    <w:t>排放源</w:t>
                  </w:r>
                </w:p>
              </w:tc>
              <w:tc>
                <w:tcPr>
                  <w:tcW w:w="496" w:type="pct"/>
                  <w:tcBorders>
                    <w:tl2br w:val="nil"/>
                    <w:tr2bl w:val="nil"/>
                  </w:tcBorders>
                  <w:vAlign w:val="center"/>
                </w:tcPr>
                <w:p>
                  <w:pPr>
                    <w:pStyle w:val="102"/>
                    <w:rPr>
                      <w:color w:val="0000FF"/>
                      <w:highlight w:val="none"/>
                    </w:rPr>
                  </w:pPr>
                  <w:r>
                    <w:rPr>
                      <w:rFonts w:hint="eastAsia"/>
                      <w:color w:val="0000FF"/>
                      <w:highlight w:val="none"/>
                    </w:rPr>
                    <w:t>产生量（</w:t>
                  </w:r>
                  <w:r>
                    <w:rPr>
                      <w:color w:val="0000FF"/>
                      <w:highlight w:val="none"/>
                    </w:rPr>
                    <w:t>t/</w:t>
                  </w:r>
                  <w:r>
                    <w:rPr>
                      <w:rFonts w:hint="eastAsia"/>
                      <w:color w:val="0000FF"/>
                      <w:highlight w:val="none"/>
                    </w:rPr>
                    <w:t>d）</w:t>
                  </w:r>
                </w:p>
              </w:tc>
              <w:tc>
                <w:tcPr>
                  <w:tcW w:w="344" w:type="pct"/>
                  <w:tcBorders>
                    <w:tl2br w:val="nil"/>
                    <w:tr2bl w:val="nil"/>
                  </w:tcBorders>
                  <w:vAlign w:val="center"/>
                </w:tcPr>
                <w:p>
                  <w:pPr>
                    <w:pStyle w:val="102"/>
                    <w:rPr>
                      <w:color w:val="0000FF"/>
                      <w:highlight w:val="none"/>
                    </w:rPr>
                  </w:pPr>
                  <w:r>
                    <w:rPr>
                      <w:rFonts w:hint="eastAsia"/>
                      <w:color w:val="0000FF"/>
                      <w:highlight w:val="none"/>
                    </w:rPr>
                    <w:t>pH</w:t>
                  </w:r>
                </w:p>
              </w:tc>
              <w:tc>
                <w:tcPr>
                  <w:tcW w:w="441" w:type="pct"/>
                  <w:tcBorders>
                    <w:tl2br w:val="nil"/>
                    <w:tr2bl w:val="nil"/>
                  </w:tcBorders>
                  <w:vAlign w:val="center"/>
                </w:tcPr>
                <w:p>
                  <w:pPr>
                    <w:pStyle w:val="102"/>
                    <w:rPr>
                      <w:color w:val="0000FF"/>
                      <w:highlight w:val="none"/>
                    </w:rPr>
                  </w:pPr>
                  <w:r>
                    <w:rPr>
                      <w:rFonts w:hint="eastAsia"/>
                      <w:color w:val="0000FF"/>
                      <w:highlight w:val="none"/>
                    </w:rPr>
                    <w:t>COD</w:t>
                  </w:r>
                </w:p>
              </w:tc>
              <w:tc>
                <w:tcPr>
                  <w:tcW w:w="496" w:type="pct"/>
                  <w:tcBorders>
                    <w:tl2br w:val="nil"/>
                    <w:tr2bl w:val="nil"/>
                  </w:tcBorders>
                  <w:vAlign w:val="center"/>
                </w:tcPr>
                <w:p>
                  <w:pPr>
                    <w:pStyle w:val="102"/>
                    <w:rPr>
                      <w:color w:val="0000FF"/>
                      <w:highlight w:val="none"/>
                    </w:rPr>
                  </w:pPr>
                  <w:r>
                    <w:rPr>
                      <w:rFonts w:hint="eastAsia"/>
                      <w:color w:val="0000FF"/>
                      <w:highlight w:val="none"/>
                    </w:rPr>
                    <w:t>BOD</w:t>
                  </w:r>
                  <w:r>
                    <w:rPr>
                      <w:rFonts w:hint="eastAsia"/>
                      <w:color w:val="0000FF"/>
                      <w:highlight w:val="none"/>
                      <w:vertAlign w:val="subscript"/>
                    </w:rPr>
                    <w:t>5</w:t>
                  </w:r>
                </w:p>
              </w:tc>
              <w:tc>
                <w:tcPr>
                  <w:tcW w:w="441" w:type="pct"/>
                  <w:tcBorders>
                    <w:tl2br w:val="nil"/>
                    <w:tr2bl w:val="nil"/>
                  </w:tcBorders>
                  <w:vAlign w:val="center"/>
                </w:tcPr>
                <w:p>
                  <w:pPr>
                    <w:pStyle w:val="102"/>
                    <w:rPr>
                      <w:color w:val="0000FF"/>
                      <w:highlight w:val="none"/>
                    </w:rPr>
                  </w:pPr>
                  <w:r>
                    <w:rPr>
                      <w:rFonts w:hint="eastAsia"/>
                      <w:color w:val="0000FF"/>
                      <w:highlight w:val="none"/>
                    </w:rPr>
                    <w:t>SS</w:t>
                  </w:r>
                </w:p>
              </w:tc>
              <w:tc>
                <w:tcPr>
                  <w:tcW w:w="392" w:type="pct"/>
                  <w:tcBorders>
                    <w:tl2br w:val="nil"/>
                    <w:tr2bl w:val="nil"/>
                  </w:tcBorders>
                  <w:vAlign w:val="center"/>
                </w:tcPr>
                <w:p>
                  <w:pPr>
                    <w:pStyle w:val="102"/>
                    <w:rPr>
                      <w:color w:val="0000FF"/>
                      <w:highlight w:val="none"/>
                    </w:rPr>
                  </w:pPr>
                  <w:r>
                    <w:rPr>
                      <w:rFonts w:hint="eastAsia"/>
                      <w:color w:val="0000FF"/>
                      <w:highlight w:val="none"/>
                    </w:rPr>
                    <w:t>氨氮</w:t>
                  </w:r>
                </w:p>
              </w:tc>
              <w:tc>
                <w:tcPr>
                  <w:tcW w:w="331" w:type="pct"/>
                  <w:tcBorders>
                    <w:tl2br w:val="nil"/>
                    <w:tr2bl w:val="nil"/>
                  </w:tcBorders>
                  <w:vAlign w:val="center"/>
                </w:tcPr>
                <w:p>
                  <w:pPr>
                    <w:pStyle w:val="102"/>
                    <w:rPr>
                      <w:color w:val="0000FF"/>
                      <w:highlight w:val="none"/>
                    </w:rPr>
                  </w:pPr>
                  <w:r>
                    <w:rPr>
                      <w:rFonts w:hint="eastAsia"/>
                      <w:color w:val="0000FF"/>
                      <w:highlight w:val="none"/>
                    </w:rPr>
                    <w:t>总磷</w:t>
                  </w:r>
                </w:p>
              </w:tc>
              <w:tc>
                <w:tcPr>
                  <w:tcW w:w="455" w:type="pct"/>
                  <w:tcBorders>
                    <w:tl2br w:val="nil"/>
                    <w:tr2bl w:val="nil"/>
                  </w:tcBorders>
                  <w:vAlign w:val="center"/>
                </w:tcPr>
                <w:p>
                  <w:pPr>
                    <w:pStyle w:val="102"/>
                    <w:rPr>
                      <w:color w:val="0000FF"/>
                      <w:highlight w:val="none"/>
                    </w:rPr>
                  </w:pPr>
                  <w:r>
                    <w:rPr>
                      <w:rFonts w:hint="eastAsia"/>
                      <w:color w:val="0000FF"/>
                      <w:highlight w:val="none"/>
                    </w:rPr>
                    <w:t>总氮</w:t>
                  </w:r>
                </w:p>
              </w:tc>
              <w:tc>
                <w:tcPr>
                  <w:tcW w:w="392" w:type="pct"/>
                  <w:tcBorders>
                    <w:tl2br w:val="nil"/>
                    <w:tr2bl w:val="nil"/>
                  </w:tcBorders>
                  <w:vAlign w:val="center"/>
                </w:tcPr>
                <w:p>
                  <w:pPr>
                    <w:pStyle w:val="102"/>
                    <w:rPr>
                      <w:color w:val="0000FF"/>
                      <w:highlight w:val="none"/>
                    </w:rPr>
                  </w:pPr>
                  <w:r>
                    <w:rPr>
                      <w:rFonts w:hint="eastAsia"/>
                      <w:color w:val="0000FF"/>
                      <w:highlight w:val="none"/>
                    </w:rPr>
                    <w:t>动植物油</w:t>
                  </w:r>
                </w:p>
              </w:tc>
              <w:tc>
                <w:tcPr>
                  <w:tcW w:w="395" w:type="pct"/>
                  <w:tcBorders>
                    <w:tl2br w:val="nil"/>
                    <w:tr2bl w:val="nil"/>
                  </w:tcBorders>
                  <w:vAlign w:val="center"/>
                </w:tcPr>
                <w:p>
                  <w:pPr>
                    <w:pStyle w:val="102"/>
                    <w:rPr>
                      <w:color w:val="0000FF"/>
                      <w:highlight w:val="none"/>
                    </w:rPr>
                  </w:pPr>
                  <w:r>
                    <w:rPr>
                      <w:rFonts w:hint="eastAsia"/>
                      <w:color w:val="0000FF"/>
                      <w:highlight w:val="none"/>
                    </w:rPr>
                    <w:t>石油类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rFonts w:hint="eastAsia"/>
                      <w:color w:val="0000FF"/>
                      <w:highlight w:val="none"/>
                    </w:rPr>
                    <w:t>蛋液加工废水（鸡蛋清洗废水、CIP清洗废水）</w:t>
                  </w:r>
                </w:p>
              </w:tc>
              <w:tc>
                <w:tcPr>
                  <w:tcW w:w="496" w:type="pct"/>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132.75</w:t>
                  </w:r>
                </w:p>
              </w:tc>
              <w:tc>
                <w:tcPr>
                  <w:tcW w:w="344" w:type="pct"/>
                  <w:tcBorders>
                    <w:tl2br w:val="nil"/>
                    <w:tr2bl w:val="nil"/>
                  </w:tcBorders>
                  <w:vAlign w:val="center"/>
                </w:tcPr>
                <w:p>
                  <w:pPr>
                    <w:pStyle w:val="102"/>
                    <w:rPr>
                      <w:color w:val="0000FF"/>
                      <w:highlight w:val="none"/>
                    </w:rPr>
                  </w:pPr>
                  <w:r>
                    <w:rPr>
                      <w:rFonts w:hint="eastAsia"/>
                      <w:color w:val="0000FF"/>
                      <w:highlight w:val="none"/>
                    </w:rPr>
                    <w:t>6~9</w:t>
                  </w:r>
                </w:p>
              </w:tc>
              <w:tc>
                <w:tcPr>
                  <w:tcW w:w="441" w:type="pct"/>
                  <w:tcBorders>
                    <w:tl2br w:val="nil"/>
                    <w:tr2bl w:val="nil"/>
                  </w:tcBorders>
                  <w:vAlign w:val="center"/>
                </w:tcPr>
                <w:p>
                  <w:pPr>
                    <w:pStyle w:val="102"/>
                    <w:rPr>
                      <w:color w:val="0000FF"/>
                      <w:highlight w:val="none"/>
                    </w:rPr>
                  </w:pPr>
                  <w:r>
                    <w:rPr>
                      <w:rFonts w:hint="eastAsia"/>
                      <w:color w:val="0000FF"/>
                      <w:highlight w:val="none"/>
                    </w:rPr>
                    <w:t>1500</w:t>
                  </w:r>
                </w:p>
              </w:tc>
              <w:tc>
                <w:tcPr>
                  <w:tcW w:w="496" w:type="pct"/>
                  <w:tcBorders>
                    <w:tl2br w:val="nil"/>
                    <w:tr2bl w:val="nil"/>
                  </w:tcBorders>
                  <w:vAlign w:val="center"/>
                </w:tcPr>
                <w:p>
                  <w:pPr>
                    <w:pStyle w:val="102"/>
                    <w:rPr>
                      <w:color w:val="0000FF"/>
                      <w:highlight w:val="none"/>
                    </w:rPr>
                  </w:pPr>
                  <w:r>
                    <w:rPr>
                      <w:rFonts w:hint="eastAsia"/>
                      <w:color w:val="0000FF"/>
                      <w:highlight w:val="none"/>
                    </w:rPr>
                    <w:t>800</w:t>
                  </w:r>
                </w:p>
              </w:tc>
              <w:tc>
                <w:tcPr>
                  <w:tcW w:w="441" w:type="pct"/>
                  <w:tcBorders>
                    <w:tl2br w:val="nil"/>
                    <w:tr2bl w:val="nil"/>
                  </w:tcBorders>
                  <w:vAlign w:val="center"/>
                </w:tcPr>
                <w:p>
                  <w:pPr>
                    <w:pStyle w:val="102"/>
                    <w:rPr>
                      <w:color w:val="0000FF"/>
                      <w:highlight w:val="none"/>
                    </w:rPr>
                  </w:pPr>
                  <w:r>
                    <w:rPr>
                      <w:rFonts w:hint="eastAsia"/>
                      <w:color w:val="0000FF"/>
                      <w:highlight w:val="none"/>
                    </w:rPr>
                    <w:t>200</w:t>
                  </w:r>
                </w:p>
              </w:tc>
              <w:tc>
                <w:tcPr>
                  <w:tcW w:w="392" w:type="pct"/>
                  <w:tcBorders>
                    <w:tl2br w:val="nil"/>
                    <w:tr2bl w:val="nil"/>
                  </w:tcBorders>
                  <w:vAlign w:val="center"/>
                </w:tcPr>
                <w:p>
                  <w:pPr>
                    <w:pStyle w:val="102"/>
                    <w:rPr>
                      <w:color w:val="0000FF"/>
                      <w:highlight w:val="none"/>
                    </w:rPr>
                  </w:pPr>
                  <w:r>
                    <w:rPr>
                      <w:rFonts w:hint="eastAsia"/>
                      <w:color w:val="0000FF"/>
                      <w:highlight w:val="none"/>
                    </w:rPr>
                    <w:t>41</w:t>
                  </w:r>
                </w:p>
              </w:tc>
              <w:tc>
                <w:tcPr>
                  <w:tcW w:w="331" w:type="pct"/>
                  <w:tcBorders>
                    <w:tl2br w:val="nil"/>
                    <w:tr2bl w:val="nil"/>
                  </w:tcBorders>
                  <w:vAlign w:val="center"/>
                </w:tcPr>
                <w:p>
                  <w:pPr>
                    <w:pStyle w:val="102"/>
                    <w:rPr>
                      <w:color w:val="0000FF"/>
                      <w:highlight w:val="none"/>
                    </w:rPr>
                  </w:pPr>
                  <w:r>
                    <w:rPr>
                      <w:rFonts w:hint="eastAsia"/>
                      <w:color w:val="0000FF"/>
                      <w:highlight w:val="none"/>
                    </w:rPr>
                    <w:t>8</w:t>
                  </w:r>
                </w:p>
              </w:tc>
              <w:tc>
                <w:tcPr>
                  <w:tcW w:w="455" w:type="pct"/>
                  <w:tcBorders>
                    <w:tl2br w:val="nil"/>
                    <w:tr2bl w:val="nil"/>
                  </w:tcBorders>
                  <w:vAlign w:val="center"/>
                </w:tcPr>
                <w:p>
                  <w:pPr>
                    <w:pStyle w:val="102"/>
                    <w:rPr>
                      <w:color w:val="0000FF"/>
                      <w:highlight w:val="none"/>
                    </w:rPr>
                  </w:pPr>
                  <w:r>
                    <w:rPr>
                      <w:rFonts w:hint="eastAsia"/>
                      <w:color w:val="0000FF"/>
                      <w:highlight w:val="none"/>
                    </w:rPr>
                    <w:t>69</w:t>
                  </w:r>
                </w:p>
              </w:tc>
              <w:tc>
                <w:tcPr>
                  <w:tcW w:w="392" w:type="pct"/>
                  <w:tcBorders>
                    <w:tl2br w:val="nil"/>
                    <w:tr2bl w:val="nil"/>
                  </w:tcBorders>
                  <w:vAlign w:val="center"/>
                </w:tcPr>
                <w:p>
                  <w:pPr>
                    <w:pStyle w:val="102"/>
                    <w:rPr>
                      <w:color w:val="0000FF"/>
                      <w:highlight w:val="none"/>
                    </w:rPr>
                  </w:pPr>
                  <w:r>
                    <w:rPr>
                      <w:rFonts w:hint="eastAsia"/>
                      <w:color w:val="0000FF"/>
                      <w:highlight w:val="none"/>
                    </w:rPr>
                    <w:t>5</w:t>
                  </w:r>
                </w:p>
              </w:tc>
              <w:tc>
                <w:tcPr>
                  <w:tcW w:w="395" w:type="pct"/>
                  <w:tcBorders>
                    <w:tl2br w:val="nil"/>
                    <w:tr2bl w:val="nil"/>
                  </w:tcBorders>
                  <w:vAlign w:val="center"/>
                </w:tcPr>
                <w:p>
                  <w:pPr>
                    <w:pStyle w:val="102"/>
                    <w:rPr>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rFonts w:hint="eastAsia"/>
                      <w:color w:val="0000FF"/>
                      <w:highlight w:val="none"/>
                    </w:rPr>
                    <w:t>检验废水</w:t>
                  </w:r>
                </w:p>
              </w:tc>
              <w:tc>
                <w:tcPr>
                  <w:tcW w:w="496" w:type="pct"/>
                  <w:tcBorders>
                    <w:tl2br w:val="nil"/>
                    <w:tr2bl w:val="nil"/>
                  </w:tcBorders>
                  <w:vAlign w:val="center"/>
                </w:tcPr>
                <w:p>
                  <w:pPr>
                    <w:pStyle w:val="102"/>
                    <w:rPr>
                      <w:color w:val="0000FF"/>
                      <w:highlight w:val="none"/>
                    </w:rPr>
                  </w:pPr>
                  <w:r>
                    <w:rPr>
                      <w:rFonts w:hint="eastAsia"/>
                      <w:color w:val="0000FF"/>
                      <w:highlight w:val="none"/>
                    </w:rPr>
                    <w:t>0.9</w:t>
                  </w:r>
                </w:p>
              </w:tc>
              <w:tc>
                <w:tcPr>
                  <w:tcW w:w="344" w:type="pct"/>
                  <w:tcBorders>
                    <w:tl2br w:val="nil"/>
                    <w:tr2bl w:val="nil"/>
                  </w:tcBorders>
                  <w:vAlign w:val="center"/>
                </w:tcPr>
                <w:p>
                  <w:pPr>
                    <w:pStyle w:val="102"/>
                    <w:rPr>
                      <w:color w:val="0000FF"/>
                      <w:highlight w:val="none"/>
                    </w:rPr>
                  </w:pPr>
                  <w:r>
                    <w:rPr>
                      <w:rFonts w:hint="eastAsia"/>
                      <w:color w:val="0000FF"/>
                      <w:highlight w:val="none"/>
                    </w:rPr>
                    <w:t>6~9</w:t>
                  </w:r>
                </w:p>
              </w:tc>
              <w:tc>
                <w:tcPr>
                  <w:tcW w:w="441" w:type="pct"/>
                  <w:tcBorders>
                    <w:tl2br w:val="nil"/>
                    <w:tr2bl w:val="nil"/>
                  </w:tcBorders>
                  <w:vAlign w:val="center"/>
                </w:tcPr>
                <w:p>
                  <w:pPr>
                    <w:pStyle w:val="102"/>
                    <w:rPr>
                      <w:color w:val="0000FF"/>
                      <w:highlight w:val="none"/>
                    </w:rPr>
                  </w:pPr>
                  <w:r>
                    <w:rPr>
                      <w:rFonts w:hint="eastAsia"/>
                      <w:color w:val="0000FF"/>
                      <w:highlight w:val="none"/>
                    </w:rPr>
                    <w:t>300</w:t>
                  </w:r>
                </w:p>
              </w:tc>
              <w:tc>
                <w:tcPr>
                  <w:tcW w:w="496" w:type="pct"/>
                  <w:tcBorders>
                    <w:tl2br w:val="nil"/>
                    <w:tr2bl w:val="nil"/>
                  </w:tcBorders>
                  <w:vAlign w:val="center"/>
                </w:tcPr>
                <w:p>
                  <w:pPr>
                    <w:pStyle w:val="102"/>
                    <w:rPr>
                      <w:color w:val="0000FF"/>
                      <w:highlight w:val="none"/>
                    </w:rPr>
                  </w:pPr>
                  <w:r>
                    <w:rPr>
                      <w:rFonts w:hint="eastAsia"/>
                      <w:color w:val="0000FF"/>
                      <w:highlight w:val="none"/>
                    </w:rPr>
                    <w:t>200</w:t>
                  </w:r>
                </w:p>
              </w:tc>
              <w:tc>
                <w:tcPr>
                  <w:tcW w:w="441" w:type="pct"/>
                  <w:tcBorders>
                    <w:tl2br w:val="nil"/>
                    <w:tr2bl w:val="nil"/>
                  </w:tcBorders>
                  <w:vAlign w:val="center"/>
                </w:tcPr>
                <w:p>
                  <w:pPr>
                    <w:pStyle w:val="102"/>
                    <w:rPr>
                      <w:color w:val="0000FF"/>
                      <w:highlight w:val="none"/>
                    </w:rPr>
                  </w:pPr>
                  <w:r>
                    <w:rPr>
                      <w:rFonts w:hint="eastAsia"/>
                      <w:color w:val="0000FF"/>
                      <w:highlight w:val="none"/>
                    </w:rPr>
                    <w:t>200</w:t>
                  </w:r>
                </w:p>
              </w:tc>
              <w:tc>
                <w:tcPr>
                  <w:tcW w:w="392" w:type="pct"/>
                  <w:tcBorders>
                    <w:tl2br w:val="nil"/>
                    <w:tr2bl w:val="nil"/>
                  </w:tcBorders>
                  <w:vAlign w:val="center"/>
                </w:tcPr>
                <w:p>
                  <w:pPr>
                    <w:pStyle w:val="102"/>
                    <w:rPr>
                      <w:color w:val="0000FF"/>
                      <w:highlight w:val="none"/>
                    </w:rPr>
                  </w:pPr>
                  <w:r>
                    <w:rPr>
                      <w:rFonts w:hint="eastAsia"/>
                      <w:color w:val="0000FF"/>
                      <w:highlight w:val="none"/>
                    </w:rPr>
                    <w:t>/</w:t>
                  </w:r>
                </w:p>
              </w:tc>
              <w:tc>
                <w:tcPr>
                  <w:tcW w:w="331" w:type="pct"/>
                  <w:tcBorders>
                    <w:tl2br w:val="nil"/>
                    <w:tr2bl w:val="nil"/>
                  </w:tcBorders>
                  <w:vAlign w:val="center"/>
                </w:tcPr>
                <w:p>
                  <w:pPr>
                    <w:pStyle w:val="102"/>
                    <w:rPr>
                      <w:color w:val="0000FF"/>
                      <w:highlight w:val="none"/>
                    </w:rPr>
                  </w:pPr>
                  <w:r>
                    <w:rPr>
                      <w:rFonts w:hint="eastAsia"/>
                      <w:color w:val="0000FF"/>
                      <w:highlight w:val="none"/>
                    </w:rPr>
                    <w:t>/</w:t>
                  </w:r>
                </w:p>
              </w:tc>
              <w:tc>
                <w:tcPr>
                  <w:tcW w:w="455" w:type="pct"/>
                  <w:tcBorders>
                    <w:tl2br w:val="nil"/>
                    <w:tr2bl w:val="nil"/>
                  </w:tcBorders>
                  <w:vAlign w:val="center"/>
                </w:tcPr>
                <w:p>
                  <w:pPr>
                    <w:pStyle w:val="102"/>
                    <w:rPr>
                      <w:color w:val="0000FF"/>
                      <w:highlight w:val="none"/>
                    </w:rPr>
                  </w:pPr>
                  <w:r>
                    <w:rPr>
                      <w:rFonts w:hint="eastAsia"/>
                      <w:color w:val="0000FF"/>
                      <w:highlight w:val="none"/>
                    </w:rPr>
                    <w:t>/</w:t>
                  </w:r>
                </w:p>
              </w:tc>
              <w:tc>
                <w:tcPr>
                  <w:tcW w:w="392" w:type="pct"/>
                  <w:tcBorders>
                    <w:tl2br w:val="nil"/>
                    <w:tr2bl w:val="nil"/>
                  </w:tcBorders>
                  <w:vAlign w:val="center"/>
                </w:tcPr>
                <w:p>
                  <w:pPr>
                    <w:pStyle w:val="102"/>
                    <w:rPr>
                      <w:color w:val="0000FF"/>
                      <w:highlight w:val="none"/>
                    </w:rPr>
                  </w:pPr>
                  <w:r>
                    <w:rPr>
                      <w:rFonts w:hint="eastAsia"/>
                      <w:color w:val="0000FF"/>
                      <w:highlight w:val="none"/>
                    </w:rPr>
                    <w:t>/</w:t>
                  </w:r>
                </w:p>
              </w:tc>
              <w:tc>
                <w:tcPr>
                  <w:tcW w:w="395" w:type="pct"/>
                  <w:tcBorders>
                    <w:tl2br w:val="nil"/>
                    <w:tr2bl w:val="nil"/>
                  </w:tcBorders>
                  <w:vAlign w:val="center"/>
                </w:tcPr>
                <w:p>
                  <w:pPr>
                    <w:pStyle w:val="102"/>
                    <w:rPr>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rFonts w:hint="eastAsia"/>
                      <w:color w:val="0000FF"/>
                      <w:highlight w:val="none"/>
                    </w:rPr>
                    <w:t>地面清洗废水</w:t>
                  </w:r>
                </w:p>
              </w:tc>
              <w:tc>
                <w:tcPr>
                  <w:tcW w:w="496" w:type="pct"/>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1.44</w:t>
                  </w:r>
                </w:p>
              </w:tc>
              <w:tc>
                <w:tcPr>
                  <w:tcW w:w="344" w:type="pct"/>
                  <w:tcBorders>
                    <w:tl2br w:val="nil"/>
                    <w:tr2bl w:val="nil"/>
                  </w:tcBorders>
                  <w:vAlign w:val="center"/>
                </w:tcPr>
                <w:p>
                  <w:pPr>
                    <w:pStyle w:val="102"/>
                    <w:rPr>
                      <w:color w:val="0000FF"/>
                      <w:highlight w:val="none"/>
                    </w:rPr>
                  </w:pPr>
                  <w:r>
                    <w:rPr>
                      <w:rFonts w:hint="eastAsia"/>
                      <w:color w:val="0000FF"/>
                      <w:highlight w:val="none"/>
                    </w:rPr>
                    <w:t>6~9</w:t>
                  </w:r>
                </w:p>
              </w:tc>
              <w:tc>
                <w:tcPr>
                  <w:tcW w:w="441" w:type="pct"/>
                  <w:tcBorders>
                    <w:tl2br w:val="nil"/>
                    <w:tr2bl w:val="nil"/>
                  </w:tcBorders>
                  <w:vAlign w:val="center"/>
                </w:tcPr>
                <w:p>
                  <w:pPr>
                    <w:pStyle w:val="102"/>
                    <w:rPr>
                      <w:color w:val="0000FF"/>
                      <w:highlight w:val="none"/>
                    </w:rPr>
                  </w:pPr>
                  <w:r>
                    <w:rPr>
                      <w:rFonts w:hint="eastAsia"/>
                      <w:color w:val="0000FF"/>
                      <w:highlight w:val="none"/>
                    </w:rPr>
                    <w:t>300</w:t>
                  </w:r>
                </w:p>
              </w:tc>
              <w:tc>
                <w:tcPr>
                  <w:tcW w:w="496" w:type="pct"/>
                  <w:tcBorders>
                    <w:tl2br w:val="nil"/>
                    <w:tr2bl w:val="nil"/>
                  </w:tcBorders>
                  <w:vAlign w:val="center"/>
                </w:tcPr>
                <w:p>
                  <w:pPr>
                    <w:pStyle w:val="102"/>
                    <w:rPr>
                      <w:color w:val="0000FF"/>
                      <w:highlight w:val="none"/>
                    </w:rPr>
                  </w:pPr>
                  <w:r>
                    <w:rPr>
                      <w:rFonts w:hint="eastAsia"/>
                      <w:color w:val="0000FF"/>
                      <w:highlight w:val="none"/>
                    </w:rPr>
                    <w:t>200</w:t>
                  </w:r>
                </w:p>
              </w:tc>
              <w:tc>
                <w:tcPr>
                  <w:tcW w:w="441" w:type="pct"/>
                  <w:tcBorders>
                    <w:tl2br w:val="nil"/>
                    <w:tr2bl w:val="nil"/>
                  </w:tcBorders>
                  <w:vAlign w:val="center"/>
                </w:tcPr>
                <w:p>
                  <w:pPr>
                    <w:pStyle w:val="102"/>
                    <w:rPr>
                      <w:color w:val="0000FF"/>
                      <w:highlight w:val="none"/>
                    </w:rPr>
                  </w:pPr>
                  <w:r>
                    <w:rPr>
                      <w:rFonts w:hint="eastAsia"/>
                      <w:color w:val="0000FF"/>
                      <w:highlight w:val="none"/>
                    </w:rPr>
                    <w:t>300</w:t>
                  </w:r>
                </w:p>
              </w:tc>
              <w:tc>
                <w:tcPr>
                  <w:tcW w:w="392" w:type="pct"/>
                  <w:tcBorders>
                    <w:tl2br w:val="nil"/>
                    <w:tr2bl w:val="nil"/>
                  </w:tcBorders>
                  <w:vAlign w:val="center"/>
                </w:tcPr>
                <w:p>
                  <w:pPr>
                    <w:pStyle w:val="102"/>
                    <w:rPr>
                      <w:color w:val="0000FF"/>
                      <w:highlight w:val="none"/>
                    </w:rPr>
                  </w:pPr>
                  <w:r>
                    <w:rPr>
                      <w:rFonts w:hint="eastAsia"/>
                      <w:color w:val="0000FF"/>
                      <w:highlight w:val="none"/>
                    </w:rPr>
                    <w:t>25</w:t>
                  </w:r>
                </w:p>
              </w:tc>
              <w:tc>
                <w:tcPr>
                  <w:tcW w:w="331" w:type="pct"/>
                  <w:tcBorders>
                    <w:tl2br w:val="nil"/>
                    <w:tr2bl w:val="nil"/>
                  </w:tcBorders>
                  <w:vAlign w:val="center"/>
                </w:tcPr>
                <w:p>
                  <w:pPr>
                    <w:pStyle w:val="102"/>
                    <w:rPr>
                      <w:color w:val="0000FF"/>
                      <w:highlight w:val="none"/>
                    </w:rPr>
                  </w:pPr>
                  <w:r>
                    <w:rPr>
                      <w:rFonts w:hint="eastAsia"/>
                      <w:color w:val="0000FF"/>
                      <w:highlight w:val="none"/>
                    </w:rPr>
                    <w:t>3</w:t>
                  </w:r>
                </w:p>
              </w:tc>
              <w:tc>
                <w:tcPr>
                  <w:tcW w:w="455" w:type="pct"/>
                  <w:tcBorders>
                    <w:tl2br w:val="nil"/>
                    <w:tr2bl w:val="nil"/>
                  </w:tcBorders>
                  <w:vAlign w:val="center"/>
                </w:tcPr>
                <w:p>
                  <w:pPr>
                    <w:pStyle w:val="102"/>
                    <w:rPr>
                      <w:color w:val="0000FF"/>
                      <w:highlight w:val="none"/>
                    </w:rPr>
                  </w:pPr>
                  <w:r>
                    <w:rPr>
                      <w:rFonts w:hint="eastAsia"/>
                      <w:color w:val="0000FF"/>
                      <w:highlight w:val="none"/>
                    </w:rPr>
                    <w:t>35</w:t>
                  </w:r>
                </w:p>
              </w:tc>
              <w:tc>
                <w:tcPr>
                  <w:tcW w:w="392" w:type="pct"/>
                  <w:tcBorders>
                    <w:tl2br w:val="nil"/>
                    <w:tr2bl w:val="nil"/>
                  </w:tcBorders>
                  <w:vAlign w:val="center"/>
                </w:tcPr>
                <w:p>
                  <w:pPr>
                    <w:pStyle w:val="102"/>
                    <w:rPr>
                      <w:color w:val="0000FF"/>
                      <w:highlight w:val="none"/>
                    </w:rPr>
                  </w:pPr>
                  <w:r>
                    <w:rPr>
                      <w:rFonts w:hint="eastAsia"/>
                      <w:color w:val="0000FF"/>
                      <w:highlight w:val="none"/>
                    </w:rPr>
                    <w:t>5</w:t>
                  </w:r>
                </w:p>
              </w:tc>
              <w:tc>
                <w:tcPr>
                  <w:tcW w:w="395" w:type="pct"/>
                  <w:tcBorders>
                    <w:tl2br w:val="nil"/>
                    <w:tr2bl w:val="nil"/>
                  </w:tcBorders>
                  <w:vAlign w:val="center"/>
                </w:tcPr>
                <w:p>
                  <w:pPr>
                    <w:pStyle w:val="102"/>
                    <w:rPr>
                      <w:color w:val="0000FF"/>
                      <w:highlight w:val="none"/>
                    </w:rPr>
                  </w:pPr>
                  <w:r>
                    <w:rPr>
                      <w:rFonts w:hint="eastAsia"/>
                      <w:color w:val="0000FF"/>
                      <w:highlight w:val="none"/>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rFonts w:hint="eastAsia"/>
                      <w:color w:val="0000FF"/>
                      <w:highlight w:val="none"/>
                    </w:rPr>
                    <w:t>锅炉排</w:t>
                  </w:r>
                  <w:r>
                    <w:rPr>
                      <w:rFonts w:hint="eastAsia"/>
                      <w:color w:val="0000FF"/>
                      <w:highlight w:val="none"/>
                      <w:lang w:val="en-US" w:eastAsia="zh-CN"/>
                    </w:rPr>
                    <w:t>污</w:t>
                  </w:r>
                  <w:r>
                    <w:rPr>
                      <w:rFonts w:hint="eastAsia"/>
                      <w:color w:val="0000FF"/>
                      <w:highlight w:val="none"/>
                    </w:rPr>
                    <w:t>水</w:t>
                  </w:r>
                </w:p>
              </w:tc>
              <w:tc>
                <w:tcPr>
                  <w:tcW w:w="496" w:type="pct"/>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1.91</w:t>
                  </w:r>
                </w:p>
              </w:tc>
              <w:tc>
                <w:tcPr>
                  <w:tcW w:w="344" w:type="pct"/>
                  <w:tcBorders>
                    <w:tl2br w:val="nil"/>
                    <w:tr2bl w:val="nil"/>
                  </w:tcBorders>
                  <w:vAlign w:val="center"/>
                </w:tcPr>
                <w:p>
                  <w:pPr>
                    <w:pStyle w:val="102"/>
                    <w:rPr>
                      <w:color w:val="0000FF"/>
                      <w:highlight w:val="none"/>
                    </w:rPr>
                  </w:pPr>
                  <w:r>
                    <w:rPr>
                      <w:rFonts w:hint="eastAsia"/>
                      <w:color w:val="0000FF"/>
                      <w:highlight w:val="none"/>
                    </w:rPr>
                    <w:t>6~9</w:t>
                  </w:r>
                </w:p>
              </w:tc>
              <w:tc>
                <w:tcPr>
                  <w:tcW w:w="441" w:type="pct"/>
                  <w:tcBorders>
                    <w:tl2br w:val="nil"/>
                    <w:tr2bl w:val="nil"/>
                  </w:tcBorders>
                  <w:vAlign w:val="center"/>
                </w:tcPr>
                <w:p>
                  <w:pPr>
                    <w:pStyle w:val="102"/>
                    <w:rPr>
                      <w:color w:val="0000FF"/>
                      <w:highlight w:val="none"/>
                    </w:rPr>
                  </w:pPr>
                  <w:r>
                    <w:rPr>
                      <w:rFonts w:hint="eastAsia"/>
                      <w:color w:val="0000FF"/>
                      <w:highlight w:val="none"/>
                    </w:rPr>
                    <w:t>80</w:t>
                  </w:r>
                </w:p>
              </w:tc>
              <w:tc>
                <w:tcPr>
                  <w:tcW w:w="496" w:type="pct"/>
                  <w:tcBorders>
                    <w:tl2br w:val="nil"/>
                    <w:tr2bl w:val="nil"/>
                  </w:tcBorders>
                  <w:vAlign w:val="center"/>
                </w:tcPr>
                <w:p>
                  <w:pPr>
                    <w:pStyle w:val="102"/>
                    <w:rPr>
                      <w:color w:val="0000FF"/>
                      <w:highlight w:val="none"/>
                    </w:rPr>
                  </w:pPr>
                  <w:r>
                    <w:rPr>
                      <w:rFonts w:hint="eastAsia"/>
                      <w:color w:val="0000FF"/>
                      <w:highlight w:val="none"/>
                    </w:rPr>
                    <w:t>/</w:t>
                  </w:r>
                </w:p>
              </w:tc>
              <w:tc>
                <w:tcPr>
                  <w:tcW w:w="441" w:type="pct"/>
                  <w:tcBorders>
                    <w:tl2br w:val="nil"/>
                    <w:tr2bl w:val="nil"/>
                  </w:tcBorders>
                  <w:vAlign w:val="center"/>
                </w:tcPr>
                <w:p>
                  <w:pPr>
                    <w:pStyle w:val="102"/>
                    <w:rPr>
                      <w:color w:val="0000FF"/>
                      <w:highlight w:val="none"/>
                    </w:rPr>
                  </w:pPr>
                  <w:r>
                    <w:rPr>
                      <w:rFonts w:hint="eastAsia"/>
                      <w:color w:val="0000FF"/>
                      <w:highlight w:val="none"/>
                    </w:rPr>
                    <w:t>60</w:t>
                  </w:r>
                </w:p>
              </w:tc>
              <w:tc>
                <w:tcPr>
                  <w:tcW w:w="392" w:type="pct"/>
                  <w:tcBorders>
                    <w:tl2br w:val="nil"/>
                    <w:tr2bl w:val="nil"/>
                  </w:tcBorders>
                  <w:vAlign w:val="center"/>
                </w:tcPr>
                <w:p>
                  <w:pPr>
                    <w:pStyle w:val="102"/>
                    <w:rPr>
                      <w:color w:val="0000FF"/>
                      <w:highlight w:val="none"/>
                    </w:rPr>
                  </w:pPr>
                  <w:r>
                    <w:rPr>
                      <w:rFonts w:hint="eastAsia"/>
                      <w:color w:val="0000FF"/>
                      <w:highlight w:val="none"/>
                    </w:rPr>
                    <w:t>/</w:t>
                  </w:r>
                </w:p>
              </w:tc>
              <w:tc>
                <w:tcPr>
                  <w:tcW w:w="331" w:type="pct"/>
                  <w:tcBorders>
                    <w:tl2br w:val="nil"/>
                    <w:tr2bl w:val="nil"/>
                  </w:tcBorders>
                  <w:vAlign w:val="center"/>
                </w:tcPr>
                <w:p>
                  <w:pPr>
                    <w:pStyle w:val="102"/>
                    <w:rPr>
                      <w:color w:val="0000FF"/>
                      <w:highlight w:val="none"/>
                    </w:rPr>
                  </w:pPr>
                  <w:r>
                    <w:rPr>
                      <w:rFonts w:hint="eastAsia"/>
                      <w:color w:val="0000FF"/>
                      <w:highlight w:val="none"/>
                    </w:rPr>
                    <w:t>/</w:t>
                  </w:r>
                </w:p>
              </w:tc>
              <w:tc>
                <w:tcPr>
                  <w:tcW w:w="455" w:type="pct"/>
                  <w:tcBorders>
                    <w:tl2br w:val="nil"/>
                    <w:tr2bl w:val="nil"/>
                  </w:tcBorders>
                  <w:vAlign w:val="center"/>
                </w:tcPr>
                <w:p>
                  <w:pPr>
                    <w:pStyle w:val="102"/>
                    <w:rPr>
                      <w:color w:val="0000FF"/>
                      <w:highlight w:val="none"/>
                    </w:rPr>
                  </w:pPr>
                  <w:r>
                    <w:rPr>
                      <w:rFonts w:hint="eastAsia"/>
                      <w:color w:val="0000FF"/>
                      <w:highlight w:val="none"/>
                    </w:rPr>
                    <w:t>/</w:t>
                  </w:r>
                </w:p>
              </w:tc>
              <w:tc>
                <w:tcPr>
                  <w:tcW w:w="392" w:type="pct"/>
                  <w:tcBorders>
                    <w:tl2br w:val="nil"/>
                    <w:tr2bl w:val="nil"/>
                  </w:tcBorders>
                  <w:vAlign w:val="center"/>
                </w:tcPr>
                <w:p>
                  <w:pPr>
                    <w:pStyle w:val="102"/>
                    <w:rPr>
                      <w:color w:val="0000FF"/>
                      <w:highlight w:val="none"/>
                    </w:rPr>
                  </w:pPr>
                  <w:r>
                    <w:rPr>
                      <w:rFonts w:hint="eastAsia"/>
                      <w:color w:val="0000FF"/>
                      <w:highlight w:val="none"/>
                    </w:rPr>
                    <w:t>/</w:t>
                  </w:r>
                </w:p>
              </w:tc>
              <w:tc>
                <w:tcPr>
                  <w:tcW w:w="395" w:type="pct"/>
                  <w:tcBorders>
                    <w:tl2br w:val="nil"/>
                    <w:tr2bl w:val="nil"/>
                  </w:tcBorders>
                  <w:vAlign w:val="center"/>
                </w:tcPr>
                <w:p>
                  <w:pPr>
                    <w:pStyle w:val="102"/>
                    <w:rPr>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rFonts w:hint="eastAsia"/>
                      <w:color w:val="0000FF"/>
                      <w:highlight w:val="none"/>
                    </w:rPr>
                    <w:t>生活污水</w:t>
                  </w:r>
                </w:p>
              </w:tc>
              <w:tc>
                <w:tcPr>
                  <w:tcW w:w="496" w:type="pct"/>
                  <w:tcBorders>
                    <w:tl2br w:val="nil"/>
                    <w:tr2bl w:val="nil"/>
                  </w:tcBorders>
                  <w:vAlign w:val="center"/>
                </w:tcPr>
                <w:p>
                  <w:pPr>
                    <w:pStyle w:val="102"/>
                    <w:rPr>
                      <w:color w:val="0000FF"/>
                      <w:highlight w:val="none"/>
                    </w:rPr>
                  </w:pPr>
                  <w:r>
                    <w:rPr>
                      <w:rFonts w:hint="eastAsia"/>
                      <w:color w:val="0000FF"/>
                      <w:highlight w:val="none"/>
                    </w:rPr>
                    <w:t>5.12</w:t>
                  </w:r>
                </w:p>
              </w:tc>
              <w:tc>
                <w:tcPr>
                  <w:tcW w:w="344" w:type="pct"/>
                  <w:tcBorders>
                    <w:tl2br w:val="nil"/>
                    <w:tr2bl w:val="nil"/>
                  </w:tcBorders>
                  <w:vAlign w:val="center"/>
                </w:tcPr>
                <w:p>
                  <w:pPr>
                    <w:pStyle w:val="102"/>
                    <w:rPr>
                      <w:color w:val="0000FF"/>
                      <w:highlight w:val="none"/>
                    </w:rPr>
                  </w:pPr>
                  <w:r>
                    <w:rPr>
                      <w:rFonts w:hint="eastAsia"/>
                      <w:color w:val="0000FF"/>
                      <w:highlight w:val="none"/>
                    </w:rPr>
                    <w:t>6~9</w:t>
                  </w:r>
                </w:p>
              </w:tc>
              <w:tc>
                <w:tcPr>
                  <w:tcW w:w="441" w:type="pct"/>
                  <w:tcBorders>
                    <w:tl2br w:val="nil"/>
                    <w:tr2bl w:val="nil"/>
                  </w:tcBorders>
                  <w:vAlign w:val="center"/>
                </w:tcPr>
                <w:p>
                  <w:pPr>
                    <w:pStyle w:val="102"/>
                    <w:rPr>
                      <w:color w:val="0000FF"/>
                      <w:highlight w:val="none"/>
                    </w:rPr>
                  </w:pPr>
                  <w:r>
                    <w:rPr>
                      <w:rFonts w:hint="eastAsia"/>
                      <w:color w:val="0000FF"/>
                      <w:highlight w:val="none"/>
                    </w:rPr>
                    <w:t>250</w:t>
                  </w:r>
                </w:p>
              </w:tc>
              <w:tc>
                <w:tcPr>
                  <w:tcW w:w="496" w:type="pct"/>
                  <w:tcBorders>
                    <w:tl2br w:val="nil"/>
                    <w:tr2bl w:val="nil"/>
                  </w:tcBorders>
                  <w:vAlign w:val="center"/>
                </w:tcPr>
                <w:p>
                  <w:pPr>
                    <w:pStyle w:val="102"/>
                    <w:rPr>
                      <w:color w:val="0000FF"/>
                      <w:highlight w:val="none"/>
                    </w:rPr>
                  </w:pPr>
                  <w:r>
                    <w:rPr>
                      <w:rFonts w:hint="eastAsia"/>
                      <w:color w:val="0000FF"/>
                      <w:highlight w:val="none"/>
                    </w:rPr>
                    <w:t>150</w:t>
                  </w:r>
                </w:p>
              </w:tc>
              <w:tc>
                <w:tcPr>
                  <w:tcW w:w="441" w:type="pct"/>
                  <w:tcBorders>
                    <w:tl2br w:val="nil"/>
                    <w:tr2bl w:val="nil"/>
                  </w:tcBorders>
                  <w:vAlign w:val="center"/>
                </w:tcPr>
                <w:p>
                  <w:pPr>
                    <w:pStyle w:val="102"/>
                    <w:rPr>
                      <w:color w:val="0000FF"/>
                      <w:highlight w:val="none"/>
                    </w:rPr>
                  </w:pPr>
                  <w:r>
                    <w:rPr>
                      <w:rFonts w:hint="eastAsia"/>
                      <w:color w:val="0000FF"/>
                      <w:highlight w:val="none"/>
                    </w:rPr>
                    <w:t>200</w:t>
                  </w:r>
                </w:p>
              </w:tc>
              <w:tc>
                <w:tcPr>
                  <w:tcW w:w="392" w:type="pct"/>
                  <w:tcBorders>
                    <w:tl2br w:val="nil"/>
                    <w:tr2bl w:val="nil"/>
                  </w:tcBorders>
                  <w:vAlign w:val="center"/>
                </w:tcPr>
                <w:p>
                  <w:pPr>
                    <w:pStyle w:val="102"/>
                    <w:rPr>
                      <w:color w:val="0000FF"/>
                      <w:highlight w:val="none"/>
                    </w:rPr>
                  </w:pPr>
                  <w:r>
                    <w:rPr>
                      <w:rFonts w:hint="eastAsia"/>
                      <w:color w:val="0000FF"/>
                      <w:highlight w:val="none"/>
                    </w:rPr>
                    <w:t>25</w:t>
                  </w:r>
                </w:p>
              </w:tc>
              <w:tc>
                <w:tcPr>
                  <w:tcW w:w="331" w:type="pct"/>
                  <w:tcBorders>
                    <w:tl2br w:val="nil"/>
                    <w:tr2bl w:val="nil"/>
                  </w:tcBorders>
                  <w:vAlign w:val="center"/>
                </w:tcPr>
                <w:p>
                  <w:pPr>
                    <w:pStyle w:val="102"/>
                    <w:rPr>
                      <w:color w:val="0000FF"/>
                      <w:highlight w:val="none"/>
                    </w:rPr>
                  </w:pPr>
                  <w:r>
                    <w:rPr>
                      <w:rFonts w:hint="eastAsia"/>
                      <w:color w:val="0000FF"/>
                      <w:highlight w:val="none"/>
                    </w:rPr>
                    <w:t>2</w:t>
                  </w:r>
                </w:p>
              </w:tc>
              <w:tc>
                <w:tcPr>
                  <w:tcW w:w="455" w:type="pct"/>
                  <w:tcBorders>
                    <w:tl2br w:val="nil"/>
                    <w:tr2bl w:val="nil"/>
                  </w:tcBorders>
                  <w:vAlign w:val="center"/>
                </w:tcPr>
                <w:p>
                  <w:pPr>
                    <w:pStyle w:val="102"/>
                    <w:rPr>
                      <w:color w:val="0000FF"/>
                      <w:highlight w:val="none"/>
                    </w:rPr>
                  </w:pPr>
                  <w:r>
                    <w:rPr>
                      <w:rFonts w:hint="eastAsia"/>
                      <w:color w:val="0000FF"/>
                      <w:highlight w:val="none"/>
                    </w:rPr>
                    <w:t>30</w:t>
                  </w:r>
                </w:p>
              </w:tc>
              <w:tc>
                <w:tcPr>
                  <w:tcW w:w="392" w:type="pct"/>
                  <w:tcBorders>
                    <w:tl2br w:val="nil"/>
                    <w:tr2bl w:val="nil"/>
                  </w:tcBorders>
                  <w:vAlign w:val="center"/>
                </w:tcPr>
                <w:p>
                  <w:pPr>
                    <w:pStyle w:val="102"/>
                    <w:rPr>
                      <w:color w:val="0000FF"/>
                      <w:highlight w:val="none"/>
                    </w:rPr>
                  </w:pPr>
                  <w:r>
                    <w:rPr>
                      <w:rFonts w:hint="eastAsia"/>
                      <w:color w:val="0000FF"/>
                      <w:highlight w:val="none"/>
                    </w:rPr>
                    <w:t>20</w:t>
                  </w:r>
                </w:p>
              </w:tc>
              <w:tc>
                <w:tcPr>
                  <w:tcW w:w="395" w:type="pct"/>
                  <w:tcBorders>
                    <w:tl2br w:val="nil"/>
                    <w:tr2bl w:val="nil"/>
                  </w:tcBorders>
                  <w:vAlign w:val="center"/>
                </w:tcPr>
                <w:p>
                  <w:pPr>
                    <w:pStyle w:val="102"/>
                    <w:rPr>
                      <w:color w:val="0000FF"/>
                      <w:highlight w:val="none"/>
                    </w:rPr>
                  </w:pPr>
                  <w:r>
                    <w:rPr>
                      <w:rFonts w:hint="eastAsia"/>
                      <w:color w:val="0000FF"/>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11" w:type="pct"/>
                  <w:tcBorders>
                    <w:tl2br w:val="nil"/>
                    <w:tr2bl w:val="nil"/>
                  </w:tcBorders>
                  <w:vAlign w:val="center"/>
                </w:tcPr>
                <w:p>
                  <w:pPr>
                    <w:pStyle w:val="102"/>
                    <w:rPr>
                      <w:color w:val="0000FF"/>
                      <w:highlight w:val="none"/>
                    </w:rPr>
                  </w:pPr>
                  <w:r>
                    <w:rPr>
                      <w:rFonts w:hint="eastAsia"/>
                      <w:color w:val="0000FF"/>
                      <w:highlight w:val="none"/>
                    </w:rPr>
                    <w:t>综合废水</w:t>
                  </w:r>
                </w:p>
              </w:tc>
              <w:tc>
                <w:tcPr>
                  <w:tcW w:w="496" w:type="pct"/>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142.12</w:t>
                  </w:r>
                </w:p>
              </w:tc>
              <w:tc>
                <w:tcPr>
                  <w:tcW w:w="344" w:type="pct"/>
                  <w:tcBorders>
                    <w:tl2br w:val="nil"/>
                    <w:tr2bl w:val="nil"/>
                  </w:tcBorders>
                  <w:vAlign w:val="center"/>
                </w:tcPr>
                <w:p>
                  <w:pPr>
                    <w:pStyle w:val="102"/>
                    <w:rPr>
                      <w:color w:val="0000FF"/>
                      <w:highlight w:val="none"/>
                    </w:rPr>
                  </w:pPr>
                  <w:r>
                    <w:rPr>
                      <w:rFonts w:hint="eastAsia"/>
                      <w:color w:val="0000FF"/>
                      <w:highlight w:val="none"/>
                    </w:rPr>
                    <w:t>6~9</w:t>
                  </w:r>
                </w:p>
              </w:tc>
              <w:tc>
                <w:tcPr>
                  <w:tcW w:w="441" w:type="pct"/>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1416.1</w:t>
                  </w:r>
                </w:p>
              </w:tc>
              <w:tc>
                <w:tcPr>
                  <w:tcW w:w="496" w:type="pct"/>
                  <w:tcBorders>
                    <w:tl2br w:val="nil"/>
                    <w:tr2bl w:val="nil"/>
                  </w:tcBorders>
                  <w:vAlign w:val="center"/>
                </w:tcPr>
                <w:p>
                  <w:pPr>
                    <w:pStyle w:val="102"/>
                    <w:rPr>
                      <w:rFonts w:hint="eastAsia" w:eastAsia="宋体"/>
                      <w:color w:val="0000FF"/>
                      <w:highlight w:val="none"/>
                      <w:lang w:eastAsia="zh-CN"/>
                    </w:rPr>
                  </w:pPr>
                  <w:r>
                    <w:rPr>
                      <w:rFonts w:hint="eastAsia"/>
                      <w:color w:val="0000FF"/>
                      <w:highlight w:val="none"/>
                    </w:rPr>
                    <w:t>75</w:t>
                  </w:r>
                  <w:r>
                    <w:rPr>
                      <w:rFonts w:hint="eastAsia"/>
                      <w:color w:val="0000FF"/>
                      <w:highlight w:val="none"/>
                      <w:lang w:val="en-US" w:eastAsia="zh-CN"/>
                    </w:rPr>
                    <w:t>6</w:t>
                  </w:r>
                </w:p>
              </w:tc>
              <w:tc>
                <w:tcPr>
                  <w:tcW w:w="441" w:type="pct"/>
                  <w:tcBorders>
                    <w:tl2br w:val="nil"/>
                    <w:tr2bl w:val="nil"/>
                  </w:tcBorders>
                  <w:vAlign w:val="center"/>
                </w:tcPr>
                <w:p>
                  <w:pPr>
                    <w:pStyle w:val="102"/>
                    <w:rPr>
                      <w:rFonts w:hint="default" w:eastAsia="宋体"/>
                      <w:color w:val="0000FF"/>
                      <w:highlight w:val="none"/>
                      <w:lang w:val="en-US" w:eastAsia="zh-CN"/>
                    </w:rPr>
                  </w:pPr>
                  <w:r>
                    <w:rPr>
                      <w:rFonts w:hint="eastAsia"/>
                      <w:color w:val="0000FF"/>
                      <w:highlight w:val="none"/>
                      <w:lang w:val="en-US" w:eastAsia="zh-CN"/>
                    </w:rPr>
                    <w:t>199.1</w:t>
                  </w:r>
                </w:p>
              </w:tc>
              <w:tc>
                <w:tcPr>
                  <w:tcW w:w="392" w:type="pct"/>
                  <w:tcBorders>
                    <w:tl2br w:val="nil"/>
                    <w:tr2bl w:val="nil"/>
                  </w:tcBorders>
                  <w:vAlign w:val="center"/>
                </w:tcPr>
                <w:p>
                  <w:pPr>
                    <w:pStyle w:val="102"/>
                    <w:rPr>
                      <w:color w:val="0000FF"/>
                      <w:highlight w:val="none"/>
                    </w:rPr>
                  </w:pPr>
                  <w:r>
                    <w:rPr>
                      <w:rFonts w:hint="eastAsia"/>
                      <w:color w:val="0000FF"/>
                      <w:highlight w:val="none"/>
                    </w:rPr>
                    <w:t>39.5</w:t>
                  </w:r>
                </w:p>
              </w:tc>
              <w:tc>
                <w:tcPr>
                  <w:tcW w:w="331" w:type="pct"/>
                  <w:tcBorders>
                    <w:tl2br w:val="nil"/>
                    <w:tr2bl w:val="nil"/>
                  </w:tcBorders>
                  <w:vAlign w:val="center"/>
                </w:tcPr>
                <w:p>
                  <w:pPr>
                    <w:pStyle w:val="102"/>
                    <w:rPr>
                      <w:color w:val="0000FF"/>
                      <w:highlight w:val="none"/>
                    </w:rPr>
                  </w:pPr>
                  <w:r>
                    <w:rPr>
                      <w:rFonts w:hint="eastAsia"/>
                      <w:color w:val="0000FF"/>
                      <w:highlight w:val="none"/>
                    </w:rPr>
                    <w:t>7.6</w:t>
                  </w:r>
                </w:p>
              </w:tc>
              <w:tc>
                <w:tcPr>
                  <w:tcW w:w="455" w:type="pct"/>
                  <w:tcBorders>
                    <w:tl2br w:val="nil"/>
                    <w:tr2bl w:val="nil"/>
                  </w:tcBorders>
                  <w:vAlign w:val="center"/>
                </w:tcPr>
                <w:p>
                  <w:pPr>
                    <w:pStyle w:val="102"/>
                    <w:rPr>
                      <w:color w:val="0000FF"/>
                      <w:highlight w:val="none"/>
                    </w:rPr>
                  </w:pPr>
                  <w:r>
                    <w:rPr>
                      <w:rFonts w:hint="eastAsia"/>
                      <w:color w:val="0000FF"/>
                      <w:highlight w:val="none"/>
                    </w:rPr>
                    <w:t>65.9</w:t>
                  </w:r>
                </w:p>
              </w:tc>
              <w:tc>
                <w:tcPr>
                  <w:tcW w:w="392" w:type="pct"/>
                  <w:tcBorders>
                    <w:tl2br w:val="nil"/>
                    <w:tr2bl w:val="nil"/>
                  </w:tcBorders>
                  <w:vAlign w:val="center"/>
                </w:tcPr>
                <w:p>
                  <w:pPr>
                    <w:pStyle w:val="102"/>
                    <w:rPr>
                      <w:rFonts w:hint="eastAsia" w:eastAsia="宋体"/>
                      <w:color w:val="0000FF"/>
                      <w:highlight w:val="none"/>
                      <w:lang w:eastAsia="zh-CN"/>
                    </w:rPr>
                  </w:pPr>
                  <w:r>
                    <w:rPr>
                      <w:rFonts w:hint="eastAsia"/>
                      <w:color w:val="0000FF"/>
                      <w:highlight w:val="none"/>
                    </w:rPr>
                    <w:t>5.</w:t>
                  </w:r>
                  <w:r>
                    <w:rPr>
                      <w:rFonts w:hint="eastAsia"/>
                      <w:color w:val="0000FF"/>
                      <w:highlight w:val="none"/>
                      <w:lang w:val="en-US" w:eastAsia="zh-CN"/>
                    </w:rPr>
                    <w:t>4</w:t>
                  </w:r>
                </w:p>
              </w:tc>
              <w:tc>
                <w:tcPr>
                  <w:tcW w:w="395" w:type="pct"/>
                  <w:tcBorders>
                    <w:tl2br w:val="nil"/>
                    <w:tr2bl w:val="nil"/>
                  </w:tcBorders>
                  <w:vAlign w:val="center"/>
                </w:tcPr>
                <w:p>
                  <w:pPr>
                    <w:pStyle w:val="102"/>
                    <w:rPr>
                      <w:color w:val="0000FF"/>
                      <w:highlight w:val="none"/>
                    </w:rPr>
                  </w:pPr>
                  <w:r>
                    <w:rPr>
                      <w:rFonts w:hint="eastAsia"/>
                      <w:color w:val="0000FF"/>
                      <w:highlight w:val="none"/>
                    </w:rPr>
                    <w:t>0.1</w:t>
                  </w:r>
                </w:p>
              </w:tc>
            </w:tr>
          </w:tbl>
          <w:p>
            <w:pPr>
              <w:numPr>
                <w:ilvl w:val="0"/>
                <w:numId w:val="7"/>
              </w:numPr>
              <w:spacing w:line="360" w:lineRule="auto"/>
              <w:ind w:firstLine="480" w:firstLineChars="200"/>
              <w:rPr>
                <w:sz w:val="24"/>
                <w:highlight w:val="none"/>
              </w:rPr>
            </w:pPr>
            <w:r>
              <w:rPr>
                <w:rFonts w:hint="eastAsia"/>
                <w:sz w:val="24"/>
                <w:highlight w:val="none"/>
              </w:rPr>
              <w:t>废水处理方案</w:t>
            </w:r>
          </w:p>
          <w:p>
            <w:pPr>
              <w:pStyle w:val="96"/>
              <w:ind w:firstLine="480"/>
              <w:rPr>
                <w:highlight w:val="none"/>
              </w:rPr>
            </w:pPr>
            <w:r>
              <w:rPr>
                <w:rFonts w:hint="eastAsia"/>
                <w:highlight w:val="none"/>
              </w:rPr>
              <w:t>本项目生产过程中产生的</w:t>
            </w:r>
            <w:r>
              <w:rPr>
                <w:highlight w:val="none"/>
              </w:rPr>
              <w:t>鸡蛋清洗废水、CIP系统废水、检验废水、地面清洗废水、锅炉排水</w:t>
            </w:r>
            <w:r>
              <w:rPr>
                <w:rFonts w:hint="eastAsia"/>
                <w:highlight w:val="none"/>
              </w:rPr>
              <w:t>与经化粪池预处理后的</w:t>
            </w:r>
            <w:r>
              <w:rPr>
                <w:highlight w:val="none"/>
              </w:rPr>
              <w:t>生活污水</w:t>
            </w:r>
            <w:r>
              <w:rPr>
                <w:rFonts w:hint="eastAsia"/>
                <w:highlight w:val="none"/>
              </w:rPr>
              <w:t>一起排入</w:t>
            </w:r>
            <w:r>
              <w:rPr>
                <w:highlight w:val="none"/>
              </w:rPr>
              <w:t>厂区污水处理站处理，达到</w:t>
            </w:r>
            <w:r>
              <w:rPr>
                <w:rFonts w:hint="default" w:ascii="Times New Roman" w:hAnsi="Times New Roman" w:eastAsia="宋体" w:cs="Times New Roman"/>
                <w:color w:val="0000FF"/>
                <w:highlight w:val="none"/>
              </w:rPr>
              <w:t>《城镇污水处理厂污染物排放标准》（GB18918-2002）表1中一级A标准，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highlight w:val="none"/>
              </w:rPr>
              <w:t>后，</w:t>
            </w:r>
            <w:r>
              <w:rPr>
                <w:rFonts w:hint="eastAsia"/>
                <w:highlight w:val="none"/>
              </w:rPr>
              <w:t>部分回用于厂区绿化，其余</w:t>
            </w:r>
            <w:r>
              <w:rPr>
                <w:highlight w:val="none"/>
              </w:rPr>
              <w:t>外排至</w:t>
            </w:r>
            <w:r>
              <w:rPr>
                <w:rFonts w:hint="eastAsia"/>
                <w:highlight w:val="none"/>
              </w:rPr>
              <w:t>企业租用的池塘后</w:t>
            </w:r>
            <w:r>
              <w:rPr>
                <w:highlight w:val="none"/>
              </w:rPr>
              <w:t>用于农田灌溉。</w:t>
            </w:r>
          </w:p>
          <w:p>
            <w:pPr>
              <w:pStyle w:val="96"/>
              <w:ind w:firstLine="480"/>
              <w:rPr>
                <w:highlight w:val="none"/>
              </w:rPr>
            </w:pPr>
            <w:r>
              <w:rPr>
                <w:highlight w:val="none"/>
              </w:rPr>
              <w:t>本项目污水处理站设计处理规模为</w:t>
            </w:r>
            <w:r>
              <w:rPr>
                <w:rFonts w:hint="eastAsia"/>
                <w:highlight w:val="none"/>
              </w:rPr>
              <w:t>2</w:t>
            </w:r>
            <w:r>
              <w:rPr>
                <w:highlight w:val="none"/>
              </w:rPr>
              <w:t>00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sz w:val="24"/>
                <w:szCs w:val="24"/>
                <w:highlight w:val="none"/>
              </w:rPr>
              <w:t>/d</w:t>
            </w:r>
            <w:r>
              <w:rPr>
                <w:highlight w:val="none"/>
              </w:rPr>
              <w:t>，</w:t>
            </w:r>
            <w:r>
              <w:rPr>
                <w:rFonts w:hint="eastAsia"/>
                <w:highlight w:val="none"/>
              </w:rPr>
              <w:t>项目废水排放量为</w:t>
            </w:r>
            <w:r>
              <w:rPr>
                <w:rFonts w:hint="eastAsia"/>
                <w:highlight w:val="none"/>
                <w:lang w:val="en-US" w:eastAsia="zh-CN"/>
              </w:rPr>
              <w:t>142.12</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sz w:val="24"/>
                <w:szCs w:val="24"/>
                <w:highlight w:val="none"/>
              </w:rPr>
              <w:t>/d</w:t>
            </w:r>
            <w:r>
              <w:rPr>
                <w:rFonts w:hint="eastAsia"/>
                <w:highlight w:val="none"/>
              </w:rPr>
              <w:t>，污水处理站设计处理能力可满足项目废水处理要求。污水处理站</w:t>
            </w:r>
            <w:r>
              <w:rPr>
                <w:rFonts w:hint="eastAsia"/>
                <w:highlight w:val="none"/>
                <w:lang w:val="en-US" w:eastAsia="zh-CN"/>
              </w:rPr>
              <w:t>采用的主体工艺</w:t>
            </w:r>
            <w:r>
              <w:rPr>
                <w:highlight w:val="none"/>
              </w:rPr>
              <w:t>为“</w:t>
            </w:r>
            <w:r>
              <w:rPr>
                <w:rFonts w:hint="eastAsia"/>
                <w:highlight w:val="none"/>
              </w:rPr>
              <w:t>兼氧FMBR+催化氧化处理</w:t>
            </w:r>
            <w:r>
              <w:rPr>
                <w:rFonts w:hint="eastAsia"/>
                <w:highlight w:val="none"/>
                <w:lang w:val="en-US" w:eastAsia="zh-CN"/>
              </w:rPr>
              <w:t>工艺</w:t>
            </w:r>
            <w:r>
              <w:rPr>
                <w:highlight w:val="none"/>
              </w:rPr>
              <w:t>”，</w:t>
            </w:r>
            <w:r>
              <w:rPr>
                <w:rFonts w:hint="eastAsia"/>
                <w:highlight w:val="none"/>
              </w:rPr>
              <w:t>污泥经脱水后定期外运处置。</w:t>
            </w:r>
            <w:r>
              <w:rPr>
                <w:highlight w:val="none"/>
              </w:rPr>
              <w:t>具体处理工艺流程见图4-1。</w:t>
            </w:r>
          </w:p>
          <w:p>
            <w:pPr>
              <w:spacing w:line="360" w:lineRule="auto"/>
              <w:jc w:val="center"/>
              <w:rPr>
                <w:sz w:val="24"/>
                <w:highlight w:val="none"/>
              </w:rPr>
            </w:pPr>
            <w:r>
              <w:rPr>
                <w:highlight w:val="none"/>
              </w:rPr>
              <w:drawing>
                <wp:inline distT="0" distB="0" distL="114300" distR="114300">
                  <wp:extent cx="3344545" cy="4515485"/>
                  <wp:effectExtent l="0" t="0" r="8255" b="889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23"/>
                          <a:stretch>
                            <a:fillRect/>
                          </a:stretch>
                        </pic:blipFill>
                        <pic:spPr>
                          <a:xfrm>
                            <a:off x="0" y="0"/>
                            <a:ext cx="3344545" cy="4515485"/>
                          </a:xfrm>
                          <a:prstGeom prst="rect">
                            <a:avLst/>
                          </a:prstGeom>
                          <a:noFill/>
                          <a:ln>
                            <a:noFill/>
                          </a:ln>
                        </pic:spPr>
                      </pic:pic>
                    </a:graphicData>
                  </a:graphic>
                </wp:inline>
              </w:drawing>
            </w:r>
          </w:p>
          <w:p>
            <w:pPr>
              <w:wordWrap w:val="0"/>
              <w:jc w:val="center"/>
              <w:rPr>
                <w:b/>
                <w:bCs/>
                <w:color w:val="0000FF"/>
                <w:szCs w:val="21"/>
                <w:highlight w:val="none"/>
              </w:rPr>
            </w:pPr>
            <w:r>
              <w:rPr>
                <w:rFonts w:hint="eastAsia"/>
                <w:b/>
                <w:bCs/>
                <w:color w:val="0000FF"/>
                <w:szCs w:val="21"/>
                <w:highlight w:val="none"/>
              </w:rPr>
              <w:t>图4-1 污水处理工艺流程图</w:t>
            </w:r>
          </w:p>
          <w:p>
            <w:pPr>
              <w:spacing w:line="360" w:lineRule="auto"/>
              <w:ind w:firstLine="480" w:firstLineChars="200"/>
              <w:rPr>
                <w:sz w:val="24"/>
                <w:highlight w:val="none"/>
              </w:rPr>
            </w:pPr>
            <w:r>
              <w:rPr>
                <w:rFonts w:hint="eastAsia"/>
                <w:sz w:val="24"/>
                <w:highlight w:val="none"/>
              </w:rPr>
              <w:t>污水处理工艺描述如下：</w:t>
            </w:r>
          </w:p>
          <w:p>
            <w:pPr>
              <w:pStyle w:val="96"/>
              <w:ind w:firstLine="480"/>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厂区生产废水及生活污水混合后形成的综合废水经</w:t>
            </w:r>
            <w:r>
              <w:rPr>
                <w:rFonts w:hint="default" w:ascii="Times New Roman" w:hAnsi="Times New Roman" w:eastAsia="宋体" w:cs="Times New Roman"/>
                <w:highlight w:val="none"/>
              </w:rPr>
              <w:t>排水系统收集进入</w:t>
            </w:r>
            <w:r>
              <w:rPr>
                <w:rFonts w:hint="eastAsia" w:ascii="Times New Roman" w:hAnsi="Times New Roman" w:eastAsia="宋体" w:cs="Times New Roman"/>
                <w:highlight w:val="none"/>
                <w:lang w:val="en-US" w:eastAsia="zh-CN"/>
              </w:rPr>
              <w:t>粗</w:t>
            </w:r>
            <w:r>
              <w:rPr>
                <w:rFonts w:hint="default" w:ascii="Times New Roman" w:hAnsi="Times New Roman" w:eastAsia="宋体" w:cs="Times New Roman"/>
                <w:highlight w:val="none"/>
              </w:rPr>
              <w:t>格栅池，</w:t>
            </w:r>
            <w:r>
              <w:rPr>
                <w:rFonts w:hint="default" w:ascii="Times New Roman" w:hAnsi="Times New Roman" w:eastAsia="宋体" w:cs="Times New Roman"/>
                <w:highlight w:val="none"/>
                <w:lang w:val="en-US" w:eastAsia="zh-CN"/>
              </w:rPr>
              <w:t>较</w:t>
            </w:r>
            <w:r>
              <w:rPr>
                <w:rFonts w:hint="default" w:ascii="Times New Roman" w:hAnsi="Times New Roman" w:eastAsia="宋体" w:cs="Times New Roman"/>
                <w:highlight w:val="none"/>
              </w:rPr>
              <w:t>大的颗粒物和悬浮物在此被拦截，随后进入</w:t>
            </w:r>
            <w:r>
              <w:rPr>
                <w:rFonts w:hint="eastAsia" w:ascii="Times New Roman" w:hAnsi="Times New Roman" w:eastAsia="宋体" w:cs="Times New Roman"/>
                <w:highlight w:val="none"/>
                <w:lang w:val="en-US" w:eastAsia="zh-CN"/>
              </w:rPr>
              <w:t>提升池，将</w:t>
            </w:r>
            <w:r>
              <w:rPr>
                <w:rFonts w:hint="default" w:ascii="Times New Roman" w:hAnsi="Times New Roman" w:eastAsia="宋体" w:cs="Times New Roman"/>
                <w:highlight w:val="none"/>
              </w:rPr>
              <w:t>污水提升至</w:t>
            </w:r>
            <w:r>
              <w:rPr>
                <w:rFonts w:hint="eastAsia" w:ascii="Times New Roman" w:hAnsi="Times New Roman" w:eastAsia="宋体" w:cs="Times New Roman"/>
                <w:highlight w:val="none"/>
                <w:lang w:val="en-US" w:eastAsia="zh-CN"/>
              </w:rPr>
              <w:t>一体化气浮隔油机</w:t>
            </w:r>
            <w:r>
              <w:rPr>
                <w:rFonts w:hint="default" w:ascii="Times New Roman" w:hAnsi="Times New Roman" w:eastAsia="宋体" w:cs="Times New Roman"/>
                <w:highlight w:val="none"/>
              </w:rPr>
              <w:t>，去除污水中粒径较小的分散油、乳化油等杂物后出水进入</w:t>
            </w:r>
            <w:r>
              <w:rPr>
                <w:rFonts w:hint="eastAsia" w:ascii="Times New Roman" w:hAnsi="Times New Roman" w:eastAsia="宋体" w:cs="Times New Roman"/>
                <w:highlight w:val="none"/>
                <w:lang w:val="en-US" w:eastAsia="zh-CN"/>
              </w:rPr>
              <w:t>细</w:t>
            </w:r>
            <w:r>
              <w:rPr>
                <w:rFonts w:hint="default" w:ascii="Times New Roman" w:hAnsi="Times New Roman" w:eastAsia="宋体" w:cs="Times New Roman"/>
                <w:highlight w:val="none"/>
              </w:rPr>
              <w:t>格栅池，在</w:t>
            </w:r>
            <w:r>
              <w:rPr>
                <w:rFonts w:hint="eastAsia" w:ascii="Times New Roman" w:hAnsi="Times New Roman" w:eastAsia="宋体" w:cs="Times New Roman"/>
                <w:highlight w:val="none"/>
                <w:lang w:val="en-US" w:eastAsia="zh-CN"/>
              </w:rPr>
              <w:t>细</w:t>
            </w:r>
            <w:r>
              <w:rPr>
                <w:rFonts w:hint="default" w:ascii="Times New Roman" w:hAnsi="Times New Roman" w:eastAsia="宋体" w:cs="Times New Roman"/>
                <w:highlight w:val="none"/>
              </w:rPr>
              <w:t>格栅池中进一步去除细小颗粒物和悬浮物，以便减轻对后续设备及管道的磨损，</w:t>
            </w:r>
            <w:r>
              <w:rPr>
                <w:rFonts w:hint="eastAsia" w:ascii="Times New Roman" w:hAnsi="Times New Roman" w:eastAsia="宋体" w:cs="Times New Roman"/>
                <w:highlight w:val="none"/>
                <w:lang w:val="en-US" w:eastAsia="zh-CN"/>
              </w:rPr>
              <w:t>细格栅池</w:t>
            </w:r>
            <w:r>
              <w:rPr>
                <w:rFonts w:hint="default" w:ascii="Times New Roman" w:hAnsi="Times New Roman" w:eastAsia="宋体" w:cs="Times New Roman"/>
                <w:highlight w:val="none"/>
              </w:rPr>
              <w:t>出水进入调节池，在调节池中均质均量后将污水提升至</w:t>
            </w:r>
            <w:r>
              <w:rPr>
                <w:rFonts w:hint="default" w:ascii="Times New Roman" w:hAnsi="Times New Roman" w:eastAsia="宋体" w:cs="Times New Roman"/>
                <w:highlight w:val="none"/>
                <w:lang w:val="en-US" w:eastAsia="zh-CN"/>
              </w:rPr>
              <w:t>兼氧FMBR池</w:t>
            </w:r>
            <w:r>
              <w:rPr>
                <w:rFonts w:hint="default" w:ascii="Times New Roman" w:hAnsi="Times New Roman" w:eastAsia="宋体" w:cs="Times New Roman"/>
                <w:highlight w:val="none"/>
              </w:rPr>
              <w:t>进一步进行生化处理。</w:t>
            </w:r>
          </w:p>
          <w:p>
            <w:pPr>
              <w:pStyle w:val="96"/>
              <w:ind w:firstLine="48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兼氧FMBR池</w:t>
            </w:r>
            <w:r>
              <w:rPr>
                <w:rFonts w:hint="default" w:ascii="Times New Roman" w:hAnsi="Times New Roman" w:eastAsia="宋体" w:cs="Times New Roman"/>
                <w:highlight w:val="none"/>
              </w:rPr>
              <w:t>内培养有大量兼性微生物菌群，污水中的有机物降解主要依靠兼性微生物菌群新陈代谢作用将大分子有机污染物逐步降解为小分子有机物，最终氧化分解为二氧化碳和水等稳定的无机物质。同时由于兼性微生物菌群的生成不需要溶解氧的保证，降低了动力消耗。系统曝气的主要作用是对膜丝进行冲刷、震荡，同时产生的溶解氧被用来氧化部分小分子有机物和维持出水的溶解氧值，保证</w:t>
            </w:r>
            <w:r>
              <w:rPr>
                <w:rFonts w:hint="default" w:ascii="Times New Roman" w:hAnsi="Times New Roman" w:eastAsia="宋体" w:cs="Times New Roman"/>
                <w:highlight w:val="none"/>
                <w:lang w:val="en-US" w:eastAsia="zh-CN"/>
              </w:rPr>
              <w:t>兼氧FMBR池</w:t>
            </w:r>
            <w:r>
              <w:rPr>
                <w:rFonts w:hint="default" w:ascii="Times New Roman" w:hAnsi="Times New Roman" w:eastAsia="宋体" w:cs="Times New Roman"/>
                <w:highlight w:val="none"/>
              </w:rPr>
              <w:t>微生物新陈代谢正常进行。</w:t>
            </w:r>
          </w:p>
          <w:p>
            <w:pPr>
              <w:pStyle w:val="96"/>
              <w:ind w:firstLine="48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兼氧FMBR池</w:t>
            </w:r>
            <w:r>
              <w:rPr>
                <w:rFonts w:hint="default" w:ascii="Times New Roman" w:hAnsi="Times New Roman" w:eastAsia="宋体" w:cs="Times New Roman"/>
                <w:highlight w:val="none"/>
              </w:rPr>
              <w:t>利用微生物“内部”的循环作用保持有机污泥排放少，处理后的污水通过膜的过滤作用可以完全做到“固液分离”，从而保证污水中的各类污染物通过膜的过滤作用得到进一步的去除，保证了出水水质。</w:t>
            </w:r>
          </w:p>
          <w:p>
            <w:pPr>
              <w:pStyle w:val="96"/>
              <w:ind w:firstLine="480"/>
              <w:rPr>
                <w:rFonts w:hint="default" w:ascii="Times New Roman" w:hAnsi="Times New Roman" w:eastAsia="宋体" w:cs="Times New Roman"/>
                <w:highlight w:val="none"/>
              </w:rPr>
            </w:pPr>
            <w:r>
              <w:rPr>
                <w:rFonts w:hint="default" w:ascii="Times New Roman" w:hAnsi="Times New Roman" w:eastAsia="宋体" w:cs="Times New Roman"/>
                <w:highlight w:val="none"/>
              </w:rPr>
              <w:t>兼氧</w:t>
            </w:r>
            <w:r>
              <w:rPr>
                <w:rFonts w:hint="default" w:ascii="Times New Roman" w:hAnsi="Times New Roman" w:eastAsia="宋体" w:cs="Times New Roman"/>
                <w:highlight w:val="none"/>
                <w:lang w:val="en-US" w:eastAsia="zh-CN"/>
              </w:rPr>
              <w:t>F</w:t>
            </w:r>
            <w:r>
              <w:rPr>
                <w:rFonts w:hint="default" w:ascii="Times New Roman" w:hAnsi="Times New Roman" w:eastAsia="宋体" w:cs="Times New Roman"/>
                <w:highlight w:val="none"/>
              </w:rPr>
              <w:t>MBR池</w:t>
            </w:r>
            <w:r>
              <w:rPr>
                <w:rFonts w:hint="eastAsia" w:ascii="Times New Roman" w:hAnsi="Times New Roman" w:eastAsia="宋体" w:cs="Times New Roman"/>
                <w:highlight w:val="none"/>
                <w:lang w:val="en-US" w:eastAsia="zh-CN"/>
              </w:rPr>
              <w:t>后设置臭氧催化氧化处理单元作为保障措施，兼氧FMBR</w:t>
            </w:r>
            <w:r>
              <w:rPr>
                <w:rFonts w:hint="default" w:ascii="Times New Roman" w:hAnsi="Times New Roman" w:eastAsia="宋体" w:cs="Times New Roman"/>
                <w:highlight w:val="none"/>
              </w:rPr>
              <w:t>系统出水一方面可直接进入</w:t>
            </w:r>
            <w:r>
              <w:rPr>
                <w:rFonts w:hint="eastAsia" w:ascii="Times New Roman" w:hAnsi="Times New Roman" w:eastAsia="宋体" w:cs="Times New Roman"/>
                <w:highlight w:val="none"/>
                <w:lang w:val="en-US" w:eastAsia="zh-CN"/>
              </w:rPr>
              <w:t>臭氧催化氧化处理单元</w:t>
            </w:r>
            <w:r>
              <w:rPr>
                <w:rFonts w:hint="default" w:ascii="Times New Roman" w:hAnsi="Times New Roman" w:eastAsia="宋体" w:cs="Times New Roman"/>
                <w:highlight w:val="none"/>
              </w:rPr>
              <w:t>，通过投加</w:t>
            </w:r>
            <w:r>
              <w:rPr>
                <w:rFonts w:hint="eastAsia" w:ascii="Times New Roman" w:hAnsi="Times New Roman" w:eastAsia="宋体" w:cs="Times New Roman"/>
                <w:highlight w:val="none"/>
                <w:lang w:val="en-US" w:eastAsia="zh-CN"/>
              </w:rPr>
              <w:t>臭氧、催化剂</w:t>
            </w:r>
            <w:r>
              <w:rPr>
                <w:rFonts w:hint="default" w:ascii="Times New Roman" w:hAnsi="Times New Roman" w:eastAsia="宋体" w:cs="Times New Roman"/>
                <w:highlight w:val="none"/>
              </w:rPr>
              <w:t>等，去除难降解污染物质，出水进入消毒回用水池</w:t>
            </w:r>
            <w:r>
              <w:rPr>
                <w:rFonts w:hint="eastAsia" w:cs="Times New Roman"/>
                <w:highlight w:val="none"/>
                <w:lang w:eastAsia="zh-CN"/>
              </w:rPr>
              <w:t>；另</w:t>
            </w:r>
            <w:r>
              <w:rPr>
                <w:rFonts w:hint="default" w:ascii="Times New Roman" w:hAnsi="Times New Roman" w:eastAsia="宋体" w:cs="Times New Roman"/>
                <w:highlight w:val="none"/>
              </w:rPr>
              <w:t>一方面当兼氧</w:t>
            </w:r>
            <w:r>
              <w:rPr>
                <w:rFonts w:hint="eastAsia" w:ascii="Times New Roman" w:hAnsi="Times New Roman" w:eastAsia="宋体" w:cs="Times New Roman"/>
                <w:highlight w:val="none"/>
                <w:lang w:val="en-US" w:eastAsia="zh-CN"/>
              </w:rPr>
              <w:t>F</w:t>
            </w:r>
            <w:r>
              <w:rPr>
                <w:rFonts w:hint="default" w:ascii="Times New Roman" w:hAnsi="Times New Roman" w:eastAsia="宋体" w:cs="Times New Roman"/>
                <w:highlight w:val="none"/>
              </w:rPr>
              <w:t>MBR池出水水质满足排放要求时，可超越</w:t>
            </w:r>
            <w:r>
              <w:rPr>
                <w:rFonts w:hint="eastAsia" w:ascii="Times New Roman" w:hAnsi="Times New Roman" w:eastAsia="宋体" w:cs="Times New Roman"/>
                <w:highlight w:val="none"/>
                <w:lang w:val="en-US" w:eastAsia="zh-CN"/>
              </w:rPr>
              <w:t>臭氧催化氧化处理单元</w:t>
            </w:r>
            <w:r>
              <w:rPr>
                <w:rFonts w:hint="default" w:ascii="Times New Roman" w:hAnsi="Times New Roman" w:eastAsia="宋体" w:cs="Times New Roman"/>
                <w:highlight w:val="none"/>
              </w:rPr>
              <w:t>，出水直接进入消毒回用水池。</w:t>
            </w:r>
          </w:p>
          <w:p>
            <w:pPr>
              <w:pStyle w:val="96"/>
              <w:ind w:firstLine="480"/>
              <w:rPr>
                <w:rFonts w:hint="default" w:ascii="Times New Roman" w:hAnsi="Times New Roman" w:eastAsia="宋体" w:cs="Times New Roman"/>
                <w:highlight w:val="none"/>
              </w:rPr>
            </w:pPr>
            <w:r>
              <w:rPr>
                <w:rFonts w:hint="default" w:ascii="Times New Roman" w:hAnsi="Times New Roman" w:eastAsia="宋体" w:cs="Times New Roman"/>
                <w:highlight w:val="none"/>
              </w:rPr>
              <w:t>消毒回用水池出水可中水回用，无需回用的可直接排放。</w:t>
            </w:r>
          </w:p>
          <w:p>
            <w:pPr>
              <w:pStyle w:val="96"/>
              <w:ind w:firstLine="480"/>
              <w:rPr>
                <w:highlight w:val="none"/>
              </w:rPr>
            </w:pPr>
            <w:r>
              <w:rPr>
                <w:rFonts w:hint="default" w:ascii="Times New Roman" w:hAnsi="Times New Roman" w:eastAsia="宋体" w:cs="Times New Roman"/>
                <w:highlight w:val="none"/>
                <w:lang w:val="en-US" w:eastAsia="zh-CN"/>
              </w:rPr>
              <w:t>兼氧FMBR池</w:t>
            </w:r>
            <w:r>
              <w:rPr>
                <w:rFonts w:hint="eastAsia"/>
                <w:highlight w:val="none"/>
              </w:rPr>
              <w:t>污泥定时排入污泥池，使用污泥脱水机将污泥进行脱水，污泥上清液回流排入调节池再处理，剩余污泥定期脱水外运。</w:t>
            </w:r>
          </w:p>
          <w:p>
            <w:pPr>
              <w:pStyle w:val="96"/>
              <w:ind w:firstLine="48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w:t>
            </w:r>
            <w:r>
              <w:rPr>
                <w:rFonts w:hint="default" w:ascii="Times New Roman" w:hAnsi="Times New Roman" w:eastAsia="宋体" w:cs="Times New Roman"/>
                <w:highlight w:val="none"/>
                <w:lang w:val="en-US" w:eastAsia="zh-CN"/>
              </w:rPr>
              <w:t>主处理采用兼氧FMBR工艺，组合模块化设计，可根据实际来水开启设备</w:t>
            </w:r>
            <w:r>
              <w:rPr>
                <w:rFonts w:hint="eastAsia" w:ascii="Times New Roman" w:hAnsi="Times New Roman" w:eastAsia="宋体" w:cs="Times New Roman"/>
                <w:highlight w:val="none"/>
                <w:lang w:val="en-US" w:eastAsia="zh-CN"/>
              </w:rPr>
              <w:t>，各处理单元全部加盖密封，污水处理设备产生的恶臭气体影响较小，不会对周边环境造成明显不良影响。</w:t>
            </w:r>
          </w:p>
          <w:p>
            <w:pPr>
              <w:jc w:val="center"/>
              <w:rPr>
                <w:b/>
                <w:bCs/>
                <w:szCs w:val="21"/>
                <w:highlight w:val="none"/>
              </w:rPr>
            </w:pPr>
            <w:r>
              <w:rPr>
                <w:b/>
                <w:bCs/>
                <w:szCs w:val="21"/>
                <w:highlight w:val="none"/>
              </w:rPr>
              <w:t>表</w:t>
            </w:r>
            <w:r>
              <w:rPr>
                <w:rFonts w:hint="eastAsia"/>
                <w:b/>
                <w:bCs/>
                <w:szCs w:val="21"/>
                <w:highlight w:val="none"/>
              </w:rPr>
              <w:t xml:space="preserve">4-10 </w:t>
            </w:r>
            <w:r>
              <w:rPr>
                <w:b/>
                <w:bCs/>
                <w:szCs w:val="21"/>
                <w:highlight w:val="none"/>
              </w:rPr>
              <w:t xml:space="preserve">  污水处理单元处理能力估算表   单位：mg/L</w:t>
            </w:r>
          </w:p>
          <w:tbl>
            <w:tblPr>
              <w:tblStyle w:val="39"/>
              <w:tblW w:w="836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Layout w:type="fixed"/>
              <w:tblCellMar>
                <w:top w:w="0" w:type="dxa"/>
                <w:left w:w="108" w:type="dxa"/>
                <w:bottom w:w="0" w:type="dxa"/>
                <w:right w:w="108" w:type="dxa"/>
              </w:tblCellMar>
            </w:tblPr>
            <w:tblGrid>
              <w:gridCol w:w="1091"/>
              <w:gridCol w:w="1579"/>
              <w:gridCol w:w="862"/>
              <w:gridCol w:w="861"/>
              <w:gridCol w:w="775"/>
              <w:gridCol w:w="876"/>
              <w:gridCol w:w="718"/>
              <w:gridCol w:w="789"/>
              <w:gridCol w:w="812"/>
            </w:tblGrid>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567" w:hRule="atLeast"/>
                <w:jc w:val="center"/>
              </w:trPr>
              <w:tc>
                <w:tcPr>
                  <w:tcW w:w="2670" w:type="dxa"/>
                  <w:gridSpan w:val="2"/>
                  <w:tcBorders>
                    <w:tl2br w:val="nil"/>
                    <w:tr2bl w:val="nil"/>
                  </w:tcBorders>
                  <w:vAlign w:val="center"/>
                </w:tcPr>
                <w:p>
                  <w:pPr>
                    <w:jc w:val="center"/>
                    <w:rPr>
                      <w:b/>
                      <w:color w:val="0000FF"/>
                      <w:szCs w:val="21"/>
                      <w:highlight w:val="none"/>
                    </w:rPr>
                  </w:pPr>
                  <w:r>
                    <w:rPr>
                      <w:b/>
                      <w:color w:val="0000FF"/>
                      <w:kern w:val="0"/>
                      <w:szCs w:val="21"/>
                      <w:highlight w:val="none"/>
                    </w:rPr>
                    <w:t>项目指标</w:t>
                  </w:r>
                </w:p>
              </w:tc>
              <w:tc>
                <w:tcPr>
                  <w:tcW w:w="862" w:type="dxa"/>
                  <w:tcBorders>
                    <w:tl2br w:val="nil"/>
                    <w:tr2bl w:val="nil"/>
                  </w:tcBorders>
                  <w:vAlign w:val="center"/>
                </w:tcPr>
                <w:p>
                  <w:pPr>
                    <w:widowControl/>
                    <w:ind w:left="-42" w:leftChars="-20" w:right="-42" w:rightChars="-20"/>
                    <w:jc w:val="center"/>
                    <w:textAlignment w:val="center"/>
                    <w:rPr>
                      <w:color w:val="0000FF"/>
                      <w:szCs w:val="21"/>
                      <w:highlight w:val="none"/>
                    </w:rPr>
                  </w:pPr>
                  <w:r>
                    <w:rPr>
                      <w:rFonts w:hint="eastAsia"/>
                      <w:color w:val="0000FF"/>
                      <w:highlight w:val="none"/>
                    </w:rPr>
                    <w:t>COD</w:t>
                  </w:r>
                  <w:r>
                    <w:rPr>
                      <w:rFonts w:hint="eastAsia"/>
                      <w:color w:val="0000FF"/>
                      <w:highlight w:val="none"/>
                      <w:vertAlign w:val="subscript"/>
                    </w:rPr>
                    <w:t>Cr</w:t>
                  </w:r>
                </w:p>
              </w:tc>
              <w:tc>
                <w:tcPr>
                  <w:tcW w:w="861" w:type="dxa"/>
                  <w:tcBorders>
                    <w:tl2br w:val="nil"/>
                    <w:tr2bl w:val="nil"/>
                  </w:tcBorders>
                  <w:vAlign w:val="center"/>
                </w:tcPr>
                <w:p>
                  <w:pPr>
                    <w:widowControl/>
                    <w:ind w:left="-42" w:leftChars="-20" w:right="-42" w:rightChars="-20"/>
                    <w:jc w:val="center"/>
                    <w:textAlignment w:val="center"/>
                    <w:rPr>
                      <w:color w:val="0000FF"/>
                      <w:szCs w:val="21"/>
                      <w:highlight w:val="none"/>
                    </w:rPr>
                  </w:pPr>
                  <w:r>
                    <w:rPr>
                      <w:rFonts w:hint="eastAsia"/>
                      <w:color w:val="0000FF"/>
                      <w:highlight w:val="none"/>
                    </w:rPr>
                    <w:t>BOD</w:t>
                  </w:r>
                  <w:r>
                    <w:rPr>
                      <w:rFonts w:hint="eastAsia"/>
                      <w:color w:val="0000FF"/>
                      <w:highlight w:val="none"/>
                      <w:vertAlign w:val="subscript"/>
                    </w:rPr>
                    <w:t>5</w:t>
                  </w:r>
                </w:p>
              </w:tc>
              <w:tc>
                <w:tcPr>
                  <w:tcW w:w="775" w:type="dxa"/>
                  <w:tcBorders>
                    <w:tl2br w:val="nil"/>
                    <w:tr2bl w:val="nil"/>
                  </w:tcBorders>
                  <w:vAlign w:val="center"/>
                </w:tcPr>
                <w:p>
                  <w:pPr>
                    <w:widowControl/>
                    <w:ind w:left="-42" w:leftChars="-20" w:right="-42" w:rightChars="-20"/>
                    <w:jc w:val="center"/>
                    <w:textAlignment w:val="center"/>
                    <w:rPr>
                      <w:color w:val="0000FF"/>
                      <w:szCs w:val="21"/>
                      <w:highlight w:val="none"/>
                    </w:rPr>
                  </w:pPr>
                  <w:r>
                    <w:rPr>
                      <w:color w:val="0000FF"/>
                      <w:kern w:val="0"/>
                      <w:szCs w:val="21"/>
                      <w:highlight w:val="none"/>
                      <w:lang w:bidi="ar"/>
                    </w:rPr>
                    <w:t>SS</w:t>
                  </w:r>
                </w:p>
              </w:tc>
              <w:tc>
                <w:tcPr>
                  <w:tcW w:w="876" w:type="dxa"/>
                  <w:tcBorders>
                    <w:tl2br w:val="nil"/>
                    <w:tr2bl w:val="nil"/>
                  </w:tcBorders>
                  <w:vAlign w:val="center"/>
                </w:tcPr>
                <w:p>
                  <w:pPr>
                    <w:widowControl/>
                    <w:ind w:left="-42" w:leftChars="-20" w:right="-42" w:rightChars="-20"/>
                    <w:jc w:val="center"/>
                    <w:textAlignment w:val="center"/>
                    <w:rPr>
                      <w:color w:val="0000FF"/>
                      <w:szCs w:val="21"/>
                      <w:highlight w:val="none"/>
                    </w:rPr>
                  </w:pPr>
                  <w:r>
                    <w:rPr>
                      <w:rFonts w:hint="eastAsia"/>
                      <w:color w:val="0000FF"/>
                      <w:spacing w:val="6"/>
                      <w:szCs w:val="21"/>
                      <w:highlight w:val="none"/>
                    </w:rPr>
                    <w:t>NH</w:t>
                  </w:r>
                  <w:r>
                    <w:rPr>
                      <w:rFonts w:hint="eastAsia"/>
                      <w:color w:val="0000FF"/>
                      <w:spacing w:val="6"/>
                      <w:szCs w:val="21"/>
                      <w:highlight w:val="none"/>
                      <w:vertAlign w:val="subscript"/>
                    </w:rPr>
                    <w:t>3</w:t>
                  </w:r>
                  <w:r>
                    <w:rPr>
                      <w:color w:val="0000FF"/>
                      <w:kern w:val="0"/>
                      <w:szCs w:val="21"/>
                      <w:highlight w:val="none"/>
                      <w:lang w:bidi="ar"/>
                    </w:rPr>
                    <w:t>-N</w:t>
                  </w:r>
                </w:p>
              </w:tc>
              <w:tc>
                <w:tcPr>
                  <w:tcW w:w="718" w:type="dxa"/>
                  <w:tcBorders>
                    <w:tl2br w:val="nil"/>
                    <w:tr2bl w:val="nil"/>
                  </w:tcBorders>
                  <w:vAlign w:val="center"/>
                </w:tcPr>
                <w:p>
                  <w:pPr>
                    <w:widowControl/>
                    <w:ind w:left="-42" w:leftChars="-20" w:right="-42" w:rightChars="-20"/>
                    <w:jc w:val="center"/>
                    <w:textAlignment w:val="center"/>
                    <w:rPr>
                      <w:color w:val="0000FF"/>
                      <w:szCs w:val="21"/>
                      <w:highlight w:val="none"/>
                    </w:rPr>
                  </w:pPr>
                  <w:r>
                    <w:rPr>
                      <w:color w:val="0000FF"/>
                      <w:kern w:val="0"/>
                      <w:szCs w:val="21"/>
                      <w:highlight w:val="none"/>
                      <w:lang w:bidi="ar"/>
                    </w:rPr>
                    <w:t>TN</w:t>
                  </w:r>
                </w:p>
              </w:tc>
              <w:tc>
                <w:tcPr>
                  <w:tcW w:w="789" w:type="dxa"/>
                  <w:tcBorders>
                    <w:tl2br w:val="nil"/>
                    <w:tr2bl w:val="nil"/>
                  </w:tcBorders>
                  <w:vAlign w:val="center"/>
                </w:tcPr>
                <w:p>
                  <w:pPr>
                    <w:widowControl/>
                    <w:ind w:left="-42" w:leftChars="-20" w:right="-42" w:rightChars="-20"/>
                    <w:jc w:val="center"/>
                    <w:textAlignment w:val="center"/>
                    <w:rPr>
                      <w:color w:val="0000FF"/>
                      <w:szCs w:val="21"/>
                      <w:highlight w:val="none"/>
                    </w:rPr>
                  </w:pPr>
                  <w:r>
                    <w:rPr>
                      <w:color w:val="0000FF"/>
                      <w:kern w:val="0"/>
                      <w:szCs w:val="21"/>
                      <w:highlight w:val="none"/>
                      <w:lang w:bidi="ar"/>
                    </w:rPr>
                    <w:t>TP</w:t>
                  </w:r>
                </w:p>
              </w:tc>
              <w:tc>
                <w:tcPr>
                  <w:tcW w:w="812" w:type="dxa"/>
                  <w:tcBorders>
                    <w:tl2br w:val="nil"/>
                    <w:tr2bl w:val="nil"/>
                  </w:tcBorders>
                  <w:vAlign w:val="center"/>
                </w:tcPr>
                <w:p>
                  <w:pPr>
                    <w:widowControl/>
                    <w:ind w:left="-42" w:leftChars="-20" w:right="-42" w:rightChars="-20"/>
                    <w:jc w:val="center"/>
                    <w:textAlignment w:val="center"/>
                    <w:rPr>
                      <w:rFonts w:ascii="Calibri" w:hAnsi="Calibri" w:cs="Calibri"/>
                      <w:color w:val="0000FF"/>
                      <w:szCs w:val="21"/>
                      <w:highlight w:val="none"/>
                    </w:rPr>
                  </w:pPr>
                  <w:r>
                    <w:rPr>
                      <w:rFonts w:ascii="Calibri" w:hAnsi="Calibri" w:cs="Calibri"/>
                      <w:color w:val="0000FF"/>
                      <w:kern w:val="0"/>
                      <w:szCs w:val="21"/>
                      <w:highlight w:val="none"/>
                      <w:lang w:bidi="ar"/>
                    </w:rPr>
                    <w:t>动植物油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432" w:hRule="atLeast"/>
                <w:jc w:val="center"/>
              </w:trPr>
              <w:tc>
                <w:tcPr>
                  <w:tcW w:w="2670" w:type="dxa"/>
                  <w:gridSpan w:val="2"/>
                  <w:tcBorders>
                    <w:tl2br w:val="nil"/>
                    <w:tr2bl w:val="nil"/>
                  </w:tcBorders>
                  <w:vAlign w:val="center"/>
                </w:tcPr>
                <w:p>
                  <w:pPr>
                    <w:jc w:val="center"/>
                    <w:rPr>
                      <w:bCs/>
                      <w:color w:val="0000FF"/>
                      <w:kern w:val="0"/>
                      <w:szCs w:val="21"/>
                      <w:highlight w:val="none"/>
                    </w:rPr>
                  </w:pPr>
                  <w:r>
                    <w:rPr>
                      <w:rFonts w:hint="eastAsia"/>
                      <w:bCs/>
                      <w:color w:val="0000FF"/>
                      <w:kern w:val="0"/>
                      <w:szCs w:val="21"/>
                      <w:highlight w:val="none"/>
                    </w:rPr>
                    <w:t>综合废水</w:t>
                  </w:r>
                </w:p>
              </w:tc>
              <w:tc>
                <w:tcPr>
                  <w:tcW w:w="862" w:type="dxa"/>
                  <w:tcBorders>
                    <w:tl2br w:val="nil"/>
                    <w:tr2bl w:val="nil"/>
                  </w:tcBorders>
                  <w:vAlign w:val="center"/>
                </w:tcPr>
                <w:p>
                  <w:pPr>
                    <w:widowControl/>
                    <w:jc w:val="center"/>
                    <w:textAlignment w:val="center"/>
                    <w:rPr>
                      <w:rFonts w:hint="default" w:eastAsia="宋体"/>
                      <w:bCs/>
                      <w:color w:val="0000FF"/>
                      <w:kern w:val="0"/>
                      <w:szCs w:val="21"/>
                      <w:highlight w:val="none"/>
                      <w:lang w:val="en-US" w:eastAsia="zh-CN"/>
                    </w:rPr>
                  </w:pPr>
                  <w:r>
                    <w:rPr>
                      <w:rFonts w:hint="eastAsia"/>
                      <w:color w:val="0000FF"/>
                      <w:kern w:val="0"/>
                      <w:szCs w:val="21"/>
                      <w:highlight w:val="none"/>
                      <w:lang w:val="en-US" w:eastAsia="zh-CN" w:bidi="ar"/>
                    </w:rPr>
                    <w:t>1416.1</w:t>
                  </w:r>
                </w:p>
              </w:tc>
              <w:tc>
                <w:tcPr>
                  <w:tcW w:w="861" w:type="dxa"/>
                  <w:tcBorders>
                    <w:tl2br w:val="nil"/>
                    <w:tr2bl w:val="nil"/>
                  </w:tcBorders>
                  <w:vAlign w:val="center"/>
                </w:tcPr>
                <w:p>
                  <w:pPr>
                    <w:autoSpaceDE w:val="0"/>
                    <w:autoSpaceDN w:val="0"/>
                    <w:adjustRightInd w:val="0"/>
                    <w:jc w:val="center"/>
                    <w:rPr>
                      <w:rFonts w:hint="eastAsia" w:eastAsia="宋体"/>
                      <w:bCs/>
                      <w:color w:val="0000FF"/>
                      <w:kern w:val="0"/>
                      <w:szCs w:val="21"/>
                      <w:highlight w:val="none"/>
                      <w:lang w:eastAsia="zh-CN"/>
                    </w:rPr>
                  </w:pPr>
                  <w:r>
                    <w:rPr>
                      <w:rFonts w:hint="eastAsia"/>
                      <w:color w:val="0000FF"/>
                      <w:kern w:val="0"/>
                      <w:szCs w:val="21"/>
                      <w:highlight w:val="none"/>
                      <w:lang w:bidi="ar"/>
                    </w:rPr>
                    <w:t>75</w:t>
                  </w:r>
                  <w:r>
                    <w:rPr>
                      <w:rFonts w:hint="eastAsia"/>
                      <w:color w:val="0000FF"/>
                      <w:kern w:val="0"/>
                      <w:szCs w:val="21"/>
                      <w:highlight w:val="none"/>
                      <w:lang w:val="en-US" w:eastAsia="zh-CN" w:bidi="ar"/>
                    </w:rPr>
                    <w:t>6</w:t>
                  </w:r>
                </w:p>
              </w:tc>
              <w:tc>
                <w:tcPr>
                  <w:tcW w:w="775" w:type="dxa"/>
                  <w:tcBorders>
                    <w:tl2br w:val="nil"/>
                    <w:tr2bl w:val="nil"/>
                  </w:tcBorders>
                  <w:vAlign w:val="center"/>
                </w:tcPr>
                <w:p>
                  <w:pPr>
                    <w:autoSpaceDE w:val="0"/>
                    <w:autoSpaceDN w:val="0"/>
                    <w:adjustRightInd w:val="0"/>
                    <w:jc w:val="center"/>
                    <w:rPr>
                      <w:rFonts w:hint="default" w:eastAsia="宋体"/>
                      <w:bCs/>
                      <w:color w:val="0000FF"/>
                      <w:kern w:val="0"/>
                      <w:szCs w:val="21"/>
                      <w:highlight w:val="none"/>
                      <w:lang w:val="en-US" w:eastAsia="zh-CN"/>
                    </w:rPr>
                  </w:pPr>
                  <w:r>
                    <w:rPr>
                      <w:rFonts w:hint="eastAsia"/>
                      <w:color w:val="0000FF"/>
                      <w:kern w:val="0"/>
                      <w:szCs w:val="21"/>
                      <w:highlight w:val="none"/>
                      <w:lang w:val="en-US" w:eastAsia="zh-CN" w:bidi="ar"/>
                    </w:rPr>
                    <w:t>199.1</w:t>
                  </w:r>
                </w:p>
              </w:tc>
              <w:tc>
                <w:tcPr>
                  <w:tcW w:w="876" w:type="dxa"/>
                  <w:tcBorders>
                    <w:tl2br w:val="nil"/>
                    <w:tr2bl w:val="nil"/>
                  </w:tcBorders>
                  <w:vAlign w:val="center"/>
                </w:tcPr>
                <w:p>
                  <w:pPr>
                    <w:autoSpaceDE w:val="0"/>
                    <w:autoSpaceDN w:val="0"/>
                    <w:adjustRightInd w:val="0"/>
                    <w:jc w:val="center"/>
                    <w:rPr>
                      <w:bCs/>
                      <w:color w:val="0000FF"/>
                      <w:kern w:val="0"/>
                      <w:szCs w:val="21"/>
                      <w:highlight w:val="none"/>
                    </w:rPr>
                  </w:pPr>
                  <w:r>
                    <w:rPr>
                      <w:rFonts w:hint="eastAsia"/>
                      <w:color w:val="0000FF"/>
                      <w:kern w:val="0"/>
                      <w:szCs w:val="21"/>
                      <w:highlight w:val="none"/>
                      <w:lang w:bidi="ar"/>
                    </w:rPr>
                    <w:t>39.5</w:t>
                  </w:r>
                </w:p>
              </w:tc>
              <w:tc>
                <w:tcPr>
                  <w:tcW w:w="718" w:type="dxa"/>
                  <w:tcBorders>
                    <w:tl2br w:val="nil"/>
                    <w:tr2bl w:val="nil"/>
                  </w:tcBorders>
                  <w:vAlign w:val="center"/>
                </w:tcPr>
                <w:p>
                  <w:pPr>
                    <w:autoSpaceDE w:val="0"/>
                    <w:autoSpaceDN w:val="0"/>
                    <w:adjustRightInd w:val="0"/>
                    <w:jc w:val="center"/>
                    <w:rPr>
                      <w:rFonts w:hint="default" w:eastAsia="宋体"/>
                      <w:bCs/>
                      <w:color w:val="0000FF"/>
                      <w:kern w:val="0"/>
                      <w:szCs w:val="21"/>
                      <w:highlight w:val="none"/>
                      <w:lang w:val="en-US" w:eastAsia="zh-CN"/>
                    </w:rPr>
                  </w:pPr>
                  <w:r>
                    <w:rPr>
                      <w:rFonts w:hint="eastAsia"/>
                      <w:color w:val="0000FF"/>
                      <w:kern w:val="0"/>
                      <w:szCs w:val="21"/>
                      <w:highlight w:val="none"/>
                      <w:lang w:val="en-US" w:eastAsia="zh-CN" w:bidi="ar"/>
                    </w:rPr>
                    <w:t>65.9</w:t>
                  </w:r>
                </w:p>
              </w:tc>
              <w:tc>
                <w:tcPr>
                  <w:tcW w:w="789" w:type="dxa"/>
                  <w:tcBorders>
                    <w:tl2br w:val="nil"/>
                    <w:tr2bl w:val="nil"/>
                  </w:tcBorders>
                  <w:vAlign w:val="center"/>
                </w:tcPr>
                <w:p>
                  <w:pPr>
                    <w:autoSpaceDE w:val="0"/>
                    <w:autoSpaceDN w:val="0"/>
                    <w:adjustRightInd w:val="0"/>
                    <w:jc w:val="center"/>
                    <w:rPr>
                      <w:bCs/>
                      <w:color w:val="0000FF"/>
                      <w:kern w:val="0"/>
                      <w:szCs w:val="21"/>
                      <w:highlight w:val="none"/>
                    </w:rPr>
                  </w:pPr>
                  <w:r>
                    <w:rPr>
                      <w:rFonts w:hint="eastAsia"/>
                      <w:color w:val="0000FF"/>
                      <w:kern w:val="0"/>
                      <w:szCs w:val="21"/>
                      <w:highlight w:val="none"/>
                      <w:lang w:bidi="ar"/>
                    </w:rPr>
                    <w:t>7.6</w:t>
                  </w:r>
                </w:p>
              </w:tc>
              <w:tc>
                <w:tcPr>
                  <w:tcW w:w="812" w:type="dxa"/>
                  <w:tcBorders>
                    <w:tl2br w:val="nil"/>
                    <w:tr2bl w:val="nil"/>
                  </w:tcBorders>
                  <w:vAlign w:val="center"/>
                </w:tcPr>
                <w:p>
                  <w:pPr>
                    <w:autoSpaceDE w:val="0"/>
                    <w:autoSpaceDN w:val="0"/>
                    <w:adjustRightInd w:val="0"/>
                    <w:jc w:val="center"/>
                    <w:rPr>
                      <w:bCs/>
                      <w:color w:val="0000FF"/>
                      <w:kern w:val="0"/>
                      <w:szCs w:val="21"/>
                      <w:highlight w:val="none"/>
                    </w:rPr>
                  </w:pPr>
                  <w:r>
                    <w:rPr>
                      <w:rFonts w:hint="eastAsia"/>
                      <w:color w:val="0000FF"/>
                      <w:kern w:val="0"/>
                      <w:szCs w:val="21"/>
                      <w:highlight w:val="none"/>
                      <w:lang w:bidi="ar"/>
                    </w:rPr>
                    <w:t>5.</w:t>
                  </w:r>
                  <w:r>
                    <w:rPr>
                      <w:rFonts w:hint="eastAsia"/>
                      <w:color w:val="0000FF"/>
                      <w:kern w:val="0"/>
                      <w:szCs w:val="21"/>
                      <w:highlight w:val="none"/>
                      <w:lang w:val="en-US" w:eastAsia="zh-CN" w:bidi="ar"/>
                    </w:rPr>
                    <w:t>4</w:t>
                  </w:r>
                  <w:r>
                    <w:rPr>
                      <w:color w:val="0000FF"/>
                      <w:kern w:val="0"/>
                      <w:szCs w:val="21"/>
                      <w:highlight w:val="none"/>
                      <w:lang w:bidi="ar"/>
                    </w:rPr>
                    <w:t xml:space="preserve">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432" w:hRule="atLeast"/>
                <w:jc w:val="center"/>
              </w:trPr>
              <w:tc>
                <w:tcPr>
                  <w:tcW w:w="1091" w:type="dxa"/>
                  <w:vMerge w:val="restart"/>
                  <w:tcBorders>
                    <w:tl2br w:val="nil"/>
                    <w:tr2bl w:val="nil"/>
                  </w:tcBorders>
                  <w:vAlign w:val="center"/>
                </w:tcPr>
                <w:p>
                  <w:pPr>
                    <w:jc w:val="center"/>
                    <w:rPr>
                      <w:rFonts w:hint="default" w:eastAsia="宋体"/>
                      <w:bCs/>
                      <w:color w:val="0000FF"/>
                      <w:kern w:val="0"/>
                      <w:szCs w:val="21"/>
                      <w:highlight w:val="none"/>
                      <w:lang w:val="en-US" w:eastAsia="zh-CN"/>
                    </w:rPr>
                  </w:pPr>
                  <w:r>
                    <w:rPr>
                      <w:rFonts w:hint="eastAsia"/>
                      <w:bCs/>
                      <w:color w:val="0000FF"/>
                      <w:kern w:val="0"/>
                      <w:szCs w:val="21"/>
                      <w:highlight w:val="none"/>
                      <w:lang w:val="en-US" w:eastAsia="zh-CN"/>
                    </w:rPr>
                    <w:t>粗格栅</w:t>
                  </w:r>
                </w:p>
              </w:tc>
              <w:tc>
                <w:tcPr>
                  <w:tcW w:w="1579" w:type="dxa"/>
                  <w:tcBorders>
                    <w:tl2br w:val="nil"/>
                    <w:tr2bl w:val="nil"/>
                  </w:tcBorders>
                  <w:vAlign w:val="center"/>
                </w:tcPr>
                <w:p>
                  <w:pPr>
                    <w:jc w:val="center"/>
                    <w:rPr>
                      <w:rFonts w:hint="eastAsia"/>
                      <w:bCs/>
                      <w:color w:val="0000FF"/>
                      <w:kern w:val="0"/>
                      <w:szCs w:val="21"/>
                      <w:highlight w:val="none"/>
                    </w:rPr>
                  </w:pPr>
                  <w:r>
                    <w:rPr>
                      <w:rFonts w:hint="eastAsia"/>
                      <w:bCs/>
                      <w:color w:val="0000FF"/>
                      <w:kern w:val="0"/>
                      <w:szCs w:val="21"/>
                      <w:highlight w:val="none"/>
                    </w:rPr>
                    <w:t>出水（</w:t>
                  </w:r>
                  <w:r>
                    <w:rPr>
                      <w:color w:val="0000FF"/>
                      <w:szCs w:val="21"/>
                      <w:highlight w:val="none"/>
                    </w:rPr>
                    <w:t>mg/L</w:t>
                  </w:r>
                  <w:r>
                    <w:rPr>
                      <w:rFonts w:hint="eastAsia"/>
                      <w:bCs/>
                      <w:color w:val="0000FF"/>
                      <w:kern w:val="0"/>
                      <w:szCs w:val="21"/>
                      <w:highlight w:val="none"/>
                    </w:rPr>
                    <w:t>）</w:t>
                  </w:r>
                </w:p>
              </w:tc>
              <w:tc>
                <w:tcPr>
                  <w:tcW w:w="86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1345.3 </w:t>
                  </w:r>
                </w:p>
              </w:tc>
              <w:tc>
                <w:tcPr>
                  <w:tcW w:w="861"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718.2 </w:t>
                  </w:r>
                </w:p>
              </w:tc>
              <w:tc>
                <w:tcPr>
                  <w:tcW w:w="775"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179.2 </w:t>
                  </w:r>
                </w:p>
              </w:tc>
              <w:tc>
                <w:tcPr>
                  <w:tcW w:w="876"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39.5 </w:t>
                  </w:r>
                </w:p>
              </w:tc>
              <w:tc>
                <w:tcPr>
                  <w:tcW w:w="718"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65.9 </w:t>
                  </w:r>
                </w:p>
              </w:tc>
              <w:tc>
                <w:tcPr>
                  <w:tcW w:w="789"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7.60 </w:t>
                  </w:r>
                </w:p>
              </w:tc>
              <w:tc>
                <w:tcPr>
                  <w:tcW w:w="81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5.4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432" w:hRule="atLeast"/>
                <w:jc w:val="center"/>
              </w:trPr>
              <w:tc>
                <w:tcPr>
                  <w:tcW w:w="1091" w:type="dxa"/>
                  <w:vMerge w:val="continue"/>
                  <w:tcBorders>
                    <w:tl2br w:val="nil"/>
                    <w:tr2bl w:val="nil"/>
                  </w:tcBorders>
                  <w:vAlign w:val="center"/>
                </w:tcPr>
                <w:p>
                  <w:pPr>
                    <w:jc w:val="center"/>
                    <w:rPr>
                      <w:rFonts w:hint="eastAsia"/>
                      <w:bCs/>
                      <w:color w:val="0000FF"/>
                      <w:kern w:val="0"/>
                      <w:szCs w:val="21"/>
                      <w:highlight w:val="none"/>
                    </w:rPr>
                  </w:pPr>
                </w:p>
              </w:tc>
              <w:tc>
                <w:tcPr>
                  <w:tcW w:w="1579" w:type="dxa"/>
                  <w:tcBorders>
                    <w:tl2br w:val="nil"/>
                    <w:tr2bl w:val="nil"/>
                  </w:tcBorders>
                  <w:vAlign w:val="center"/>
                </w:tcPr>
                <w:p>
                  <w:pPr>
                    <w:jc w:val="center"/>
                    <w:rPr>
                      <w:rFonts w:hint="eastAsia"/>
                      <w:bCs/>
                      <w:color w:val="0000FF"/>
                      <w:kern w:val="0"/>
                      <w:szCs w:val="21"/>
                      <w:highlight w:val="none"/>
                    </w:rPr>
                  </w:pPr>
                  <w:r>
                    <w:rPr>
                      <w:color w:val="0000FF"/>
                      <w:kern w:val="0"/>
                      <w:szCs w:val="21"/>
                      <w:highlight w:val="none"/>
                    </w:rPr>
                    <w:t>去除率</w:t>
                  </w:r>
                  <w:r>
                    <w:rPr>
                      <w:rFonts w:hint="eastAsia"/>
                      <w:color w:val="0000FF"/>
                      <w:kern w:val="0"/>
                      <w:szCs w:val="21"/>
                      <w:highlight w:val="none"/>
                    </w:rPr>
                    <w:t>（%）</w:t>
                  </w:r>
                </w:p>
              </w:tc>
              <w:tc>
                <w:tcPr>
                  <w:tcW w:w="86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5</w:t>
                  </w:r>
                </w:p>
              </w:tc>
              <w:tc>
                <w:tcPr>
                  <w:tcW w:w="861"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5</w:t>
                  </w:r>
                </w:p>
              </w:tc>
              <w:tc>
                <w:tcPr>
                  <w:tcW w:w="775"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10</w:t>
                  </w:r>
                </w:p>
              </w:tc>
              <w:tc>
                <w:tcPr>
                  <w:tcW w:w="876"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0</w:t>
                  </w:r>
                </w:p>
              </w:tc>
              <w:tc>
                <w:tcPr>
                  <w:tcW w:w="718"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0</w:t>
                  </w:r>
                </w:p>
              </w:tc>
              <w:tc>
                <w:tcPr>
                  <w:tcW w:w="789"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0</w:t>
                  </w:r>
                </w:p>
              </w:tc>
              <w:tc>
                <w:tcPr>
                  <w:tcW w:w="81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432" w:hRule="atLeast"/>
                <w:jc w:val="center"/>
              </w:trPr>
              <w:tc>
                <w:tcPr>
                  <w:tcW w:w="1091" w:type="dxa"/>
                  <w:vMerge w:val="restart"/>
                  <w:tcBorders>
                    <w:tl2br w:val="nil"/>
                    <w:tr2bl w:val="nil"/>
                  </w:tcBorders>
                  <w:vAlign w:val="center"/>
                </w:tcPr>
                <w:p>
                  <w:pPr>
                    <w:jc w:val="center"/>
                    <w:rPr>
                      <w:rFonts w:hint="default" w:eastAsia="宋体"/>
                      <w:bCs/>
                      <w:color w:val="0000FF"/>
                      <w:kern w:val="0"/>
                      <w:szCs w:val="21"/>
                      <w:highlight w:val="none"/>
                      <w:lang w:val="en-US" w:eastAsia="zh-CN"/>
                    </w:rPr>
                  </w:pPr>
                  <w:r>
                    <w:rPr>
                      <w:rFonts w:hint="eastAsia"/>
                      <w:bCs/>
                      <w:color w:val="0000FF"/>
                      <w:kern w:val="0"/>
                      <w:szCs w:val="21"/>
                      <w:highlight w:val="none"/>
                      <w:lang w:val="en-US" w:eastAsia="zh-CN"/>
                    </w:rPr>
                    <w:t>一体化气浮隔油机</w:t>
                  </w:r>
                </w:p>
              </w:tc>
              <w:tc>
                <w:tcPr>
                  <w:tcW w:w="1579" w:type="dxa"/>
                  <w:tcBorders>
                    <w:tl2br w:val="nil"/>
                    <w:tr2bl w:val="nil"/>
                  </w:tcBorders>
                  <w:vAlign w:val="center"/>
                </w:tcPr>
                <w:p>
                  <w:pPr>
                    <w:jc w:val="center"/>
                    <w:rPr>
                      <w:rFonts w:hint="eastAsia"/>
                      <w:bCs/>
                      <w:color w:val="0000FF"/>
                      <w:kern w:val="0"/>
                      <w:szCs w:val="21"/>
                      <w:highlight w:val="none"/>
                    </w:rPr>
                  </w:pPr>
                  <w:r>
                    <w:rPr>
                      <w:rFonts w:hint="eastAsia"/>
                      <w:bCs/>
                      <w:color w:val="0000FF"/>
                      <w:kern w:val="0"/>
                      <w:szCs w:val="21"/>
                      <w:highlight w:val="none"/>
                    </w:rPr>
                    <w:t>出水（</w:t>
                  </w:r>
                  <w:r>
                    <w:rPr>
                      <w:color w:val="0000FF"/>
                      <w:szCs w:val="21"/>
                      <w:highlight w:val="none"/>
                    </w:rPr>
                    <w:t>mg/L</w:t>
                  </w:r>
                  <w:r>
                    <w:rPr>
                      <w:rFonts w:hint="eastAsia"/>
                      <w:bCs/>
                      <w:color w:val="0000FF"/>
                      <w:kern w:val="0"/>
                      <w:szCs w:val="21"/>
                      <w:highlight w:val="none"/>
                    </w:rPr>
                    <w:t>）</w:t>
                  </w:r>
                </w:p>
              </w:tc>
              <w:tc>
                <w:tcPr>
                  <w:tcW w:w="86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538.1 </w:t>
                  </w:r>
                </w:p>
              </w:tc>
              <w:tc>
                <w:tcPr>
                  <w:tcW w:w="861"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359.1 </w:t>
                  </w:r>
                </w:p>
              </w:tc>
              <w:tc>
                <w:tcPr>
                  <w:tcW w:w="775"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35.8 </w:t>
                  </w:r>
                </w:p>
              </w:tc>
              <w:tc>
                <w:tcPr>
                  <w:tcW w:w="876"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33.58 </w:t>
                  </w:r>
                </w:p>
              </w:tc>
              <w:tc>
                <w:tcPr>
                  <w:tcW w:w="718"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56.0 </w:t>
                  </w:r>
                </w:p>
              </w:tc>
              <w:tc>
                <w:tcPr>
                  <w:tcW w:w="789"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3.80 </w:t>
                  </w:r>
                </w:p>
              </w:tc>
              <w:tc>
                <w:tcPr>
                  <w:tcW w:w="81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0.8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432" w:hRule="atLeast"/>
                <w:jc w:val="center"/>
              </w:trPr>
              <w:tc>
                <w:tcPr>
                  <w:tcW w:w="1091" w:type="dxa"/>
                  <w:vMerge w:val="continue"/>
                  <w:tcBorders>
                    <w:tl2br w:val="nil"/>
                    <w:tr2bl w:val="nil"/>
                  </w:tcBorders>
                  <w:vAlign w:val="center"/>
                </w:tcPr>
                <w:p>
                  <w:pPr>
                    <w:jc w:val="center"/>
                    <w:rPr>
                      <w:rFonts w:hint="eastAsia"/>
                      <w:bCs/>
                      <w:color w:val="0000FF"/>
                      <w:kern w:val="0"/>
                      <w:szCs w:val="21"/>
                      <w:highlight w:val="none"/>
                    </w:rPr>
                  </w:pPr>
                </w:p>
              </w:tc>
              <w:tc>
                <w:tcPr>
                  <w:tcW w:w="1579" w:type="dxa"/>
                  <w:tcBorders>
                    <w:tl2br w:val="nil"/>
                    <w:tr2bl w:val="nil"/>
                  </w:tcBorders>
                  <w:vAlign w:val="center"/>
                </w:tcPr>
                <w:p>
                  <w:pPr>
                    <w:jc w:val="center"/>
                    <w:rPr>
                      <w:rFonts w:hint="eastAsia"/>
                      <w:bCs/>
                      <w:color w:val="0000FF"/>
                      <w:kern w:val="0"/>
                      <w:szCs w:val="21"/>
                      <w:highlight w:val="none"/>
                    </w:rPr>
                  </w:pPr>
                  <w:r>
                    <w:rPr>
                      <w:color w:val="0000FF"/>
                      <w:kern w:val="0"/>
                      <w:szCs w:val="21"/>
                      <w:highlight w:val="none"/>
                    </w:rPr>
                    <w:t>去除率</w:t>
                  </w:r>
                  <w:r>
                    <w:rPr>
                      <w:rFonts w:hint="eastAsia"/>
                      <w:color w:val="0000FF"/>
                      <w:kern w:val="0"/>
                      <w:szCs w:val="21"/>
                      <w:highlight w:val="none"/>
                    </w:rPr>
                    <w:t>（%）</w:t>
                  </w:r>
                </w:p>
              </w:tc>
              <w:tc>
                <w:tcPr>
                  <w:tcW w:w="86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60</w:t>
                  </w:r>
                </w:p>
              </w:tc>
              <w:tc>
                <w:tcPr>
                  <w:tcW w:w="861"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50</w:t>
                  </w:r>
                </w:p>
              </w:tc>
              <w:tc>
                <w:tcPr>
                  <w:tcW w:w="775"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80</w:t>
                  </w:r>
                </w:p>
              </w:tc>
              <w:tc>
                <w:tcPr>
                  <w:tcW w:w="876"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15</w:t>
                  </w:r>
                </w:p>
              </w:tc>
              <w:tc>
                <w:tcPr>
                  <w:tcW w:w="718"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15</w:t>
                  </w:r>
                </w:p>
              </w:tc>
              <w:tc>
                <w:tcPr>
                  <w:tcW w:w="789"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50</w:t>
                  </w:r>
                </w:p>
              </w:tc>
              <w:tc>
                <w:tcPr>
                  <w:tcW w:w="812" w:type="dxa"/>
                  <w:tcBorders>
                    <w:tl2br w:val="nil"/>
                    <w:tr2bl w:val="nil"/>
                  </w:tcBorders>
                  <w:vAlign w:val="center"/>
                </w:tcPr>
                <w:p>
                  <w:pPr>
                    <w:keepNext w:val="0"/>
                    <w:keepLines w:val="0"/>
                    <w:widowControl/>
                    <w:suppressLineNumbers w:val="0"/>
                    <w:jc w:val="center"/>
                    <w:textAlignment w:val="center"/>
                    <w:rPr>
                      <w:rFonts w:hint="eastAsia"/>
                      <w:color w:val="0000FF"/>
                      <w:kern w:val="0"/>
                      <w:szCs w:val="21"/>
                      <w:highlight w:val="none"/>
                      <w:lang w:bidi="ar"/>
                    </w:rPr>
                  </w:pPr>
                  <w:r>
                    <w:rPr>
                      <w:rFonts w:hint="default" w:ascii="Times New Roman" w:hAnsi="Times New Roman" w:eastAsia="宋体" w:cs="Times New Roman"/>
                      <w:i w:val="0"/>
                      <w:iCs w:val="0"/>
                      <w:color w:val="0000FF"/>
                      <w:kern w:val="0"/>
                      <w:sz w:val="21"/>
                      <w:szCs w:val="21"/>
                      <w:highlight w:val="none"/>
                      <w:u w:val="none"/>
                      <w:lang w:val="en-US" w:eastAsia="zh-CN" w:bidi="ar"/>
                    </w:rPr>
                    <w:t>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357" w:hRule="atLeast"/>
                <w:jc w:val="center"/>
              </w:trPr>
              <w:tc>
                <w:tcPr>
                  <w:tcW w:w="1091" w:type="dxa"/>
                  <w:vMerge w:val="restart"/>
                  <w:tcBorders>
                    <w:right w:val="single" w:color="auto" w:sz="4" w:space="0"/>
                    <w:tl2br w:val="nil"/>
                    <w:tr2bl w:val="nil"/>
                  </w:tcBorders>
                  <w:vAlign w:val="center"/>
                </w:tcPr>
                <w:p>
                  <w:pPr>
                    <w:jc w:val="center"/>
                    <w:rPr>
                      <w:bCs/>
                      <w:color w:val="0000FF"/>
                      <w:kern w:val="0"/>
                      <w:szCs w:val="21"/>
                      <w:highlight w:val="none"/>
                    </w:rPr>
                  </w:pPr>
                  <w:r>
                    <w:rPr>
                      <w:rFonts w:hint="eastAsia"/>
                      <w:bCs/>
                      <w:color w:val="0000FF"/>
                      <w:kern w:val="0"/>
                      <w:szCs w:val="21"/>
                      <w:highlight w:val="none"/>
                      <w:lang w:val="en-US" w:eastAsia="zh-CN"/>
                    </w:rPr>
                    <w:t>细</w:t>
                  </w:r>
                  <w:r>
                    <w:rPr>
                      <w:rFonts w:hint="eastAsia"/>
                      <w:bCs/>
                      <w:color w:val="0000FF"/>
                      <w:kern w:val="0"/>
                      <w:szCs w:val="21"/>
                      <w:highlight w:val="none"/>
                    </w:rPr>
                    <w:t>格栅池</w:t>
                  </w:r>
                  <w:r>
                    <w:rPr>
                      <w:rFonts w:hint="eastAsia"/>
                      <w:bCs/>
                      <w:color w:val="0000FF"/>
                      <w:kern w:val="0"/>
                      <w:szCs w:val="21"/>
                      <w:highlight w:val="none"/>
                      <w:lang w:val="en-US" w:eastAsia="zh-CN"/>
                    </w:rPr>
                    <w:t>+</w:t>
                  </w:r>
                  <w:r>
                    <w:rPr>
                      <w:rFonts w:hint="eastAsia"/>
                      <w:bCs/>
                      <w:color w:val="0000FF"/>
                      <w:kern w:val="0"/>
                      <w:szCs w:val="21"/>
                      <w:highlight w:val="none"/>
                    </w:rPr>
                    <w:t>调节池</w:t>
                  </w:r>
                </w:p>
              </w:tc>
              <w:tc>
                <w:tcPr>
                  <w:tcW w:w="1579" w:type="dxa"/>
                  <w:tcBorders>
                    <w:left w:val="single" w:color="auto" w:sz="4" w:space="0"/>
                    <w:tl2br w:val="nil"/>
                    <w:tr2bl w:val="nil"/>
                  </w:tcBorders>
                  <w:vAlign w:val="center"/>
                </w:tcPr>
                <w:p>
                  <w:pPr>
                    <w:jc w:val="center"/>
                    <w:rPr>
                      <w:bCs/>
                      <w:color w:val="0000FF"/>
                      <w:kern w:val="0"/>
                      <w:szCs w:val="21"/>
                      <w:highlight w:val="none"/>
                    </w:rPr>
                  </w:pPr>
                  <w:r>
                    <w:rPr>
                      <w:rFonts w:hint="eastAsia"/>
                      <w:bCs/>
                      <w:color w:val="0000FF"/>
                      <w:kern w:val="0"/>
                      <w:szCs w:val="21"/>
                      <w:highlight w:val="none"/>
                    </w:rPr>
                    <w:t>出水（</w:t>
                  </w:r>
                  <w:r>
                    <w:rPr>
                      <w:color w:val="0000FF"/>
                      <w:szCs w:val="21"/>
                      <w:highlight w:val="none"/>
                    </w:rPr>
                    <w:t>mg/L</w:t>
                  </w:r>
                  <w:r>
                    <w:rPr>
                      <w:rFonts w:hint="eastAsia"/>
                      <w:bCs/>
                      <w:color w:val="0000FF"/>
                      <w:kern w:val="0"/>
                      <w:szCs w:val="21"/>
                      <w:highlight w:val="none"/>
                    </w:rPr>
                    <w:t>）</w:t>
                  </w:r>
                </w:p>
              </w:tc>
              <w:tc>
                <w:tcPr>
                  <w:tcW w:w="862" w:type="dxa"/>
                  <w:tcBorders>
                    <w:tl2br w:val="nil"/>
                    <w:tr2bl w:val="nil"/>
                  </w:tcBorders>
                  <w:vAlign w:val="center"/>
                </w:tcPr>
                <w:p>
                  <w:pPr>
                    <w:keepNext w:val="0"/>
                    <w:keepLines w:val="0"/>
                    <w:widowControl/>
                    <w:suppressLineNumbers w:val="0"/>
                    <w:jc w:val="center"/>
                    <w:textAlignment w:val="center"/>
                    <w:rPr>
                      <w:rFonts w:hint="eastAsia" w:eastAsia="宋体"/>
                      <w:bCs/>
                      <w:color w:val="0000FF"/>
                      <w:kern w:val="0"/>
                      <w:szCs w:val="21"/>
                      <w:highlight w:val="none"/>
                      <w:lang w:val="en-US" w:eastAsia="zh-CN"/>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511.2 </w:t>
                  </w:r>
                </w:p>
              </w:tc>
              <w:tc>
                <w:tcPr>
                  <w:tcW w:w="861" w:type="dxa"/>
                  <w:tcBorders>
                    <w:tl2br w:val="nil"/>
                    <w:tr2bl w:val="nil"/>
                  </w:tcBorders>
                  <w:vAlign w:val="center"/>
                </w:tcPr>
                <w:p>
                  <w:pPr>
                    <w:keepNext w:val="0"/>
                    <w:keepLines w:val="0"/>
                    <w:widowControl/>
                    <w:suppressLineNumbers w:val="0"/>
                    <w:jc w:val="center"/>
                    <w:textAlignment w:val="center"/>
                    <w:rPr>
                      <w:rFonts w:hint="default"/>
                      <w:bCs/>
                      <w:color w:val="0000FF"/>
                      <w:kern w:val="0"/>
                      <w:szCs w:val="21"/>
                      <w:highlight w:val="none"/>
                      <w:lang w:val="en-US"/>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341.1 </w:t>
                  </w:r>
                </w:p>
              </w:tc>
              <w:tc>
                <w:tcPr>
                  <w:tcW w:w="775" w:type="dxa"/>
                  <w:tcBorders>
                    <w:tl2br w:val="nil"/>
                    <w:tr2bl w:val="nil"/>
                  </w:tcBorders>
                  <w:vAlign w:val="center"/>
                </w:tcPr>
                <w:p>
                  <w:pPr>
                    <w:keepNext w:val="0"/>
                    <w:keepLines w:val="0"/>
                    <w:widowControl/>
                    <w:suppressLineNumbers w:val="0"/>
                    <w:jc w:val="center"/>
                    <w:textAlignment w:val="center"/>
                    <w:rPr>
                      <w:rFonts w:hint="default"/>
                      <w:bCs/>
                      <w:color w:val="0000FF"/>
                      <w:kern w:val="0"/>
                      <w:szCs w:val="21"/>
                      <w:highlight w:val="none"/>
                      <w:lang w:val="en-US"/>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32.3 </w:t>
                  </w:r>
                </w:p>
              </w:tc>
              <w:tc>
                <w:tcPr>
                  <w:tcW w:w="876" w:type="dxa"/>
                  <w:tcBorders>
                    <w:tl2br w:val="nil"/>
                    <w:tr2bl w:val="nil"/>
                  </w:tcBorders>
                  <w:vAlign w:val="center"/>
                </w:tcPr>
                <w:p>
                  <w:pPr>
                    <w:keepNext w:val="0"/>
                    <w:keepLines w:val="0"/>
                    <w:widowControl/>
                    <w:suppressLineNumbers w:val="0"/>
                    <w:jc w:val="center"/>
                    <w:textAlignment w:val="center"/>
                    <w:rPr>
                      <w:rFonts w:hint="default"/>
                      <w:bCs/>
                      <w:color w:val="0000FF"/>
                      <w:kern w:val="0"/>
                      <w:szCs w:val="21"/>
                      <w:highlight w:val="none"/>
                      <w:lang w:val="en-US"/>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33.58 </w:t>
                  </w:r>
                </w:p>
              </w:tc>
              <w:tc>
                <w:tcPr>
                  <w:tcW w:w="718" w:type="dxa"/>
                  <w:tcBorders>
                    <w:tl2br w:val="nil"/>
                    <w:tr2bl w:val="nil"/>
                  </w:tcBorders>
                  <w:vAlign w:val="center"/>
                </w:tcPr>
                <w:p>
                  <w:pPr>
                    <w:keepNext w:val="0"/>
                    <w:keepLines w:val="0"/>
                    <w:widowControl/>
                    <w:suppressLineNumbers w:val="0"/>
                    <w:jc w:val="center"/>
                    <w:textAlignment w:val="center"/>
                    <w:rPr>
                      <w:rFonts w:hint="default"/>
                      <w:bCs/>
                      <w:color w:val="0000FF"/>
                      <w:kern w:val="0"/>
                      <w:szCs w:val="21"/>
                      <w:highlight w:val="none"/>
                      <w:lang w:val="en-US"/>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56.0 </w:t>
                  </w:r>
                </w:p>
              </w:tc>
              <w:tc>
                <w:tcPr>
                  <w:tcW w:w="789" w:type="dxa"/>
                  <w:tcBorders>
                    <w:tl2br w:val="nil"/>
                    <w:tr2bl w:val="nil"/>
                  </w:tcBorders>
                  <w:vAlign w:val="center"/>
                </w:tcPr>
                <w:p>
                  <w:pPr>
                    <w:keepNext w:val="0"/>
                    <w:keepLines w:val="0"/>
                    <w:widowControl/>
                    <w:suppressLineNumbers w:val="0"/>
                    <w:jc w:val="center"/>
                    <w:textAlignment w:val="center"/>
                    <w:rPr>
                      <w:rFonts w:hint="default"/>
                      <w:bCs/>
                      <w:color w:val="0000FF"/>
                      <w:kern w:val="0"/>
                      <w:szCs w:val="21"/>
                      <w:highlight w:val="none"/>
                      <w:lang w:val="en-US"/>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3.80 </w:t>
                  </w:r>
                </w:p>
              </w:tc>
              <w:tc>
                <w:tcPr>
                  <w:tcW w:w="812" w:type="dxa"/>
                  <w:tcBorders>
                    <w:tl2br w:val="nil"/>
                    <w:tr2bl w:val="nil"/>
                  </w:tcBorders>
                  <w:vAlign w:val="center"/>
                </w:tcPr>
                <w:p>
                  <w:pPr>
                    <w:keepNext w:val="0"/>
                    <w:keepLines w:val="0"/>
                    <w:widowControl/>
                    <w:suppressLineNumbers w:val="0"/>
                    <w:jc w:val="center"/>
                    <w:textAlignment w:val="center"/>
                    <w:rPr>
                      <w:rFonts w:hint="default"/>
                      <w:bCs/>
                      <w:color w:val="0000FF"/>
                      <w:kern w:val="0"/>
                      <w:szCs w:val="21"/>
                      <w:highlight w:val="none"/>
                      <w:lang w:val="en-US"/>
                    </w:rPr>
                  </w:pPr>
                  <w:r>
                    <w:rPr>
                      <w:rFonts w:hint="default" w:ascii="Times New Roman" w:hAnsi="Times New Roman" w:eastAsia="宋体" w:cs="Times New Roman"/>
                      <w:i w:val="0"/>
                      <w:iCs w:val="0"/>
                      <w:color w:val="0000FF"/>
                      <w:kern w:val="0"/>
                      <w:sz w:val="21"/>
                      <w:szCs w:val="21"/>
                      <w:highlight w:val="none"/>
                      <w:u w:val="none"/>
                      <w:lang w:val="en-US" w:eastAsia="zh-CN" w:bidi="ar"/>
                    </w:rPr>
                    <w:t xml:space="preserve">0.8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382" w:hRule="atLeast"/>
                <w:jc w:val="center"/>
              </w:trPr>
              <w:tc>
                <w:tcPr>
                  <w:tcW w:w="1091" w:type="dxa"/>
                  <w:vMerge w:val="continue"/>
                  <w:tcBorders>
                    <w:right w:val="single" w:color="auto" w:sz="4" w:space="0"/>
                    <w:tl2br w:val="nil"/>
                    <w:tr2bl w:val="nil"/>
                  </w:tcBorders>
                  <w:vAlign w:val="center"/>
                </w:tcPr>
                <w:p>
                  <w:pPr>
                    <w:jc w:val="center"/>
                    <w:rPr>
                      <w:bCs/>
                      <w:color w:val="0000FF"/>
                      <w:kern w:val="0"/>
                      <w:szCs w:val="21"/>
                      <w:highlight w:val="none"/>
                    </w:rPr>
                  </w:pPr>
                </w:p>
              </w:tc>
              <w:tc>
                <w:tcPr>
                  <w:tcW w:w="1579" w:type="dxa"/>
                  <w:tcBorders>
                    <w:left w:val="single" w:color="auto" w:sz="4" w:space="0"/>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去除率（%）</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5</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5</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10</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0</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0</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0</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357" w:hRule="atLeast"/>
                <w:jc w:val="center"/>
              </w:trPr>
              <w:tc>
                <w:tcPr>
                  <w:tcW w:w="1091" w:type="dxa"/>
                  <w:vMerge w:val="restart"/>
                  <w:tcBorders>
                    <w:right w:val="single" w:color="auto" w:sz="4" w:space="0"/>
                    <w:tl2br w:val="nil"/>
                    <w:tr2bl w:val="nil"/>
                  </w:tcBorders>
                  <w:vAlign w:val="center"/>
                </w:tcPr>
                <w:p>
                  <w:pPr>
                    <w:jc w:val="center"/>
                    <w:rPr>
                      <w:bCs/>
                      <w:color w:val="0000FF"/>
                      <w:kern w:val="0"/>
                      <w:szCs w:val="21"/>
                      <w:highlight w:val="none"/>
                    </w:rPr>
                  </w:pPr>
                  <w:r>
                    <w:rPr>
                      <w:rFonts w:hint="eastAsia"/>
                      <w:color w:val="0000FF"/>
                      <w:highlight w:val="none"/>
                      <w:lang w:val="en-US" w:eastAsia="zh-CN"/>
                    </w:rPr>
                    <w:t>兼氧F</w:t>
                  </w:r>
                  <w:r>
                    <w:rPr>
                      <w:rFonts w:hint="eastAsia"/>
                      <w:color w:val="0000FF"/>
                      <w:highlight w:val="none"/>
                    </w:rPr>
                    <w:t>MBR</w:t>
                  </w:r>
                </w:p>
              </w:tc>
              <w:tc>
                <w:tcPr>
                  <w:tcW w:w="1579" w:type="dxa"/>
                  <w:tcBorders>
                    <w:left w:val="single" w:color="auto" w:sz="4" w:space="0"/>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出水（mg/L）</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51.1 </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17.1 </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3.2 </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5.04 </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11.2 </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0.57 </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0.1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383" w:hRule="atLeast"/>
                <w:jc w:val="center"/>
              </w:trPr>
              <w:tc>
                <w:tcPr>
                  <w:tcW w:w="1091" w:type="dxa"/>
                  <w:vMerge w:val="continue"/>
                  <w:tcBorders>
                    <w:right w:val="single" w:color="auto" w:sz="4" w:space="0"/>
                    <w:tl2br w:val="nil"/>
                    <w:tr2bl w:val="nil"/>
                  </w:tcBorders>
                  <w:vAlign w:val="center"/>
                </w:tcPr>
                <w:p>
                  <w:pPr>
                    <w:jc w:val="center"/>
                    <w:rPr>
                      <w:bCs/>
                      <w:color w:val="0000FF"/>
                      <w:kern w:val="0"/>
                      <w:szCs w:val="21"/>
                      <w:highlight w:val="none"/>
                    </w:rPr>
                  </w:pPr>
                </w:p>
              </w:tc>
              <w:tc>
                <w:tcPr>
                  <w:tcW w:w="1579" w:type="dxa"/>
                  <w:tcBorders>
                    <w:left w:val="single" w:color="auto" w:sz="4" w:space="0"/>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去除率（%）</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90</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95</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90</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85</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80</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85</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357" w:hRule="atLeast"/>
                <w:jc w:val="center"/>
              </w:trPr>
              <w:tc>
                <w:tcPr>
                  <w:tcW w:w="1091" w:type="dxa"/>
                  <w:vMerge w:val="restart"/>
                  <w:tcBorders>
                    <w:right w:val="single" w:color="auto" w:sz="4" w:space="0"/>
                    <w:tl2br w:val="nil"/>
                    <w:tr2bl w:val="nil"/>
                  </w:tcBorders>
                  <w:vAlign w:val="center"/>
                </w:tcPr>
                <w:p>
                  <w:pPr>
                    <w:jc w:val="center"/>
                    <w:rPr>
                      <w:rFonts w:hint="default" w:eastAsia="宋体"/>
                      <w:bCs/>
                      <w:color w:val="0000FF"/>
                      <w:kern w:val="0"/>
                      <w:szCs w:val="21"/>
                      <w:highlight w:val="none"/>
                      <w:lang w:val="en-US" w:eastAsia="zh-CN"/>
                    </w:rPr>
                  </w:pPr>
                  <w:r>
                    <w:rPr>
                      <w:rStyle w:val="45"/>
                      <w:rFonts w:hint="eastAsia"/>
                      <w:color w:val="0000FF"/>
                      <w:highlight w:val="none"/>
                      <w:lang w:val="en-US" w:eastAsia="zh-CN"/>
                    </w:rPr>
                    <w:t>臭氧催化氧化</w:t>
                  </w:r>
                </w:p>
              </w:tc>
              <w:tc>
                <w:tcPr>
                  <w:tcW w:w="1579" w:type="dxa"/>
                  <w:tcBorders>
                    <w:left w:val="single" w:color="auto" w:sz="4" w:space="0"/>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出水（mg/L）</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20.4 </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8.5 </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2.6 </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4.03 </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9.0 </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0.46 </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0.1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383" w:hRule="atLeast"/>
                <w:jc w:val="center"/>
              </w:trPr>
              <w:tc>
                <w:tcPr>
                  <w:tcW w:w="1091" w:type="dxa"/>
                  <w:vMerge w:val="continue"/>
                  <w:tcBorders>
                    <w:right w:val="single" w:color="auto" w:sz="4" w:space="0"/>
                    <w:tl2br w:val="nil"/>
                    <w:tr2bl w:val="nil"/>
                  </w:tcBorders>
                  <w:vAlign w:val="center"/>
                </w:tcPr>
                <w:p>
                  <w:pPr>
                    <w:jc w:val="center"/>
                    <w:rPr>
                      <w:color w:val="0000FF"/>
                      <w:kern w:val="0"/>
                      <w:szCs w:val="21"/>
                      <w:highlight w:val="none"/>
                    </w:rPr>
                  </w:pPr>
                </w:p>
              </w:tc>
              <w:tc>
                <w:tcPr>
                  <w:tcW w:w="1579" w:type="dxa"/>
                  <w:tcBorders>
                    <w:left w:val="single" w:color="auto" w:sz="4" w:space="0"/>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去除率（%）</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60</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50</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20</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20</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20</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20</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597" w:hRule="exact"/>
                <w:jc w:val="center"/>
              </w:trPr>
              <w:tc>
                <w:tcPr>
                  <w:tcW w:w="1091" w:type="dxa"/>
                  <w:vMerge w:val="restart"/>
                  <w:tcBorders>
                    <w:tl2br w:val="nil"/>
                    <w:tr2bl w:val="nil"/>
                  </w:tcBorders>
                  <w:vAlign w:val="center"/>
                </w:tcPr>
                <w:p>
                  <w:pPr>
                    <w:autoSpaceDE w:val="0"/>
                    <w:autoSpaceDN w:val="0"/>
                    <w:adjustRightInd w:val="0"/>
                    <w:jc w:val="center"/>
                    <w:rPr>
                      <w:color w:val="0000FF"/>
                      <w:kern w:val="0"/>
                      <w:szCs w:val="21"/>
                      <w:highlight w:val="none"/>
                    </w:rPr>
                  </w:pPr>
                  <w:r>
                    <w:rPr>
                      <w:rFonts w:hint="eastAsia"/>
                      <w:color w:val="0000FF"/>
                      <w:kern w:val="0"/>
                      <w:szCs w:val="21"/>
                      <w:highlight w:val="none"/>
                    </w:rPr>
                    <w:t>系统出水</w:t>
                  </w:r>
                </w:p>
              </w:tc>
              <w:tc>
                <w:tcPr>
                  <w:tcW w:w="157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出水浓度（mg/L）</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20.4 </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8.5 </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2.6 </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4.03 </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9.0 </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0.46 </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default"/>
                      <w:color w:val="0000FF"/>
                      <w:kern w:val="0"/>
                      <w:szCs w:val="21"/>
                      <w:highlight w:val="none"/>
                      <w:lang w:val="en-US" w:eastAsia="zh-CN" w:bidi="ar"/>
                    </w:rPr>
                    <w:t xml:space="preserve">0.1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404" w:hRule="exact"/>
                <w:jc w:val="center"/>
              </w:trPr>
              <w:tc>
                <w:tcPr>
                  <w:tcW w:w="1091" w:type="dxa"/>
                  <w:vMerge w:val="continue"/>
                  <w:tcBorders>
                    <w:tl2br w:val="nil"/>
                    <w:tr2bl w:val="nil"/>
                  </w:tcBorders>
                  <w:vAlign w:val="center"/>
                </w:tcPr>
                <w:p>
                  <w:pPr>
                    <w:autoSpaceDE w:val="0"/>
                    <w:autoSpaceDN w:val="0"/>
                    <w:adjustRightInd w:val="0"/>
                    <w:jc w:val="center"/>
                    <w:rPr>
                      <w:color w:val="0000FF"/>
                      <w:kern w:val="0"/>
                      <w:szCs w:val="21"/>
                      <w:highlight w:val="none"/>
                    </w:rPr>
                  </w:pPr>
                </w:p>
              </w:tc>
              <w:tc>
                <w:tcPr>
                  <w:tcW w:w="157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总去除率（%）</w:t>
                  </w:r>
                </w:p>
              </w:tc>
              <w:tc>
                <w:tcPr>
                  <w:tcW w:w="86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98.56 </w:t>
                  </w:r>
                </w:p>
              </w:tc>
              <w:tc>
                <w:tcPr>
                  <w:tcW w:w="861"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98.87 </w:t>
                  </w:r>
                </w:p>
              </w:tc>
              <w:tc>
                <w:tcPr>
                  <w:tcW w:w="775"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98.70 </w:t>
                  </w:r>
                </w:p>
              </w:tc>
              <w:tc>
                <w:tcPr>
                  <w:tcW w:w="876"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89.80 </w:t>
                  </w:r>
                </w:p>
              </w:tc>
              <w:tc>
                <w:tcPr>
                  <w:tcW w:w="718"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86.40 </w:t>
                  </w:r>
                </w:p>
              </w:tc>
              <w:tc>
                <w:tcPr>
                  <w:tcW w:w="789"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94.00 </w:t>
                  </w:r>
                </w:p>
              </w:tc>
              <w:tc>
                <w:tcPr>
                  <w:tcW w:w="812" w:type="dxa"/>
                  <w:tcBorders>
                    <w:tl2br w:val="nil"/>
                    <w:tr2bl w:val="nil"/>
                  </w:tcBorders>
                  <w:vAlign w:val="center"/>
                </w:tcPr>
                <w:p>
                  <w:pPr>
                    <w:widowControl/>
                    <w:jc w:val="center"/>
                    <w:textAlignment w:val="center"/>
                    <w:rPr>
                      <w:rFonts w:hint="eastAsia"/>
                      <w:color w:val="0000FF"/>
                      <w:kern w:val="0"/>
                      <w:szCs w:val="21"/>
                      <w:highlight w:val="none"/>
                      <w:lang w:val="en-US" w:eastAsia="zh-CN" w:bidi="ar"/>
                    </w:rPr>
                  </w:pPr>
                  <w:r>
                    <w:rPr>
                      <w:rFonts w:hint="eastAsia"/>
                      <w:color w:val="0000FF"/>
                      <w:kern w:val="0"/>
                      <w:szCs w:val="21"/>
                      <w:highlight w:val="none"/>
                      <w:lang w:val="en-US" w:eastAsia="zh-CN" w:bidi="ar"/>
                    </w:rPr>
                    <w:t xml:space="preserve">98.43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8" w:space="0"/>
                </w:tblBorders>
                <w:tblCellMar>
                  <w:top w:w="0" w:type="dxa"/>
                  <w:left w:w="108" w:type="dxa"/>
                  <w:bottom w:w="0" w:type="dxa"/>
                  <w:right w:w="108" w:type="dxa"/>
                </w:tblCellMar>
              </w:tblPrEx>
              <w:trPr>
                <w:cantSplit/>
                <w:trHeight w:val="1290" w:hRule="exact"/>
                <w:jc w:val="center"/>
              </w:trPr>
              <w:tc>
                <w:tcPr>
                  <w:tcW w:w="2670" w:type="dxa"/>
                  <w:gridSpan w:val="2"/>
                  <w:tcBorders>
                    <w:tl2br w:val="nil"/>
                    <w:tr2bl w:val="nil"/>
                  </w:tcBorders>
                  <w:vAlign w:val="center"/>
                </w:tcPr>
                <w:p>
                  <w:pPr>
                    <w:autoSpaceDE w:val="0"/>
                    <w:autoSpaceDN w:val="0"/>
                    <w:adjustRightInd w:val="0"/>
                    <w:jc w:val="center"/>
                    <w:rPr>
                      <w:color w:val="0000FF"/>
                      <w:kern w:val="0"/>
                      <w:szCs w:val="21"/>
                      <w:highlight w:val="none"/>
                    </w:rPr>
                  </w:pPr>
                  <w:r>
                    <w:rPr>
                      <w:rFonts w:hint="eastAsia"/>
                      <w:color w:val="0000FF"/>
                      <w:kern w:val="0"/>
                      <w:szCs w:val="21"/>
                      <w:highlight w:val="none"/>
                    </w:rPr>
                    <w:t>《城镇污水处理厂污染物排放标准》（GB18918-2002）表1中一级A标准</w:t>
                  </w:r>
                </w:p>
              </w:tc>
              <w:tc>
                <w:tcPr>
                  <w:tcW w:w="862"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50</w:t>
                  </w:r>
                </w:p>
              </w:tc>
              <w:tc>
                <w:tcPr>
                  <w:tcW w:w="861"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10</w:t>
                  </w:r>
                </w:p>
              </w:tc>
              <w:tc>
                <w:tcPr>
                  <w:tcW w:w="775"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10</w:t>
                  </w:r>
                </w:p>
              </w:tc>
              <w:tc>
                <w:tcPr>
                  <w:tcW w:w="876"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5</w:t>
                  </w:r>
                </w:p>
              </w:tc>
              <w:tc>
                <w:tcPr>
                  <w:tcW w:w="718"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15</w:t>
                  </w:r>
                </w:p>
              </w:tc>
              <w:tc>
                <w:tcPr>
                  <w:tcW w:w="789"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0.5</w:t>
                  </w:r>
                </w:p>
              </w:tc>
              <w:tc>
                <w:tcPr>
                  <w:tcW w:w="812" w:type="dxa"/>
                  <w:tcBorders>
                    <w:tl2br w:val="nil"/>
                    <w:tr2bl w:val="nil"/>
                  </w:tcBorders>
                  <w:vAlign w:val="center"/>
                </w:tcPr>
                <w:p>
                  <w:pPr>
                    <w:widowControl/>
                    <w:jc w:val="center"/>
                    <w:textAlignment w:val="center"/>
                    <w:rPr>
                      <w:color w:val="0000FF"/>
                      <w:kern w:val="0"/>
                      <w:szCs w:val="21"/>
                      <w:highlight w:val="none"/>
                      <w:lang w:bidi="ar"/>
                    </w:rPr>
                  </w:pPr>
                  <w:r>
                    <w:rPr>
                      <w:rFonts w:hint="eastAsia"/>
                      <w:color w:val="0000FF"/>
                      <w:kern w:val="0"/>
                      <w:szCs w:val="21"/>
                      <w:highlight w:val="none"/>
                      <w:lang w:bidi="ar"/>
                    </w:rPr>
                    <w:t>1</w:t>
                  </w:r>
                </w:p>
              </w:tc>
            </w:tr>
          </w:tbl>
          <w:p>
            <w:pPr>
              <w:pStyle w:val="96"/>
              <w:ind w:firstLine="480"/>
              <w:rPr>
                <w:highlight w:val="none"/>
              </w:rPr>
            </w:pPr>
            <w:r>
              <w:rPr>
                <w:rFonts w:hint="eastAsia"/>
                <w:highlight w:val="none"/>
              </w:rPr>
              <w:t>由上表</w:t>
            </w:r>
            <w:r>
              <w:rPr>
                <w:highlight w:val="none"/>
              </w:rPr>
              <w:t>可知，</w:t>
            </w:r>
            <w:r>
              <w:rPr>
                <w:rFonts w:hint="eastAsia"/>
                <w:highlight w:val="none"/>
              </w:rPr>
              <w:t>项目污水处理设施出口排放水质可达到《城镇污水处理厂污染物排放标准》（GB18918-2002）表1中一级A标准</w:t>
            </w:r>
            <w:r>
              <w:rPr>
                <w:rFonts w:hint="eastAsia"/>
                <w:highlight w:val="none"/>
                <w:lang w:val="en-US" w:eastAsia="zh-CN"/>
              </w:rPr>
              <w:t>要求</w:t>
            </w:r>
            <w:r>
              <w:rPr>
                <w:rFonts w:hint="eastAsia"/>
                <w:highlight w:val="none"/>
              </w:rPr>
              <w:t>，故该污水处理站的工艺可行。</w:t>
            </w:r>
          </w:p>
          <w:p>
            <w:pPr>
              <w:numPr>
                <w:ilvl w:val="0"/>
                <w:numId w:val="7"/>
              </w:numPr>
              <w:spacing w:line="360" w:lineRule="auto"/>
              <w:ind w:firstLine="480" w:firstLineChars="200"/>
              <w:rPr>
                <w:sz w:val="24"/>
                <w:highlight w:val="none"/>
              </w:rPr>
            </w:pPr>
            <w:r>
              <w:rPr>
                <w:sz w:val="24"/>
                <w:highlight w:val="none"/>
              </w:rPr>
              <w:t>废水治理措施可行性</w:t>
            </w:r>
          </w:p>
          <w:p>
            <w:pPr>
              <w:pStyle w:val="96"/>
              <w:ind w:firstLine="480"/>
              <w:rPr>
                <w:highlight w:val="none"/>
              </w:rPr>
            </w:pPr>
            <w:r>
              <w:rPr>
                <w:rFonts w:hint="eastAsia"/>
                <w:highlight w:val="none"/>
              </w:rPr>
              <w:t>本项目的生产废水主要为鸡蛋清洗废水、CIP系统废水、检验废水、地面清洗废水、锅炉排水，本身无毒性，但是含有大量可降解的有机物质，如果该污水不经处理直接排放，就会消耗掉水中的大量的溶解氧，从而造成水体缺氧，危害水体生物的健康。根据水质特点，本项目采用</w:t>
            </w:r>
            <w:r>
              <w:rPr>
                <w:highlight w:val="none"/>
              </w:rPr>
              <w:t>“</w:t>
            </w:r>
            <w:r>
              <w:rPr>
                <w:rFonts w:hint="eastAsia"/>
                <w:highlight w:val="none"/>
              </w:rPr>
              <w:t>兼氧FMBR+催化氧化处理</w:t>
            </w:r>
            <w:r>
              <w:rPr>
                <w:rFonts w:hint="eastAsia"/>
                <w:highlight w:val="none"/>
                <w:lang w:val="en-US" w:eastAsia="zh-CN"/>
              </w:rPr>
              <w:t>工艺</w:t>
            </w:r>
            <w:r>
              <w:rPr>
                <w:highlight w:val="none"/>
              </w:rPr>
              <w:t>”</w:t>
            </w:r>
            <w:r>
              <w:rPr>
                <w:rFonts w:hint="eastAsia"/>
                <w:highlight w:val="none"/>
              </w:rPr>
              <w:t>，通过“物理截留</w:t>
            </w:r>
            <w:r>
              <w:rPr>
                <w:rFonts w:hint="eastAsia"/>
                <w:highlight w:val="none"/>
                <w:lang w:val="en-US" w:eastAsia="zh-CN"/>
              </w:rPr>
              <w:t>+</w:t>
            </w:r>
            <w:r>
              <w:rPr>
                <w:rFonts w:hint="eastAsia"/>
                <w:highlight w:val="none"/>
              </w:rPr>
              <w:t>生物降解+深度过滤</w:t>
            </w:r>
            <w:r>
              <w:rPr>
                <w:rFonts w:hint="eastAsia"/>
                <w:highlight w:val="none"/>
                <w:lang w:val="en-US" w:eastAsia="zh-CN"/>
              </w:rPr>
              <w:t>+</w:t>
            </w:r>
            <w:r>
              <w:rPr>
                <w:rFonts w:hint="eastAsia"/>
                <w:highlight w:val="none"/>
              </w:rPr>
              <w:t>化学</w:t>
            </w:r>
            <w:r>
              <w:rPr>
                <w:rFonts w:hint="eastAsia"/>
                <w:highlight w:val="none"/>
                <w:lang w:val="en-US" w:eastAsia="zh-CN"/>
              </w:rPr>
              <w:t>氧化消毒</w:t>
            </w:r>
            <w:r>
              <w:rPr>
                <w:rFonts w:hint="eastAsia"/>
                <w:highlight w:val="none"/>
              </w:rPr>
              <w:t>”的多元组合，针对蛋液废水高有机物、高悬浮物的难点，实现了从浊水到达标清水（或回用水）的稳定转化，且该污水处理工艺构筑物较少，且运行平稳，管理简单。根据污水处理设施处理效率及预测废水出水水质可知，本项目污水处理设施出口排放水质可达标排放，废水处理措施可行。</w:t>
            </w:r>
          </w:p>
          <w:p>
            <w:pPr>
              <w:pStyle w:val="96"/>
              <w:ind w:firstLine="480"/>
              <w:rPr>
                <w:highlight w:val="none"/>
              </w:rPr>
            </w:pPr>
            <w:r>
              <w:rPr>
                <w:rFonts w:hint="eastAsia"/>
                <w:highlight w:val="none"/>
              </w:rPr>
              <w:t>本项目废水排放量为</w:t>
            </w:r>
            <w:r>
              <w:rPr>
                <w:rFonts w:hint="eastAsia"/>
                <w:highlight w:val="none"/>
                <w:lang w:val="en-US" w:eastAsia="zh-CN"/>
              </w:rPr>
              <w:t>142.12</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sz w:val="24"/>
                <w:szCs w:val="24"/>
                <w:highlight w:val="none"/>
              </w:rPr>
              <w:t>/d</w:t>
            </w:r>
            <w:r>
              <w:rPr>
                <w:rFonts w:hint="eastAsia"/>
                <w:highlight w:val="none"/>
              </w:rPr>
              <w:t>，污水处理站设计处理规模为200</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sz w:val="24"/>
                <w:szCs w:val="24"/>
                <w:highlight w:val="none"/>
              </w:rPr>
              <w:t>/d</w:t>
            </w:r>
            <w:r>
              <w:rPr>
                <w:rFonts w:hint="eastAsia"/>
                <w:highlight w:val="none"/>
              </w:rPr>
              <w:t>，污水处理站设计处理能力可满足项目废水处理要求。</w:t>
            </w:r>
          </w:p>
          <w:p>
            <w:pPr>
              <w:numPr>
                <w:ilvl w:val="0"/>
                <w:numId w:val="7"/>
              </w:numPr>
              <w:spacing w:line="360" w:lineRule="auto"/>
              <w:ind w:firstLine="480" w:firstLineChars="200"/>
              <w:rPr>
                <w:kern w:val="0"/>
                <w:sz w:val="24"/>
                <w:highlight w:val="none"/>
              </w:rPr>
            </w:pPr>
            <w:r>
              <w:rPr>
                <w:rFonts w:hint="eastAsia"/>
                <w:kern w:val="0"/>
                <w:sz w:val="24"/>
                <w:highlight w:val="none"/>
              </w:rPr>
              <w:t>废水排放去向的可行性分析</w:t>
            </w:r>
          </w:p>
          <w:p>
            <w:pPr>
              <w:pStyle w:val="96"/>
              <w:ind w:firstLine="480"/>
              <w:rPr>
                <w:highlight w:val="none"/>
              </w:rPr>
            </w:pPr>
            <w:r>
              <w:rPr>
                <w:rFonts w:hint="eastAsia"/>
                <w:highlight w:val="none"/>
              </w:rPr>
              <w:t>本项目生产过程中产生的</w:t>
            </w:r>
            <w:r>
              <w:rPr>
                <w:highlight w:val="none"/>
              </w:rPr>
              <w:t>鸡蛋清洗废水、CIP系统废水、检验废水、地面清洗废水、锅炉排水</w:t>
            </w:r>
            <w:r>
              <w:rPr>
                <w:rFonts w:hint="eastAsia"/>
                <w:highlight w:val="none"/>
              </w:rPr>
              <w:t>与经化粪池预处理后的</w:t>
            </w:r>
            <w:r>
              <w:rPr>
                <w:highlight w:val="none"/>
              </w:rPr>
              <w:t>生活污水</w:t>
            </w:r>
            <w:r>
              <w:rPr>
                <w:rFonts w:hint="eastAsia"/>
                <w:highlight w:val="none"/>
              </w:rPr>
              <w:t>一起排入</w:t>
            </w:r>
            <w:r>
              <w:rPr>
                <w:highlight w:val="none"/>
              </w:rPr>
              <w:t>厂区污水处理站处理，达到</w:t>
            </w:r>
            <w:r>
              <w:rPr>
                <w:rFonts w:hint="default" w:ascii="Times New Roman" w:hAnsi="Times New Roman" w:eastAsia="宋体" w:cs="Times New Roman"/>
                <w:color w:val="0000FF"/>
                <w:highlight w:val="none"/>
              </w:rPr>
              <w:t>《城镇污水处理厂污染物排放标准》（GB18918-2002）表1中一级A标准，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highlight w:val="none"/>
              </w:rPr>
              <w:t>后，</w:t>
            </w:r>
            <w:r>
              <w:rPr>
                <w:rFonts w:hint="eastAsia"/>
                <w:highlight w:val="none"/>
              </w:rPr>
              <w:t>部分回用于厂区绿化，其余</w:t>
            </w:r>
            <w:r>
              <w:rPr>
                <w:highlight w:val="none"/>
              </w:rPr>
              <w:t>外排至</w:t>
            </w:r>
            <w:r>
              <w:rPr>
                <w:rFonts w:hint="eastAsia"/>
                <w:highlight w:val="none"/>
              </w:rPr>
              <w:t>企业租用的</w:t>
            </w:r>
            <w:r>
              <w:rPr>
                <w:highlight w:val="none"/>
              </w:rPr>
              <w:t>池塘</w:t>
            </w:r>
            <w:r>
              <w:rPr>
                <w:rFonts w:hint="eastAsia"/>
                <w:highlight w:val="none"/>
              </w:rPr>
              <w:t>后</w:t>
            </w:r>
            <w:r>
              <w:rPr>
                <w:highlight w:val="none"/>
              </w:rPr>
              <w:t>用于</w:t>
            </w:r>
            <w:r>
              <w:rPr>
                <w:rFonts w:hint="eastAsia"/>
                <w:highlight w:val="none"/>
              </w:rPr>
              <w:t>周边</w:t>
            </w:r>
            <w:r>
              <w:rPr>
                <w:highlight w:val="none"/>
              </w:rPr>
              <w:t>农田灌溉。</w:t>
            </w:r>
          </w:p>
          <w:p>
            <w:pPr>
              <w:numPr>
                <w:ilvl w:val="0"/>
                <w:numId w:val="0"/>
              </w:numPr>
              <w:spacing w:line="360" w:lineRule="auto"/>
              <w:ind w:firstLine="480" w:firstLineChars="200"/>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1）环保合规性</w:t>
            </w:r>
          </w:p>
          <w:p>
            <w:pPr>
              <w:spacing w:line="360" w:lineRule="auto"/>
              <w:ind w:firstLine="480" w:firstLineChars="200"/>
              <w:rPr>
                <w:sz w:val="24"/>
                <w:highlight w:val="none"/>
              </w:rPr>
            </w:pPr>
            <w:r>
              <w:rPr>
                <w:rFonts w:hint="eastAsia"/>
                <w:sz w:val="24"/>
                <w:highlight w:val="none"/>
              </w:rPr>
              <w:t>项目废水以鸡蛋清洗废水、</w:t>
            </w:r>
            <w:r>
              <w:rPr>
                <w:sz w:val="24"/>
                <w:highlight w:val="none"/>
              </w:rPr>
              <w:t>CIP系统废水</w:t>
            </w:r>
            <w:r>
              <w:rPr>
                <w:rFonts w:hint="eastAsia"/>
                <w:sz w:val="24"/>
                <w:highlight w:val="none"/>
              </w:rPr>
              <w:t>等生产废水及生活污水为主，废水不含有毒有害、难降解污染物，经处理后污染物浓度已大幅降低，且无重金属超标风险，属于清洁再生水。与农田灌溉所需水源性质匹配，不会导致土壤板结、农作物污染，也不会通过农作物累积危害人体健康，符合非常规水资源循环利用的可持续发展要求。</w:t>
            </w:r>
          </w:p>
          <w:p>
            <w:pPr>
              <w:spacing w:line="360" w:lineRule="auto"/>
              <w:ind w:firstLine="480" w:firstLineChars="200"/>
              <w:rPr>
                <w:sz w:val="24"/>
                <w:highlight w:val="none"/>
              </w:rPr>
            </w:pPr>
            <w:r>
              <w:rPr>
                <w:rFonts w:hint="eastAsia"/>
                <w:sz w:val="24"/>
                <w:highlight w:val="none"/>
              </w:rPr>
              <w:t>项目废水经厂区污水处理站处理后，外排废水各项污染物指标均能达到《城镇污水处理厂污染物排放标准》（GB18918-2002）表1一级A标准</w:t>
            </w:r>
            <w:r>
              <w:rPr>
                <w:rFonts w:hint="default" w:ascii="Times New Roman" w:hAnsi="Times New Roman" w:eastAsia="宋体" w:cs="Times New Roman"/>
                <w:sz w:val="24"/>
                <w:highlight w:val="none"/>
              </w:rPr>
              <w:t>，</w:t>
            </w:r>
            <w:r>
              <w:rPr>
                <w:rFonts w:hint="default" w:ascii="Times New Roman" w:hAnsi="Times New Roman" w:eastAsia="宋体" w:cs="Times New Roman"/>
                <w:sz w:val="24"/>
                <w:highlight w:val="none"/>
                <w:lang w:val="en-US" w:eastAsia="zh-CN"/>
              </w:rPr>
              <w:t>其中pH值从严执行6~8.5</w:t>
            </w:r>
            <w:r>
              <w:rPr>
                <w:rFonts w:hint="eastAsia"/>
                <w:sz w:val="24"/>
                <w:highlight w:val="none"/>
              </w:rPr>
              <w:t>。项目排水不会对农作物生长、土壤环境造成不利影响，符合《农田灌溉水质标准》（GB5084-2021）中对农产品加工废水用于农田灌溉的水质管控要求，也契合《中华人民共和国水污染防治法》第五十一条“向农田灌溉渠道排放工业废水和城镇污水，应当保证其下游最近的灌溉取水点的水质符合农田灌溉水质标准”的规定，也符合鄱阳湖生态经济区“节水减排、循环利用”的生态环境保护要求，有助于提升区域水资源利用效率。</w:t>
            </w:r>
          </w:p>
          <w:p>
            <w:pPr>
              <w:numPr>
                <w:ilvl w:val="0"/>
                <w:numId w:val="0"/>
              </w:numPr>
              <w:spacing w:line="360" w:lineRule="auto"/>
              <w:ind w:firstLine="480" w:firstLineChars="200"/>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因此，项目出水暂存及农田灌溉行为严格遵循国家及地方相关环保法律法规、标准及政策要求。</w:t>
            </w:r>
          </w:p>
          <w:p>
            <w:pPr>
              <w:numPr>
                <w:ilvl w:val="0"/>
                <w:numId w:val="8"/>
              </w:numPr>
              <w:spacing w:line="360" w:lineRule="auto"/>
              <w:ind w:firstLine="480" w:firstLineChars="200"/>
              <w:rPr>
                <w:rFonts w:hint="eastAsia" w:ascii="Times New Roman" w:hAnsi="Times New Roman" w:eastAsia="宋体" w:cs="Times New Roman"/>
                <w:b w:val="0"/>
                <w:bCs w:val="0"/>
                <w:color w:val="0000FF"/>
                <w:sz w:val="24"/>
                <w:highlight w:val="none"/>
                <w:lang w:val="en-US" w:eastAsia="zh-CN"/>
              </w:rPr>
            </w:pPr>
            <w:r>
              <w:rPr>
                <w:rFonts w:hint="eastAsia" w:ascii="Times New Roman" w:hAnsi="Times New Roman" w:eastAsia="宋体" w:cs="Times New Roman"/>
                <w:b w:val="0"/>
                <w:bCs w:val="0"/>
                <w:color w:val="0000FF"/>
                <w:sz w:val="24"/>
                <w:highlight w:val="none"/>
                <w:lang w:val="en-US" w:eastAsia="zh-CN"/>
              </w:rPr>
              <w:t>池塘暂存可行性</w:t>
            </w:r>
          </w:p>
          <w:p>
            <w:pPr>
              <w:pStyle w:val="96"/>
              <w:bidi w:val="0"/>
              <w:rPr>
                <w:rFonts w:hint="eastAsia"/>
                <w:color w:val="0000FF"/>
                <w:highlight w:val="none"/>
                <w:lang w:val="en-US" w:eastAsia="zh-CN"/>
              </w:rPr>
            </w:pPr>
            <w:r>
              <w:rPr>
                <w:rFonts w:hint="eastAsia"/>
                <w:color w:val="0000FF"/>
                <w:highlight w:val="none"/>
                <w:lang w:val="en-US" w:eastAsia="zh-CN"/>
              </w:rPr>
              <w:t>建设单位已与周边村集体签订了</w:t>
            </w:r>
            <w:r>
              <w:rPr>
                <w:rFonts w:hint="eastAsia"/>
                <w:color w:val="0000FF"/>
                <w:highlight w:val="none"/>
              </w:rPr>
              <w:t>厂区附近2座</w:t>
            </w:r>
            <w:r>
              <w:rPr>
                <w:rFonts w:hint="eastAsia"/>
                <w:color w:val="0000FF"/>
                <w:highlight w:val="none"/>
                <w:lang w:val="en-US" w:eastAsia="zh-CN"/>
              </w:rPr>
              <w:t>池塘租用协议，</w:t>
            </w:r>
            <w:r>
              <w:rPr>
                <w:rFonts w:hint="eastAsia"/>
                <w:color w:val="0000FF"/>
                <w:highlight w:val="none"/>
              </w:rPr>
              <w:t>用于收纳项目废水用于周边农田灌溉（池塘租赁证明及合同见附件十一）</w:t>
            </w:r>
            <w:r>
              <w:rPr>
                <w:rFonts w:hint="eastAsia"/>
                <w:color w:val="0000FF"/>
                <w:highlight w:val="none"/>
                <w:lang w:eastAsia="zh-CN"/>
              </w:rPr>
              <w:t>。</w:t>
            </w:r>
            <w:r>
              <w:rPr>
                <w:rFonts w:hint="eastAsia"/>
                <w:color w:val="0000FF"/>
                <w:highlight w:val="none"/>
                <w:lang w:val="en-US" w:eastAsia="zh-CN"/>
              </w:rPr>
              <w:t>2坐池塘分别位于厂区西北角及东侧，总有效容积约1.8万</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lang w:val="en-US" w:eastAsia="zh-CN"/>
              </w:rPr>
              <w:t>。经现场踏勘，池塘周边无饮用水源保护区、生态敏感区等禁止或限制排污区域，选址符合区域环境功能规划及鄱阳湖生态经济区滨湖控制开发带的管控要求。</w:t>
            </w:r>
          </w:p>
          <w:p>
            <w:pPr>
              <w:pStyle w:val="96"/>
              <w:bidi w:val="0"/>
              <w:rPr>
                <w:rFonts w:hint="eastAsia"/>
                <w:color w:val="0000FF"/>
                <w:highlight w:val="none"/>
                <w:lang w:val="en-US" w:eastAsia="zh-CN"/>
              </w:rPr>
            </w:pPr>
            <w:r>
              <w:rPr>
                <w:rFonts w:hint="eastAsia"/>
                <w:color w:val="0000FF"/>
                <w:highlight w:val="none"/>
                <w:lang w:val="en-US" w:eastAsia="zh-CN"/>
              </w:rPr>
              <w:t>本项目废水处理达标后约5%回用于厂区绿化，其余95%废水经管道外排至厂区周边池塘暂存，则项目废水外排量约136.03</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lang w:val="en-US" w:eastAsia="zh-CN"/>
              </w:rPr>
              <w:t>/d（40809</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lang w:val="en-US" w:eastAsia="zh-CN"/>
              </w:rPr>
              <w:t>/a）。考虑鄱阳湖滨湖地区的气候特点，非灌溉期以120天计，非灌溉期项目废水暂存量约16323.6</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lang w:val="en-US" w:eastAsia="zh-CN"/>
              </w:rPr>
              <w:t>，企业租用的2个池塘的有效容积为1.8万</w:t>
            </w:r>
            <w:r>
              <w:rPr>
                <w:rFonts w:eastAsia="Times New Roman"/>
                <w:spacing w:val="-5"/>
                <w:sz w:val="24"/>
                <w:szCs w:val="24"/>
                <w:highlight w:val="none"/>
              </w:rPr>
              <w:t>m</w:t>
            </w:r>
            <w:r>
              <w:rPr>
                <w:rFonts w:hint="eastAsia" w:eastAsia="宋体"/>
                <w:spacing w:val="-5"/>
                <w:sz w:val="24"/>
                <w:szCs w:val="24"/>
                <w:highlight w:val="none"/>
                <w:vertAlign w:val="superscript"/>
                <w:lang w:val="en-US" w:eastAsia="zh-CN"/>
              </w:rPr>
              <w:t>3</w:t>
            </w:r>
            <w:r>
              <w:rPr>
                <w:rFonts w:hint="eastAsia"/>
                <w:color w:val="0000FF"/>
                <w:highlight w:val="none"/>
                <w:lang w:val="en-US" w:eastAsia="zh-CN"/>
              </w:rPr>
              <w:t>，能够容纳非灌溉期的全部出水，可满足项目污水处理站出水暂存需求，避免出现溢排现象。暂存期间，出水可通过自然曝气进一步降解少量污染物，提升水质稳定性，为后续农田灌溉提供更优质的水源。</w:t>
            </w:r>
          </w:p>
          <w:p>
            <w:pPr>
              <w:pStyle w:val="96"/>
              <w:bidi w:val="0"/>
              <w:rPr>
                <w:rFonts w:hint="eastAsia"/>
                <w:color w:val="0000FF"/>
                <w:highlight w:val="none"/>
                <w:lang w:val="en-US" w:eastAsia="zh-CN"/>
              </w:rPr>
            </w:pPr>
            <w:r>
              <w:rPr>
                <w:rFonts w:hint="eastAsia"/>
                <w:color w:val="0000FF"/>
                <w:highlight w:val="none"/>
                <w:lang w:val="en-US" w:eastAsia="zh-CN"/>
              </w:rPr>
              <w:t>环评建议项目将建立池塘暂存管理制度，定期对池塘水质进行监测，重点监控pH、悬浮物、粪大肠菌群等关键指标，及时清理池塘内漂浮物、沉淀物，防止水质恶化；同时设置警示标识，严禁无关人员接触暂存污水，避免安全及环境风险，确保暂存过程规范可控。</w:t>
            </w:r>
          </w:p>
          <w:p>
            <w:pPr>
              <w:pStyle w:val="96"/>
              <w:bidi w:val="0"/>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综上所述，厂区周边池塘作为出水暂存载体，其选址、设施条件及暂存方式均符合环保要求，可实现项目出水的安全暂存。</w:t>
            </w:r>
          </w:p>
          <w:p>
            <w:pPr>
              <w:numPr>
                <w:ilvl w:val="0"/>
                <w:numId w:val="8"/>
              </w:numPr>
              <w:spacing w:line="360" w:lineRule="auto"/>
              <w:ind w:left="0" w:leftChars="0" w:firstLine="480" w:firstLineChars="200"/>
              <w:rPr>
                <w:rFonts w:hint="eastAsia" w:ascii="Times New Roman" w:hAnsi="Times New Roman" w:eastAsia="宋体" w:cs="Times New Roman"/>
                <w:b w:val="0"/>
                <w:bCs w:val="0"/>
                <w:color w:val="0000FF"/>
                <w:sz w:val="24"/>
                <w:highlight w:val="none"/>
                <w:lang w:val="en-US" w:eastAsia="zh-CN"/>
              </w:rPr>
            </w:pPr>
            <w:r>
              <w:rPr>
                <w:rFonts w:hint="eastAsia" w:ascii="Times New Roman" w:hAnsi="Times New Roman" w:eastAsia="宋体" w:cs="Times New Roman"/>
                <w:b w:val="0"/>
                <w:bCs w:val="0"/>
                <w:color w:val="0000FF"/>
                <w:sz w:val="24"/>
                <w:highlight w:val="none"/>
                <w:lang w:val="en-US" w:eastAsia="zh-CN"/>
              </w:rPr>
              <w:t>农田灌溉可行性</w:t>
            </w:r>
          </w:p>
          <w:p>
            <w:pPr>
              <w:pStyle w:val="96"/>
              <w:bidi w:val="0"/>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项目污水处理站出水已满足《农田灌溉水质标准》（GB5084-2021）表1水田作物限值要求，适配区域主要水田作物的生长需求，灌溉后可补充农田水分，同时出水</w:t>
            </w:r>
            <w:r>
              <w:rPr>
                <w:rFonts w:hint="eastAsia" w:cs="Times New Roman"/>
                <w:color w:val="0000FF"/>
                <w:highlight w:val="none"/>
                <w:lang w:val="en-US" w:eastAsia="zh-CN"/>
              </w:rPr>
              <w:t>含有</w:t>
            </w:r>
            <w:r>
              <w:rPr>
                <w:rFonts w:hint="eastAsia" w:ascii="Times New Roman" w:hAnsi="Times New Roman" w:eastAsia="宋体" w:cs="Times New Roman"/>
                <w:color w:val="0000FF"/>
                <w:highlight w:val="none"/>
                <w:lang w:val="en-US" w:eastAsia="zh-CN"/>
              </w:rPr>
              <w:t>少量氮、磷等营养物质，可作为农田天然有机肥，减少化肥使用量，实现“变废为宝”，契合生态农业发展理念。</w:t>
            </w:r>
          </w:p>
          <w:p>
            <w:pPr>
              <w:pStyle w:val="96"/>
              <w:bidi w:val="0"/>
              <w:rPr>
                <w:rFonts w:hint="eastAsia"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企业租用的池塘周边主要为农田种植，周边农田与暂存池塘距离较近，可通过管道、沟渠等方式实现便捷灌溉，灌溉范围可控，不会出现污水漫流的情况；灌溉方式采用漫灌或滴灌，可根据农作物生长需求合理控制灌溉量，避免水资源浪费，同时减少出水对周边土壤、植被的影响。</w:t>
            </w:r>
          </w:p>
          <w:p>
            <w:pPr>
              <w:pStyle w:val="96"/>
              <w:ind w:firstLine="480"/>
              <w:rPr>
                <w:color w:val="0000FF"/>
                <w:highlight w:val="none"/>
              </w:rPr>
            </w:pPr>
            <w:r>
              <w:rPr>
                <w:rFonts w:hint="eastAsia"/>
                <w:color w:val="0000FF"/>
                <w:highlight w:val="none"/>
              </w:rPr>
              <w:t>综上所述，项目外排废水各项污染物指标均能达到《城镇污水处理厂污染物排放标准》（GB18918-2002）表1一级A标准</w:t>
            </w:r>
            <w:r>
              <w:rPr>
                <w:rFonts w:hint="default" w:ascii="Times New Roman" w:hAnsi="Times New Roman" w:eastAsia="宋体" w:cs="Times New Roman"/>
                <w:color w:val="0000FF"/>
                <w:highlight w:val="none"/>
              </w:rPr>
              <w:t>，</w:t>
            </w:r>
            <w:r>
              <w:rPr>
                <w:rFonts w:hint="default" w:ascii="Times New Roman" w:hAnsi="Times New Roman" w:eastAsia="宋体" w:cs="Times New Roman"/>
                <w:color w:val="0000FF"/>
                <w:highlight w:val="none"/>
                <w:lang w:val="en-US" w:eastAsia="zh-CN"/>
              </w:rPr>
              <w:t>其中pH值从严执行6~8.5</w:t>
            </w:r>
            <w:r>
              <w:rPr>
                <w:rFonts w:hint="eastAsia" w:ascii="Times New Roman" w:hAnsi="Times New Roman" w:eastAsia="宋体" w:cs="Times New Roman"/>
                <w:color w:val="0000FF"/>
                <w:highlight w:val="none"/>
                <w:lang w:val="en-US" w:eastAsia="zh-CN"/>
              </w:rPr>
              <w:t>，水质清洁、无有毒有害污染物，适配农田灌溉需求</w:t>
            </w:r>
            <w:r>
              <w:rPr>
                <w:rFonts w:hint="eastAsia"/>
                <w:color w:val="0000FF"/>
                <w:highlight w:val="none"/>
              </w:rPr>
              <w:t>。</w:t>
            </w:r>
            <w:r>
              <w:rPr>
                <w:rFonts w:hint="eastAsia" w:ascii="Times New Roman" w:hAnsi="Times New Roman" w:eastAsia="宋体" w:cs="Times New Roman"/>
                <w:color w:val="0000FF"/>
                <w:highlight w:val="none"/>
                <w:lang w:val="en-US" w:eastAsia="zh-CN"/>
              </w:rPr>
              <w:t>周边池塘暂存容积充足，可实现出水安全暂存。</w:t>
            </w:r>
            <w:r>
              <w:rPr>
                <w:rFonts w:hint="eastAsia"/>
                <w:color w:val="0000FF"/>
                <w:highlight w:val="none"/>
              </w:rPr>
              <w:t>项目废水外排至企业租用的池塘后用于农田灌溉，符合国家及地方相关环保法律法规、标准及政策要求，项目污水处理站出水排放至企业租用的池塘后用于农田灌溉可行。</w:t>
            </w:r>
          </w:p>
          <w:p>
            <w:pPr>
              <w:spacing w:line="360" w:lineRule="auto"/>
              <w:ind w:firstLine="480" w:firstLineChars="200"/>
              <w:rPr>
                <w:sz w:val="24"/>
                <w:highlight w:val="none"/>
              </w:rPr>
            </w:pPr>
            <w:r>
              <w:rPr>
                <w:rFonts w:hint="eastAsia"/>
                <w:sz w:val="24"/>
                <w:highlight w:val="none"/>
              </w:rPr>
              <w:t>（6）</w:t>
            </w:r>
            <w:r>
              <w:rPr>
                <w:sz w:val="24"/>
                <w:highlight w:val="none"/>
              </w:rPr>
              <w:t>废水监测计划</w:t>
            </w:r>
            <w:r>
              <w:rPr>
                <w:rFonts w:hint="eastAsia"/>
                <w:sz w:val="24"/>
                <w:highlight w:val="none"/>
              </w:rPr>
              <w:t xml:space="preserve"> </w:t>
            </w:r>
          </w:p>
          <w:p>
            <w:pPr>
              <w:spacing w:line="360" w:lineRule="auto"/>
              <w:ind w:firstLine="480" w:firstLineChars="200"/>
              <w:rPr>
                <w:sz w:val="24"/>
                <w:highlight w:val="none"/>
              </w:rPr>
            </w:pPr>
            <w:r>
              <w:rPr>
                <w:sz w:val="24"/>
                <w:highlight w:val="none"/>
              </w:rPr>
              <w:t>为掌握废水各种污染物的排放情况，如排放量或排放浓度是否符合相应的环境标准，并为控制污染和保护环境提供科学依据，环评要求项目运营期应制定废水监测计划，</w:t>
            </w:r>
            <w:r>
              <w:rPr>
                <w:kern w:val="0"/>
                <w:sz w:val="24"/>
                <w:highlight w:val="none"/>
                <w:lang w:bidi="ar"/>
              </w:rPr>
              <w:t>根据《排污单位自行监测技术指南</w:t>
            </w:r>
            <w:r>
              <w:rPr>
                <w:rFonts w:hint="eastAsia"/>
                <w:kern w:val="0"/>
                <w:sz w:val="24"/>
                <w:highlight w:val="none"/>
                <w:lang w:bidi="ar"/>
              </w:rPr>
              <w:t xml:space="preserve"> </w:t>
            </w:r>
            <w:r>
              <w:rPr>
                <w:kern w:val="0"/>
                <w:sz w:val="24"/>
                <w:highlight w:val="none"/>
                <w:lang w:bidi="ar"/>
              </w:rPr>
              <w:t>总则》（HJ 819-2017）</w:t>
            </w:r>
            <w:r>
              <w:rPr>
                <w:rFonts w:hint="eastAsia"/>
                <w:kern w:val="0"/>
                <w:sz w:val="24"/>
                <w:highlight w:val="none"/>
                <w:lang w:bidi="ar"/>
              </w:rPr>
              <w:t>、</w:t>
            </w:r>
            <w:r>
              <w:rPr>
                <w:rFonts w:hint="eastAsia"/>
                <w:sz w:val="24"/>
                <w:highlight w:val="none"/>
              </w:rPr>
              <w:t>《排污单位自行监测技术指南 农副食品加工业》（HJ986-2018）</w:t>
            </w:r>
            <w:r>
              <w:rPr>
                <w:kern w:val="0"/>
                <w:sz w:val="24"/>
                <w:highlight w:val="none"/>
                <w:lang w:bidi="ar"/>
              </w:rPr>
              <w:t>相关要求，本项目建成投产后，建设单位应按照表</w:t>
            </w:r>
            <w:r>
              <w:rPr>
                <w:rFonts w:hint="eastAsia"/>
                <w:kern w:val="0"/>
                <w:sz w:val="24"/>
                <w:highlight w:val="none"/>
                <w:lang w:bidi="ar"/>
              </w:rPr>
              <w:t>4-11</w:t>
            </w:r>
            <w:r>
              <w:rPr>
                <w:kern w:val="0"/>
                <w:sz w:val="24"/>
                <w:highlight w:val="none"/>
                <w:lang w:bidi="ar"/>
              </w:rPr>
              <w:t>执行废水污染源监测计划。</w:t>
            </w:r>
          </w:p>
          <w:p>
            <w:pPr>
              <w:ind w:firstLine="422"/>
              <w:jc w:val="center"/>
              <w:rPr>
                <w:b/>
                <w:sz w:val="24"/>
                <w:highlight w:val="none"/>
              </w:rPr>
            </w:pPr>
            <w:r>
              <w:rPr>
                <w:b/>
                <w:sz w:val="24"/>
                <w:highlight w:val="none"/>
              </w:rPr>
              <w:t>表4</w:t>
            </w:r>
            <w:r>
              <w:rPr>
                <w:rFonts w:hint="eastAsia"/>
                <w:b/>
                <w:sz w:val="24"/>
                <w:highlight w:val="none"/>
              </w:rPr>
              <w:t xml:space="preserve">-11 </w:t>
            </w:r>
            <w:r>
              <w:rPr>
                <w:b/>
                <w:sz w:val="24"/>
                <w:highlight w:val="none"/>
              </w:rPr>
              <w:t xml:space="preserve"> 项目运营期环境监测计划</w:t>
            </w:r>
          </w:p>
          <w:tbl>
            <w:tblPr>
              <w:tblStyle w:val="39"/>
              <w:tblW w:w="4998"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373"/>
              <w:gridCol w:w="2175"/>
              <w:gridCol w:w="1224"/>
              <w:gridCol w:w="2830"/>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52" w:type="pct"/>
                  <w:tcBorders>
                    <w:tl2br w:val="nil"/>
                    <w:tr2bl w:val="nil"/>
                  </w:tcBorders>
                  <w:vAlign w:val="center"/>
                </w:tcPr>
                <w:p>
                  <w:pPr>
                    <w:adjustRightInd w:val="0"/>
                    <w:snapToGrid w:val="0"/>
                    <w:jc w:val="center"/>
                    <w:rPr>
                      <w:b/>
                      <w:szCs w:val="21"/>
                      <w:highlight w:val="none"/>
                    </w:rPr>
                  </w:pPr>
                  <w:r>
                    <w:rPr>
                      <w:b/>
                      <w:szCs w:val="21"/>
                      <w:highlight w:val="none"/>
                    </w:rPr>
                    <w:t>类别</w:t>
                  </w:r>
                </w:p>
              </w:tc>
              <w:tc>
                <w:tcPr>
                  <w:tcW w:w="821" w:type="pct"/>
                  <w:tcBorders>
                    <w:tl2br w:val="nil"/>
                    <w:tr2bl w:val="nil"/>
                  </w:tcBorders>
                  <w:vAlign w:val="center"/>
                </w:tcPr>
                <w:p>
                  <w:pPr>
                    <w:adjustRightInd w:val="0"/>
                    <w:snapToGrid w:val="0"/>
                    <w:jc w:val="center"/>
                    <w:rPr>
                      <w:b/>
                      <w:szCs w:val="21"/>
                      <w:highlight w:val="none"/>
                    </w:rPr>
                  </w:pPr>
                  <w:r>
                    <w:rPr>
                      <w:b/>
                      <w:szCs w:val="21"/>
                      <w:highlight w:val="none"/>
                    </w:rPr>
                    <w:t>监测位点</w:t>
                  </w:r>
                </w:p>
              </w:tc>
              <w:tc>
                <w:tcPr>
                  <w:tcW w:w="1300" w:type="pct"/>
                  <w:tcBorders>
                    <w:tl2br w:val="nil"/>
                    <w:tr2bl w:val="nil"/>
                  </w:tcBorders>
                  <w:vAlign w:val="center"/>
                </w:tcPr>
                <w:p>
                  <w:pPr>
                    <w:adjustRightInd w:val="0"/>
                    <w:snapToGrid w:val="0"/>
                    <w:jc w:val="center"/>
                    <w:rPr>
                      <w:b/>
                      <w:szCs w:val="21"/>
                      <w:highlight w:val="none"/>
                    </w:rPr>
                  </w:pPr>
                  <w:r>
                    <w:rPr>
                      <w:b/>
                      <w:szCs w:val="21"/>
                      <w:highlight w:val="none"/>
                    </w:rPr>
                    <w:t>监测项目</w:t>
                  </w:r>
                </w:p>
              </w:tc>
              <w:tc>
                <w:tcPr>
                  <w:tcW w:w="732" w:type="pct"/>
                  <w:tcBorders>
                    <w:tl2br w:val="nil"/>
                    <w:tr2bl w:val="nil"/>
                  </w:tcBorders>
                  <w:vAlign w:val="center"/>
                </w:tcPr>
                <w:p>
                  <w:pPr>
                    <w:adjustRightInd w:val="0"/>
                    <w:snapToGrid w:val="0"/>
                    <w:jc w:val="center"/>
                    <w:rPr>
                      <w:b/>
                      <w:szCs w:val="21"/>
                      <w:highlight w:val="none"/>
                    </w:rPr>
                  </w:pPr>
                  <w:r>
                    <w:rPr>
                      <w:b/>
                      <w:szCs w:val="21"/>
                      <w:highlight w:val="none"/>
                    </w:rPr>
                    <w:t>监测频率</w:t>
                  </w:r>
                </w:p>
              </w:tc>
              <w:tc>
                <w:tcPr>
                  <w:tcW w:w="1692" w:type="pct"/>
                  <w:tcBorders>
                    <w:tl2br w:val="nil"/>
                    <w:tr2bl w:val="nil"/>
                  </w:tcBorders>
                  <w:vAlign w:val="center"/>
                </w:tcPr>
                <w:p>
                  <w:pPr>
                    <w:pStyle w:val="57"/>
                    <w:rPr>
                      <w:b/>
                      <w:szCs w:val="21"/>
                      <w:highlight w:val="none"/>
                    </w:rPr>
                  </w:pPr>
                  <w:r>
                    <w:rPr>
                      <w:b/>
                      <w:bCs/>
                      <w:highlight w:val="none"/>
                    </w:rPr>
                    <w:t>执行排放标准</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l2br w:val="nil"/>
                    <w:tr2bl w:val="nil"/>
                  </w:tcBorders>
                  <w:vAlign w:val="center"/>
                </w:tcPr>
                <w:p>
                  <w:pPr>
                    <w:adjustRightInd w:val="0"/>
                    <w:snapToGrid w:val="0"/>
                    <w:jc w:val="center"/>
                    <w:rPr>
                      <w:szCs w:val="21"/>
                      <w:highlight w:val="none"/>
                    </w:rPr>
                  </w:pPr>
                  <w:r>
                    <w:rPr>
                      <w:szCs w:val="21"/>
                      <w:highlight w:val="none"/>
                    </w:rPr>
                    <w:t>废水</w:t>
                  </w:r>
                </w:p>
              </w:tc>
              <w:tc>
                <w:tcPr>
                  <w:tcW w:w="821" w:type="pct"/>
                  <w:tcBorders>
                    <w:tl2br w:val="nil"/>
                    <w:tr2bl w:val="nil"/>
                  </w:tcBorders>
                  <w:vAlign w:val="center"/>
                </w:tcPr>
                <w:p>
                  <w:pPr>
                    <w:adjustRightInd w:val="0"/>
                    <w:snapToGrid w:val="0"/>
                    <w:jc w:val="center"/>
                    <w:rPr>
                      <w:szCs w:val="21"/>
                      <w:highlight w:val="none"/>
                    </w:rPr>
                  </w:pPr>
                  <w:r>
                    <w:rPr>
                      <w:szCs w:val="21"/>
                      <w:highlight w:val="none"/>
                    </w:rPr>
                    <w:t>废水</w:t>
                  </w:r>
                  <w:r>
                    <w:rPr>
                      <w:rFonts w:hint="eastAsia"/>
                      <w:szCs w:val="21"/>
                      <w:highlight w:val="none"/>
                    </w:rPr>
                    <w:t>总</w:t>
                  </w:r>
                  <w:r>
                    <w:rPr>
                      <w:szCs w:val="21"/>
                      <w:highlight w:val="none"/>
                    </w:rPr>
                    <w:t>排放口</w:t>
                  </w:r>
                  <w:r>
                    <w:rPr>
                      <w:rFonts w:hint="eastAsia"/>
                      <w:szCs w:val="21"/>
                      <w:highlight w:val="none"/>
                    </w:rPr>
                    <w:t>DW001</w:t>
                  </w:r>
                </w:p>
              </w:tc>
              <w:tc>
                <w:tcPr>
                  <w:tcW w:w="1300" w:type="pct"/>
                  <w:tcBorders>
                    <w:tl2br w:val="nil"/>
                    <w:tr2bl w:val="nil"/>
                  </w:tcBorders>
                  <w:vAlign w:val="center"/>
                </w:tcPr>
                <w:p>
                  <w:pPr>
                    <w:adjustRightInd w:val="0"/>
                    <w:snapToGrid w:val="0"/>
                    <w:jc w:val="center"/>
                    <w:rPr>
                      <w:szCs w:val="21"/>
                      <w:highlight w:val="none"/>
                    </w:rPr>
                  </w:pPr>
                  <w:r>
                    <w:rPr>
                      <w:rFonts w:hint="eastAsia"/>
                      <w:szCs w:val="21"/>
                      <w:highlight w:val="none"/>
                    </w:rPr>
                    <w:t>流量，pH值、</w:t>
                  </w:r>
                  <w:r>
                    <w:rPr>
                      <w:szCs w:val="21"/>
                      <w:highlight w:val="none"/>
                    </w:rPr>
                    <w:t>COD</w:t>
                  </w:r>
                  <w:r>
                    <w:rPr>
                      <w:rFonts w:hint="eastAsia"/>
                      <w:szCs w:val="21"/>
                      <w:highlight w:val="none"/>
                    </w:rPr>
                    <w:t>cr</w:t>
                  </w:r>
                  <w:r>
                    <w:rPr>
                      <w:szCs w:val="21"/>
                      <w:highlight w:val="none"/>
                    </w:rPr>
                    <w:t>、BOD</w:t>
                  </w:r>
                  <w:r>
                    <w:rPr>
                      <w:szCs w:val="21"/>
                      <w:highlight w:val="none"/>
                      <w:vertAlign w:val="subscript"/>
                    </w:rPr>
                    <w:t>5</w:t>
                  </w:r>
                  <w:r>
                    <w:rPr>
                      <w:szCs w:val="21"/>
                      <w:highlight w:val="none"/>
                    </w:rPr>
                    <w:t>、NH</w:t>
                  </w:r>
                  <w:r>
                    <w:rPr>
                      <w:szCs w:val="21"/>
                      <w:highlight w:val="none"/>
                      <w:vertAlign w:val="subscript"/>
                    </w:rPr>
                    <w:t>3</w:t>
                  </w:r>
                  <w:r>
                    <w:rPr>
                      <w:szCs w:val="21"/>
                      <w:highlight w:val="none"/>
                    </w:rPr>
                    <w:t>-N、SS、TP</w:t>
                  </w:r>
                  <w:r>
                    <w:rPr>
                      <w:rFonts w:hint="eastAsia"/>
                      <w:szCs w:val="21"/>
                      <w:highlight w:val="none"/>
                    </w:rPr>
                    <w:t>、TN、动植物油</w:t>
                  </w:r>
                </w:p>
              </w:tc>
              <w:tc>
                <w:tcPr>
                  <w:tcW w:w="732" w:type="pct"/>
                  <w:tcBorders>
                    <w:tl2br w:val="nil"/>
                    <w:tr2bl w:val="nil"/>
                  </w:tcBorders>
                  <w:vAlign w:val="center"/>
                </w:tcPr>
                <w:p>
                  <w:pPr>
                    <w:adjustRightInd w:val="0"/>
                    <w:snapToGrid w:val="0"/>
                    <w:jc w:val="center"/>
                    <w:rPr>
                      <w:szCs w:val="21"/>
                      <w:highlight w:val="none"/>
                    </w:rPr>
                  </w:pPr>
                  <w:r>
                    <w:rPr>
                      <w:rFonts w:hint="eastAsia"/>
                      <w:szCs w:val="21"/>
                      <w:highlight w:val="none"/>
                    </w:rPr>
                    <w:t>半年/次</w:t>
                  </w:r>
                </w:p>
              </w:tc>
              <w:tc>
                <w:tcPr>
                  <w:tcW w:w="1692" w:type="pct"/>
                  <w:tcBorders>
                    <w:tl2br w:val="nil"/>
                    <w:tr2bl w:val="nil"/>
                  </w:tcBorders>
                  <w:vAlign w:val="center"/>
                </w:tcPr>
                <w:p>
                  <w:pPr>
                    <w:pStyle w:val="57"/>
                    <w:rPr>
                      <w:rFonts w:hint="default"/>
                      <w:szCs w:val="21"/>
                      <w:highlight w:val="none"/>
                      <w:lang w:val="en-US"/>
                    </w:rPr>
                  </w:pPr>
                  <w:r>
                    <w:rPr>
                      <w:rFonts w:hint="eastAsia"/>
                      <w:szCs w:val="21"/>
                      <w:highlight w:val="none"/>
                    </w:rPr>
                    <w:t>《城镇污水处理厂污染物排放标准》（GB18918-2002）表1中一级A标准</w:t>
                  </w:r>
                  <w:r>
                    <w:rPr>
                      <w:rFonts w:hint="default" w:ascii="Times New Roman" w:hAnsi="Times New Roman" w:eastAsia="宋体" w:cs="Times New Roman"/>
                      <w:color w:val="0000FF"/>
                      <w:highlight w:val="none"/>
                    </w:rPr>
                    <w:t>，</w:t>
                  </w:r>
                  <w:r>
                    <w:rPr>
                      <w:rFonts w:hint="default" w:ascii="Times New Roman" w:hAnsi="Times New Roman" w:eastAsia="宋体" w:cs="Times New Roman"/>
                      <w:color w:val="0000FF"/>
                      <w:highlight w:val="none"/>
                      <w:lang w:val="en-US" w:eastAsia="zh-CN"/>
                    </w:rPr>
                    <w:t>其中pH值从严执行6~8.5</w:t>
                  </w:r>
                  <w:r>
                    <w:rPr>
                      <w:rFonts w:hint="eastAsia" w:ascii="Times New Roman" w:hAnsi="Times New Roman" w:eastAsia="宋体" w:cs="Times New Roman"/>
                      <w:color w:val="0000FF"/>
                      <w:highlight w:val="none"/>
                      <w:lang w:val="en-US" w:eastAsia="zh-CN"/>
                    </w:rPr>
                    <w:t>。</w:t>
                  </w:r>
                </w:p>
              </w:tc>
            </w:tr>
          </w:tbl>
          <w:p>
            <w:pPr>
              <w:spacing w:line="360" w:lineRule="auto"/>
              <w:ind w:firstLine="480" w:firstLineChars="200"/>
              <w:rPr>
                <w:sz w:val="24"/>
                <w:highlight w:val="none"/>
              </w:rPr>
            </w:pPr>
          </w:p>
        </w:tc>
      </w:tr>
    </w:tbl>
    <w:p>
      <w:pPr>
        <w:rPr>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9"/>
        <w:tblW w:w="50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3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59" w:type="pct"/>
            <w:tcMar>
              <w:left w:w="28" w:type="dxa"/>
              <w:right w:w="28" w:type="dxa"/>
            </w:tcMar>
            <w:vAlign w:val="center"/>
          </w:tcPr>
          <w:p>
            <w:pPr>
              <w:widowControl/>
              <w:jc w:val="center"/>
              <w:rPr>
                <w:b/>
                <w:bCs/>
                <w:kern w:val="0"/>
                <w:sz w:val="24"/>
                <w:szCs w:val="20"/>
                <w:highlight w:val="none"/>
              </w:rPr>
            </w:pPr>
            <w:r>
              <w:rPr>
                <w:rFonts w:hint="eastAsia"/>
                <w:b/>
                <w:bCs/>
                <w:kern w:val="0"/>
                <w:sz w:val="24"/>
                <w:szCs w:val="20"/>
                <w:highlight w:val="none"/>
              </w:rPr>
              <w:t>运营</w:t>
            </w: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4840" w:type="pct"/>
            <w:vAlign w:val="center"/>
          </w:tcPr>
          <w:p>
            <w:pPr>
              <w:spacing w:line="360" w:lineRule="auto"/>
              <w:ind w:firstLine="481" w:firstLineChars="200"/>
              <w:rPr>
                <w:b/>
                <w:bCs/>
                <w:sz w:val="24"/>
                <w:highlight w:val="none"/>
              </w:rPr>
            </w:pPr>
            <w:r>
              <w:rPr>
                <w:b/>
                <w:bCs/>
                <w:sz w:val="24"/>
                <w:highlight w:val="none"/>
              </w:rPr>
              <w:t>3</w:t>
            </w:r>
            <w:r>
              <w:rPr>
                <w:rFonts w:hint="eastAsia"/>
                <w:b/>
                <w:bCs/>
                <w:sz w:val="24"/>
                <w:highlight w:val="none"/>
              </w:rPr>
              <w:t>、</w:t>
            </w:r>
            <w:r>
              <w:rPr>
                <w:b/>
                <w:bCs/>
                <w:sz w:val="24"/>
                <w:highlight w:val="none"/>
              </w:rPr>
              <w:t>噪声</w:t>
            </w:r>
          </w:p>
          <w:p>
            <w:pPr>
              <w:adjustRightInd w:val="0"/>
              <w:snapToGrid w:val="0"/>
              <w:spacing w:line="360" w:lineRule="auto"/>
              <w:ind w:firstLine="480" w:firstLineChars="200"/>
              <w:rPr>
                <w:rFonts w:hAnsi="宋体"/>
                <w:sz w:val="24"/>
                <w:highlight w:val="none"/>
              </w:rPr>
            </w:pPr>
            <w:r>
              <w:rPr>
                <w:rFonts w:hint="eastAsia" w:hAnsi="宋体"/>
                <w:sz w:val="24"/>
                <w:highlight w:val="none"/>
              </w:rPr>
              <w:t>（1）</w:t>
            </w:r>
            <w:r>
              <w:rPr>
                <w:rFonts w:hAnsi="宋体"/>
                <w:sz w:val="24"/>
                <w:highlight w:val="none"/>
              </w:rPr>
              <w:t>噪声污染源情况</w:t>
            </w:r>
          </w:p>
          <w:p>
            <w:pPr>
              <w:snapToGrid w:val="0"/>
              <w:spacing w:line="360" w:lineRule="auto"/>
              <w:ind w:firstLine="480" w:firstLineChars="200"/>
              <w:rPr>
                <w:sz w:val="24"/>
                <w:highlight w:val="none"/>
              </w:rPr>
            </w:pPr>
            <w:r>
              <w:rPr>
                <w:sz w:val="24"/>
                <w:highlight w:val="none"/>
              </w:rPr>
              <w:t>本项目噪声源主要为设备运行过程中产生的噪声，</w:t>
            </w:r>
            <w:r>
              <w:rPr>
                <w:color w:val="0000FF"/>
                <w:sz w:val="24"/>
                <w:highlight w:val="none"/>
              </w:rPr>
              <w:t>主要来源于</w:t>
            </w:r>
            <w:r>
              <w:rPr>
                <w:rFonts w:hint="eastAsia"/>
                <w:color w:val="0000FF"/>
                <w:sz w:val="24"/>
                <w:highlight w:val="none"/>
                <w:lang w:val="en-US" w:eastAsia="zh-CN"/>
              </w:rPr>
              <w:t>风机</w:t>
            </w:r>
            <w:r>
              <w:rPr>
                <w:rFonts w:hint="eastAsia"/>
                <w:color w:val="0000FF"/>
                <w:sz w:val="24"/>
                <w:highlight w:val="none"/>
              </w:rPr>
              <w:t>、</w:t>
            </w:r>
            <w:r>
              <w:rPr>
                <w:rFonts w:hint="eastAsia"/>
                <w:color w:val="0000FF"/>
                <w:sz w:val="24"/>
                <w:highlight w:val="none"/>
                <w:lang w:val="en-US" w:eastAsia="zh-CN"/>
              </w:rPr>
              <w:t>空调机组</w:t>
            </w:r>
            <w:r>
              <w:rPr>
                <w:rFonts w:hint="eastAsia"/>
                <w:color w:val="0000FF"/>
                <w:sz w:val="24"/>
                <w:highlight w:val="none"/>
              </w:rPr>
              <w:t>、</w:t>
            </w:r>
            <w:r>
              <w:rPr>
                <w:rFonts w:hint="eastAsia"/>
                <w:color w:val="0000FF"/>
                <w:sz w:val="24"/>
                <w:highlight w:val="none"/>
                <w:lang w:val="en-US" w:eastAsia="zh-CN"/>
              </w:rPr>
              <w:t>上蛋系统</w:t>
            </w:r>
            <w:r>
              <w:rPr>
                <w:rFonts w:hint="eastAsia"/>
                <w:color w:val="0000FF"/>
                <w:sz w:val="24"/>
                <w:highlight w:val="none"/>
              </w:rPr>
              <w:t>、</w:t>
            </w:r>
            <w:r>
              <w:rPr>
                <w:rFonts w:hint="eastAsia"/>
                <w:color w:val="0000FF"/>
                <w:sz w:val="24"/>
                <w:highlight w:val="none"/>
                <w:lang w:val="en-US" w:eastAsia="zh-CN"/>
              </w:rPr>
              <w:t>打蛋机</w:t>
            </w:r>
            <w:r>
              <w:rPr>
                <w:rFonts w:hint="eastAsia"/>
                <w:color w:val="0000FF"/>
                <w:sz w:val="24"/>
                <w:highlight w:val="none"/>
              </w:rPr>
              <w:t>、</w:t>
            </w:r>
            <w:r>
              <w:rPr>
                <w:rFonts w:hint="eastAsia"/>
                <w:color w:val="0000FF"/>
                <w:sz w:val="24"/>
                <w:highlight w:val="none"/>
                <w:lang w:val="en-US" w:eastAsia="zh-CN"/>
              </w:rPr>
              <w:t>巴氏杀菌系统</w:t>
            </w:r>
            <w:r>
              <w:rPr>
                <w:rFonts w:hint="eastAsia"/>
                <w:color w:val="0000FF"/>
                <w:sz w:val="24"/>
                <w:highlight w:val="none"/>
              </w:rPr>
              <w:t>、</w:t>
            </w:r>
            <w:r>
              <w:rPr>
                <w:rFonts w:hint="eastAsia"/>
                <w:color w:val="0000FF"/>
                <w:spacing w:val="-6"/>
                <w:szCs w:val="20"/>
                <w:highlight w:val="none"/>
              </w:rPr>
              <w:t>CIP清洗系统</w:t>
            </w:r>
            <w:r>
              <w:rPr>
                <w:color w:val="0000FF"/>
                <w:sz w:val="24"/>
                <w:highlight w:val="none"/>
              </w:rPr>
              <w:t>等设备，单台设备产生的噪声值约为</w:t>
            </w:r>
            <w:r>
              <w:rPr>
                <w:rFonts w:hint="eastAsia"/>
                <w:color w:val="0000FF"/>
                <w:sz w:val="24"/>
                <w:highlight w:val="none"/>
              </w:rPr>
              <w:t>70</w:t>
            </w:r>
            <w:r>
              <w:rPr>
                <w:color w:val="0000FF"/>
                <w:sz w:val="24"/>
                <w:highlight w:val="none"/>
              </w:rPr>
              <w:t>~</w:t>
            </w:r>
            <w:r>
              <w:rPr>
                <w:rFonts w:hint="eastAsia"/>
                <w:color w:val="0000FF"/>
                <w:sz w:val="24"/>
                <w:highlight w:val="none"/>
                <w:lang w:val="en-US" w:eastAsia="zh-CN"/>
              </w:rPr>
              <w:t>90</w:t>
            </w:r>
            <w:r>
              <w:rPr>
                <w:color w:val="0000FF"/>
                <w:sz w:val="24"/>
                <w:highlight w:val="none"/>
              </w:rPr>
              <w:t>dB（A）。生产设备均放置于</w:t>
            </w:r>
            <w:r>
              <w:rPr>
                <w:rFonts w:hint="eastAsia"/>
                <w:color w:val="0000FF"/>
                <w:sz w:val="24"/>
                <w:highlight w:val="none"/>
                <w:lang w:val="en-US" w:eastAsia="zh-CN"/>
              </w:rPr>
              <w:t>生产车间</w:t>
            </w:r>
            <w:r>
              <w:rPr>
                <w:color w:val="0000FF"/>
                <w:sz w:val="24"/>
                <w:highlight w:val="none"/>
              </w:rPr>
              <w:t>内，钢混结构厂房，综合隔声量可达2</w:t>
            </w:r>
            <w:r>
              <w:rPr>
                <w:rFonts w:hint="eastAsia"/>
                <w:color w:val="0000FF"/>
                <w:sz w:val="24"/>
                <w:highlight w:val="none"/>
              </w:rPr>
              <w:t>0</w:t>
            </w:r>
            <w:r>
              <w:rPr>
                <w:color w:val="0000FF"/>
                <w:sz w:val="24"/>
                <w:highlight w:val="none"/>
              </w:rPr>
              <w:t>dB（A）以上。</w:t>
            </w:r>
            <w:r>
              <w:rPr>
                <w:rFonts w:hint="eastAsia"/>
                <w:color w:val="0000FF"/>
                <w:sz w:val="24"/>
                <w:highlight w:val="none"/>
              </w:rPr>
              <w:t>其噪声治理措施和控制效果见</w:t>
            </w:r>
            <w:r>
              <w:rPr>
                <w:color w:val="0000FF"/>
                <w:sz w:val="24"/>
                <w:highlight w:val="none"/>
              </w:rPr>
              <w:t>表4</w:t>
            </w:r>
            <w:r>
              <w:rPr>
                <w:rFonts w:hint="eastAsia"/>
                <w:color w:val="0000FF"/>
                <w:sz w:val="24"/>
                <w:highlight w:val="none"/>
              </w:rPr>
              <w:t>-</w:t>
            </w:r>
            <w:r>
              <w:rPr>
                <w:rFonts w:hint="eastAsia"/>
                <w:color w:val="0000FF"/>
                <w:sz w:val="24"/>
                <w:highlight w:val="none"/>
                <w:lang w:val="en-US" w:eastAsia="zh-CN"/>
              </w:rPr>
              <w:t>12</w:t>
            </w:r>
            <w:r>
              <w:rPr>
                <w:rFonts w:hint="eastAsia"/>
                <w:color w:val="0000FF"/>
                <w:sz w:val="24"/>
                <w:highlight w:val="none"/>
              </w:rPr>
              <w:t>~表4-1</w:t>
            </w:r>
            <w:r>
              <w:rPr>
                <w:rFonts w:hint="eastAsia"/>
                <w:color w:val="0000FF"/>
                <w:sz w:val="24"/>
                <w:highlight w:val="none"/>
                <w:lang w:val="en-US" w:eastAsia="zh-CN"/>
              </w:rPr>
              <w:t>3</w:t>
            </w:r>
            <w:r>
              <w:rPr>
                <w:color w:val="0000FF"/>
                <w:sz w:val="24"/>
                <w:highlight w:val="none"/>
              </w:rPr>
              <w:t>。</w:t>
            </w:r>
          </w:p>
          <w:p>
            <w:pPr>
              <w:jc w:val="center"/>
              <w:rPr>
                <w:b/>
                <w:bCs/>
                <w:highlight w:val="none"/>
              </w:rPr>
            </w:pPr>
            <w:r>
              <w:rPr>
                <w:rFonts w:hint="eastAsia"/>
                <w:b/>
                <w:bCs/>
                <w:highlight w:val="none"/>
              </w:rPr>
              <w:t>表</w:t>
            </w:r>
            <w:r>
              <w:rPr>
                <w:b/>
                <w:bCs/>
                <w:highlight w:val="none"/>
              </w:rPr>
              <w:t>4</w:t>
            </w:r>
            <w:r>
              <w:rPr>
                <w:rFonts w:hint="eastAsia"/>
                <w:b/>
                <w:bCs/>
                <w:highlight w:val="none"/>
              </w:rPr>
              <w:t>-12   工业企业噪声源强调查清单（室外声源）</w:t>
            </w:r>
          </w:p>
          <w:tbl>
            <w:tblPr>
              <w:tblStyle w:val="3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84"/>
              <w:gridCol w:w="1343"/>
              <w:gridCol w:w="1343"/>
              <w:gridCol w:w="1351"/>
              <w:gridCol w:w="2035"/>
              <w:gridCol w:w="375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vMerge w:val="restart"/>
                  <w:tcBorders>
                    <w:left w:val="nil"/>
                  </w:tcBorders>
                  <w:vAlign w:val="center"/>
                </w:tcPr>
                <w:p>
                  <w:pPr>
                    <w:adjustRightInd w:val="0"/>
                    <w:snapToGrid w:val="0"/>
                    <w:jc w:val="center"/>
                    <w:rPr>
                      <w:b/>
                      <w:bCs/>
                      <w:szCs w:val="21"/>
                      <w:highlight w:val="none"/>
                    </w:rPr>
                  </w:pPr>
                  <w:r>
                    <w:rPr>
                      <w:rFonts w:hint="eastAsia"/>
                      <w:b/>
                      <w:bCs/>
                      <w:szCs w:val="21"/>
                      <w:highlight w:val="none"/>
                    </w:rPr>
                    <w:t>序号</w:t>
                  </w:r>
                </w:p>
              </w:tc>
              <w:tc>
                <w:tcPr>
                  <w:tcW w:w="592" w:type="pct"/>
                  <w:vMerge w:val="restart"/>
                  <w:vAlign w:val="center"/>
                </w:tcPr>
                <w:p>
                  <w:pPr>
                    <w:adjustRightInd w:val="0"/>
                    <w:snapToGrid w:val="0"/>
                    <w:jc w:val="center"/>
                    <w:rPr>
                      <w:b/>
                      <w:bCs/>
                      <w:szCs w:val="21"/>
                      <w:highlight w:val="none"/>
                    </w:rPr>
                  </w:pPr>
                  <w:r>
                    <w:rPr>
                      <w:rFonts w:hint="eastAsia"/>
                      <w:b/>
                      <w:bCs/>
                      <w:szCs w:val="21"/>
                      <w:highlight w:val="none"/>
                    </w:rPr>
                    <w:t>声源名称</w:t>
                  </w:r>
                </w:p>
              </w:tc>
              <w:tc>
                <w:tcPr>
                  <w:tcW w:w="1509" w:type="pct"/>
                  <w:gridSpan w:val="3"/>
                  <w:shd w:val="clear" w:color="auto" w:fill="auto"/>
                  <w:vAlign w:val="center"/>
                </w:tcPr>
                <w:p>
                  <w:pPr>
                    <w:adjustRightInd w:val="0"/>
                    <w:snapToGrid w:val="0"/>
                    <w:jc w:val="center"/>
                    <w:rPr>
                      <w:b/>
                      <w:bCs/>
                      <w:szCs w:val="21"/>
                      <w:highlight w:val="none"/>
                    </w:rPr>
                  </w:pPr>
                  <w:r>
                    <w:rPr>
                      <w:rFonts w:hint="eastAsia"/>
                      <w:b/>
                      <w:bCs/>
                      <w:szCs w:val="21"/>
                      <w:highlight w:val="none"/>
                    </w:rPr>
                    <w:t>空间相对位置/m</w:t>
                  </w:r>
                </w:p>
              </w:tc>
              <w:tc>
                <w:tcPr>
                  <w:tcW w:w="761" w:type="pct"/>
                  <w:shd w:val="clear" w:color="auto" w:fill="auto"/>
                  <w:vAlign w:val="center"/>
                </w:tcPr>
                <w:p>
                  <w:pPr>
                    <w:adjustRightInd w:val="0"/>
                    <w:snapToGrid w:val="0"/>
                    <w:jc w:val="center"/>
                    <w:rPr>
                      <w:b/>
                      <w:bCs/>
                      <w:szCs w:val="21"/>
                      <w:highlight w:val="none"/>
                    </w:rPr>
                  </w:pPr>
                  <w:r>
                    <w:rPr>
                      <w:rFonts w:hint="eastAsia"/>
                      <w:b/>
                      <w:bCs/>
                      <w:szCs w:val="21"/>
                      <w:highlight w:val="none"/>
                    </w:rPr>
                    <w:t>声源源强</w:t>
                  </w:r>
                </w:p>
              </w:tc>
              <w:tc>
                <w:tcPr>
                  <w:tcW w:w="1403" w:type="pct"/>
                  <w:vMerge w:val="restart"/>
                  <w:vAlign w:val="center"/>
                </w:tcPr>
                <w:p>
                  <w:pPr>
                    <w:adjustRightInd w:val="0"/>
                    <w:snapToGrid w:val="0"/>
                    <w:jc w:val="center"/>
                    <w:rPr>
                      <w:szCs w:val="21"/>
                      <w:highlight w:val="none"/>
                    </w:rPr>
                  </w:pPr>
                  <w:r>
                    <w:rPr>
                      <w:rFonts w:hint="eastAsia"/>
                      <w:b/>
                      <w:bCs/>
                      <w:szCs w:val="21"/>
                      <w:highlight w:val="none"/>
                    </w:rPr>
                    <w:t>声源控制措施</w:t>
                  </w:r>
                </w:p>
              </w:tc>
              <w:tc>
                <w:tcPr>
                  <w:tcW w:w="450" w:type="pct"/>
                  <w:vMerge w:val="restart"/>
                  <w:tcBorders>
                    <w:right w:val="nil"/>
                  </w:tcBorders>
                  <w:vAlign w:val="center"/>
                </w:tcPr>
                <w:p>
                  <w:pPr>
                    <w:adjustRightInd w:val="0"/>
                    <w:snapToGrid w:val="0"/>
                    <w:jc w:val="center"/>
                    <w:rPr>
                      <w:rFonts w:hint="default" w:eastAsia="宋体"/>
                      <w:szCs w:val="21"/>
                      <w:highlight w:val="none"/>
                      <w:lang w:val="en-US" w:eastAsia="zh-CN"/>
                    </w:rPr>
                  </w:pPr>
                  <w:r>
                    <w:rPr>
                      <w:rFonts w:hint="eastAsia"/>
                      <w:szCs w:val="21"/>
                      <w:highlight w:val="none"/>
                      <w:lang w:val="en-US"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vMerge w:val="continue"/>
                  <w:tcBorders>
                    <w:left w:val="nil"/>
                  </w:tcBorders>
                  <w:vAlign w:val="center"/>
                </w:tcPr>
                <w:p>
                  <w:pPr>
                    <w:adjustRightInd w:val="0"/>
                    <w:snapToGrid w:val="0"/>
                    <w:jc w:val="center"/>
                    <w:rPr>
                      <w:b/>
                      <w:bCs/>
                      <w:szCs w:val="21"/>
                      <w:highlight w:val="none"/>
                    </w:rPr>
                  </w:pPr>
                </w:p>
              </w:tc>
              <w:tc>
                <w:tcPr>
                  <w:tcW w:w="592" w:type="pct"/>
                  <w:vMerge w:val="continue"/>
                  <w:vAlign w:val="center"/>
                </w:tcPr>
                <w:p>
                  <w:pPr>
                    <w:adjustRightInd w:val="0"/>
                    <w:snapToGrid w:val="0"/>
                    <w:jc w:val="center"/>
                    <w:rPr>
                      <w:b/>
                      <w:bCs/>
                      <w:szCs w:val="21"/>
                      <w:highlight w:val="none"/>
                    </w:rPr>
                  </w:pPr>
                </w:p>
              </w:tc>
              <w:tc>
                <w:tcPr>
                  <w:tcW w:w="502" w:type="pct"/>
                  <w:vAlign w:val="center"/>
                </w:tcPr>
                <w:p>
                  <w:pPr>
                    <w:adjustRightInd w:val="0"/>
                    <w:snapToGrid w:val="0"/>
                    <w:jc w:val="center"/>
                    <w:rPr>
                      <w:b/>
                      <w:bCs/>
                      <w:szCs w:val="21"/>
                      <w:highlight w:val="none"/>
                    </w:rPr>
                  </w:pPr>
                  <w:r>
                    <w:rPr>
                      <w:rFonts w:hint="eastAsia"/>
                      <w:b/>
                      <w:bCs/>
                      <w:szCs w:val="21"/>
                      <w:highlight w:val="none"/>
                    </w:rPr>
                    <w:t>X</w:t>
                  </w:r>
                </w:p>
              </w:tc>
              <w:tc>
                <w:tcPr>
                  <w:tcW w:w="502" w:type="pct"/>
                  <w:vAlign w:val="center"/>
                </w:tcPr>
                <w:p>
                  <w:pPr>
                    <w:adjustRightInd w:val="0"/>
                    <w:snapToGrid w:val="0"/>
                    <w:jc w:val="center"/>
                    <w:rPr>
                      <w:b/>
                      <w:bCs/>
                      <w:szCs w:val="21"/>
                      <w:highlight w:val="none"/>
                    </w:rPr>
                  </w:pPr>
                  <w:r>
                    <w:rPr>
                      <w:rFonts w:hint="eastAsia"/>
                      <w:b/>
                      <w:bCs/>
                      <w:szCs w:val="21"/>
                      <w:highlight w:val="none"/>
                    </w:rPr>
                    <w:t>Y</w:t>
                  </w:r>
                </w:p>
              </w:tc>
              <w:tc>
                <w:tcPr>
                  <w:tcW w:w="503" w:type="pct"/>
                  <w:vAlign w:val="center"/>
                </w:tcPr>
                <w:p>
                  <w:pPr>
                    <w:adjustRightInd w:val="0"/>
                    <w:snapToGrid w:val="0"/>
                    <w:jc w:val="center"/>
                    <w:rPr>
                      <w:b/>
                      <w:bCs/>
                      <w:szCs w:val="21"/>
                      <w:highlight w:val="none"/>
                    </w:rPr>
                  </w:pPr>
                  <w:r>
                    <w:rPr>
                      <w:rFonts w:hint="eastAsia"/>
                      <w:b/>
                      <w:bCs/>
                      <w:szCs w:val="21"/>
                      <w:highlight w:val="none"/>
                    </w:rPr>
                    <w:t>Z</w:t>
                  </w:r>
                </w:p>
              </w:tc>
              <w:tc>
                <w:tcPr>
                  <w:tcW w:w="761" w:type="pct"/>
                  <w:vAlign w:val="center"/>
                </w:tcPr>
                <w:p>
                  <w:pPr>
                    <w:adjustRightInd w:val="0"/>
                    <w:snapToGrid w:val="0"/>
                    <w:jc w:val="center"/>
                    <w:rPr>
                      <w:b/>
                      <w:bCs/>
                      <w:szCs w:val="21"/>
                      <w:highlight w:val="none"/>
                    </w:rPr>
                  </w:pPr>
                  <w:r>
                    <w:rPr>
                      <w:rFonts w:hint="eastAsia"/>
                      <w:b/>
                      <w:bCs/>
                      <w:szCs w:val="21"/>
                      <w:highlight w:val="none"/>
                    </w:rPr>
                    <w:t>声功率级/</w:t>
                  </w:r>
                  <w:r>
                    <w:rPr>
                      <w:b/>
                      <w:bCs/>
                      <w:szCs w:val="21"/>
                      <w:highlight w:val="none"/>
                    </w:rPr>
                    <w:t>dB（A）</w:t>
                  </w:r>
                </w:p>
              </w:tc>
              <w:tc>
                <w:tcPr>
                  <w:tcW w:w="1403" w:type="pct"/>
                  <w:vMerge w:val="continue"/>
                  <w:vAlign w:val="center"/>
                </w:tcPr>
                <w:p>
                  <w:pPr>
                    <w:adjustRightInd w:val="0"/>
                    <w:snapToGrid w:val="0"/>
                    <w:jc w:val="center"/>
                    <w:rPr>
                      <w:szCs w:val="21"/>
                      <w:highlight w:val="none"/>
                    </w:rPr>
                  </w:pPr>
                </w:p>
              </w:tc>
              <w:tc>
                <w:tcPr>
                  <w:tcW w:w="450" w:type="pct"/>
                  <w:vMerge w:val="continue"/>
                  <w:tcBorders>
                    <w:right w:val="nil"/>
                  </w:tcBorders>
                  <w:vAlign w:val="center"/>
                </w:tcPr>
                <w:p>
                  <w:pPr>
                    <w:adjustRightInd w:val="0"/>
                    <w:snapToGrid w:val="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vAlign w:val="center"/>
                </w:tcPr>
                <w:p>
                  <w:pPr>
                    <w:jc w:val="center"/>
                    <w:rPr>
                      <w:szCs w:val="21"/>
                      <w:highlight w:val="none"/>
                    </w:rPr>
                  </w:pPr>
                  <w:r>
                    <w:rPr>
                      <w:rFonts w:hint="eastAsia"/>
                      <w:szCs w:val="21"/>
                      <w:highlight w:val="none"/>
                      <w:lang w:eastAsia="en-US"/>
                    </w:rPr>
                    <w:t>1</w:t>
                  </w:r>
                </w:p>
              </w:tc>
              <w:tc>
                <w:tcPr>
                  <w:tcW w:w="592" w:type="pct"/>
                  <w:vAlign w:val="center"/>
                </w:tcPr>
                <w:p>
                  <w:pPr>
                    <w:jc w:val="center"/>
                    <w:rPr>
                      <w:szCs w:val="21"/>
                      <w:highlight w:val="none"/>
                    </w:rPr>
                  </w:pPr>
                  <w:r>
                    <w:rPr>
                      <w:rFonts w:hint="eastAsia"/>
                      <w:szCs w:val="21"/>
                      <w:highlight w:val="none"/>
                    </w:rPr>
                    <w:t>布袋除尘器配套风机</w:t>
                  </w:r>
                </w:p>
              </w:tc>
              <w:tc>
                <w:tcPr>
                  <w:tcW w:w="502" w:type="pct"/>
                  <w:vAlign w:val="center"/>
                </w:tcPr>
                <w:p>
                  <w:pPr>
                    <w:jc w:val="center"/>
                    <w:rPr>
                      <w:szCs w:val="21"/>
                      <w:highlight w:val="none"/>
                    </w:rPr>
                  </w:pPr>
                  <w:r>
                    <w:rPr>
                      <w:rFonts w:hint="eastAsia"/>
                      <w:szCs w:val="21"/>
                      <w:highlight w:val="none"/>
                    </w:rPr>
                    <w:t>-30</w:t>
                  </w:r>
                </w:p>
              </w:tc>
              <w:tc>
                <w:tcPr>
                  <w:tcW w:w="502" w:type="pct"/>
                  <w:vAlign w:val="center"/>
                </w:tcPr>
                <w:p>
                  <w:pPr>
                    <w:jc w:val="center"/>
                    <w:rPr>
                      <w:szCs w:val="21"/>
                      <w:highlight w:val="none"/>
                    </w:rPr>
                  </w:pPr>
                  <w:r>
                    <w:rPr>
                      <w:rFonts w:hint="eastAsia"/>
                      <w:szCs w:val="21"/>
                      <w:highlight w:val="none"/>
                    </w:rPr>
                    <w:t>2</w:t>
                  </w:r>
                </w:p>
              </w:tc>
              <w:tc>
                <w:tcPr>
                  <w:tcW w:w="503" w:type="pct"/>
                  <w:vAlign w:val="center"/>
                </w:tcPr>
                <w:p>
                  <w:pPr>
                    <w:jc w:val="center"/>
                    <w:rPr>
                      <w:szCs w:val="21"/>
                      <w:highlight w:val="none"/>
                    </w:rPr>
                  </w:pPr>
                  <w:r>
                    <w:rPr>
                      <w:rFonts w:hint="eastAsia"/>
                      <w:szCs w:val="21"/>
                      <w:highlight w:val="none"/>
                    </w:rPr>
                    <w:t>1</w:t>
                  </w:r>
                </w:p>
              </w:tc>
              <w:tc>
                <w:tcPr>
                  <w:tcW w:w="761" w:type="pct"/>
                  <w:vAlign w:val="center"/>
                </w:tcPr>
                <w:p>
                  <w:pPr>
                    <w:jc w:val="center"/>
                    <w:rPr>
                      <w:rFonts w:hint="default"/>
                      <w:szCs w:val="21"/>
                      <w:highlight w:val="none"/>
                      <w:lang w:val="en-US"/>
                    </w:rPr>
                  </w:pPr>
                  <w:r>
                    <w:rPr>
                      <w:rFonts w:hint="eastAsia"/>
                      <w:color w:val="0000FF"/>
                      <w:szCs w:val="21"/>
                      <w:highlight w:val="none"/>
                      <w:lang w:val="en-US" w:eastAsia="zh-CN"/>
                    </w:rPr>
                    <w:t>90</w:t>
                  </w:r>
                </w:p>
              </w:tc>
              <w:tc>
                <w:tcPr>
                  <w:tcW w:w="1403" w:type="pct"/>
                  <w:vMerge w:val="restart"/>
                  <w:vAlign w:val="center"/>
                </w:tcPr>
                <w:p>
                  <w:pPr>
                    <w:jc w:val="center"/>
                    <w:rPr>
                      <w:szCs w:val="21"/>
                      <w:highlight w:val="none"/>
                    </w:rPr>
                  </w:pPr>
                  <w:r>
                    <w:rPr>
                      <w:rFonts w:hint="eastAsia"/>
                      <w:szCs w:val="21"/>
                      <w:highlight w:val="none"/>
                    </w:rPr>
                    <w:t>选用低噪声设备，采用隔声、减振等措施</w:t>
                  </w:r>
                </w:p>
              </w:tc>
              <w:tc>
                <w:tcPr>
                  <w:tcW w:w="450" w:type="pct"/>
                  <w:tcBorders>
                    <w:right w:val="nil"/>
                  </w:tcBorders>
                  <w:vAlign w:val="center"/>
                </w:tcPr>
                <w:p>
                  <w:pPr>
                    <w:jc w:val="center"/>
                    <w:rPr>
                      <w:rFonts w:hint="default"/>
                      <w:szCs w:val="21"/>
                      <w:highlight w:val="none"/>
                      <w:lang w:val="en-US"/>
                    </w:rPr>
                  </w:pPr>
                  <w:r>
                    <w:rPr>
                      <w:rFonts w:hint="eastAsia"/>
                      <w:szCs w:val="21"/>
                      <w:highlight w:val="none"/>
                      <w:lang w:val="en-US" w:eastAsia="zh-CN"/>
                    </w:rPr>
                    <w:t>16h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vAlign w:val="center"/>
                </w:tcPr>
                <w:p>
                  <w:pPr>
                    <w:jc w:val="center"/>
                    <w:rPr>
                      <w:szCs w:val="21"/>
                      <w:highlight w:val="none"/>
                    </w:rPr>
                  </w:pPr>
                  <w:r>
                    <w:rPr>
                      <w:rFonts w:hint="eastAsia"/>
                      <w:szCs w:val="21"/>
                      <w:highlight w:val="none"/>
                      <w:lang w:eastAsia="en-US"/>
                    </w:rPr>
                    <w:t>2</w:t>
                  </w:r>
                </w:p>
              </w:tc>
              <w:tc>
                <w:tcPr>
                  <w:tcW w:w="592" w:type="pct"/>
                  <w:vAlign w:val="center"/>
                </w:tcPr>
                <w:p>
                  <w:pPr>
                    <w:jc w:val="center"/>
                    <w:rPr>
                      <w:szCs w:val="21"/>
                      <w:highlight w:val="none"/>
                    </w:rPr>
                  </w:pPr>
                  <w:r>
                    <w:rPr>
                      <w:rFonts w:hint="eastAsia"/>
                      <w:szCs w:val="21"/>
                      <w:highlight w:val="none"/>
                    </w:rPr>
                    <w:t>空调机组</w:t>
                  </w:r>
                </w:p>
              </w:tc>
              <w:tc>
                <w:tcPr>
                  <w:tcW w:w="502" w:type="pct"/>
                  <w:vAlign w:val="center"/>
                </w:tcPr>
                <w:p>
                  <w:pPr>
                    <w:jc w:val="center"/>
                    <w:rPr>
                      <w:szCs w:val="21"/>
                      <w:highlight w:val="none"/>
                    </w:rPr>
                  </w:pPr>
                  <w:r>
                    <w:rPr>
                      <w:rFonts w:hint="eastAsia"/>
                      <w:szCs w:val="21"/>
                      <w:highlight w:val="none"/>
                    </w:rPr>
                    <w:t>-3</w:t>
                  </w:r>
                </w:p>
              </w:tc>
              <w:tc>
                <w:tcPr>
                  <w:tcW w:w="502" w:type="pct"/>
                  <w:vAlign w:val="center"/>
                </w:tcPr>
                <w:p>
                  <w:pPr>
                    <w:jc w:val="center"/>
                    <w:rPr>
                      <w:szCs w:val="21"/>
                      <w:highlight w:val="none"/>
                    </w:rPr>
                  </w:pPr>
                  <w:r>
                    <w:rPr>
                      <w:rFonts w:hint="eastAsia"/>
                      <w:szCs w:val="21"/>
                      <w:highlight w:val="none"/>
                    </w:rPr>
                    <w:t>4</w:t>
                  </w:r>
                </w:p>
              </w:tc>
              <w:tc>
                <w:tcPr>
                  <w:tcW w:w="503" w:type="pct"/>
                  <w:vAlign w:val="center"/>
                </w:tcPr>
                <w:p>
                  <w:pPr>
                    <w:jc w:val="center"/>
                    <w:rPr>
                      <w:szCs w:val="21"/>
                      <w:highlight w:val="none"/>
                    </w:rPr>
                  </w:pPr>
                  <w:r>
                    <w:rPr>
                      <w:rFonts w:hint="eastAsia"/>
                      <w:szCs w:val="21"/>
                      <w:highlight w:val="none"/>
                    </w:rPr>
                    <w:t>15</w:t>
                  </w:r>
                </w:p>
              </w:tc>
              <w:tc>
                <w:tcPr>
                  <w:tcW w:w="761" w:type="pct"/>
                  <w:vAlign w:val="center"/>
                </w:tcPr>
                <w:p>
                  <w:pPr>
                    <w:jc w:val="center"/>
                    <w:rPr>
                      <w:szCs w:val="21"/>
                      <w:highlight w:val="none"/>
                    </w:rPr>
                  </w:pPr>
                  <w:r>
                    <w:rPr>
                      <w:rFonts w:hint="eastAsia"/>
                      <w:szCs w:val="21"/>
                      <w:highlight w:val="none"/>
                    </w:rPr>
                    <w:t>85</w:t>
                  </w:r>
                </w:p>
              </w:tc>
              <w:tc>
                <w:tcPr>
                  <w:tcW w:w="1403" w:type="pct"/>
                  <w:vMerge w:val="continue"/>
                  <w:vAlign w:val="center"/>
                </w:tcPr>
                <w:p>
                  <w:pPr>
                    <w:jc w:val="center"/>
                    <w:rPr>
                      <w:szCs w:val="21"/>
                      <w:highlight w:val="none"/>
                    </w:rPr>
                  </w:pPr>
                </w:p>
              </w:tc>
              <w:tc>
                <w:tcPr>
                  <w:tcW w:w="450" w:type="pct"/>
                  <w:tcBorders>
                    <w:right w:val="nil"/>
                  </w:tcBorders>
                  <w:vAlign w:val="center"/>
                </w:tcPr>
                <w:p>
                  <w:pPr>
                    <w:jc w:val="center"/>
                    <w:rPr>
                      <w:rFonts w:hint="default" w:eastAsia="宋体"/>
                      <w:szCs w:val="21"/>
                      <w:highlight w:val="none"/>
                      <w:lang w:val="en-US" w:eastAsia="zh-CN"/>
                    </w:rPr>
                  </w:pPr>
                  <w:r>
                    <w:rPr>
                      <w:rFonts w:hint="eastAsia"/>
                      <w:szCs w:val="21"/>
                      <w:highlight w:val="none"/>
                      <w:lang w:val="en-US" w:eastAsia="zh-CN"/>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tcBorders>
                    <w:left w:val="nil"/>
                    <w:right w:val="nil"/>
                  </w:tcBorders>
                  <w:vAlign w:val="center"/>
                </w:tcPr>
                <w:p>
                  <w:pPr>
                    <w:numPr>
                      <w:ilvl w:val="5"/>
                      <w:numId w:val="0"/>
                    </w:numPr>
                    <w:tabs>
                      <w:tab w:val="left" w:leader="underscore" w:pos="0"/>
                      <w:tab w:val="left" w:leader="dot" w:pos="420"/>
                    </w:tabs>
                    <w:rPr>
                      <w:bCs/>
                      <w:szCs w:val="21"/>
                      <w:highlight w:val="none"/>
                    </w:rPr>
                  </w:pPr>
                  <w:r>
                    <w:rPr>
                      <w:rFonts w:hint="eastAsia"/>
                      <w:bCs/>
                      <w:szCs w:val="21"/>
                      <w:highlight w:val="none"/>
                    </w:rPr>
                    <w:t>以“</w:t>
                  </w:r>
                  <w:r>
                    <w:rPr>
                      <w:bCs/>
                      <w:szCs w:val="21"/>
                      <w:highlight w:val="none"/>
                    </w:rPr>
                    <w:t>E115°56′9.9</w:t>
                  </w:r>
                  <w:r>
                    <w:rPr>
                      <w:rFonts w:hint="eastAsia"/>
                      <w:bCs/>
                      <w:szCs w:val="21"/>
                      <w:highlight w:val="none"/>
                    </w:rPr>
                    <w:t>87</w:t>
                  </w:r>
                  <w:r>
                    <w:rPr>
                      <w:bCs/>
                      <w:szCs w:val="21"/>
                      <w:highlight w:val="none"/>
                    </w:rPr>
                    <w:t>″,N29°20′48.</w:t>
                  </w:r>
                  <w:r>
                    <w:rPr>
                      <w:rFonts w:hint="eastAsia"/>
                      <w:bCs/>
                      <w:szCs w:val="21"/>
                      <w:highlight w:val="none"/>
                    </w:rPr>
                    <w:t>940”为原点（0，0，0），沿正东方向为X轴正方向，沿正北方向为Y轴正方向。</w:t>
                  </w:r>
                </w:p>
              </w:tc>
            </w:tr>
          </w:tbl>
          <w:p>
            <w:pPr>
              <w:jc w:val="center"/>
              <w:rPr>
                <w:b/>
                <w:bCs/>
                <w:highlight w:val="none"/>
              </w:rPr>
            </w:pPr>
            <w:r>
              <w:rPr>
                <w:rFonts w:hint="eastAsia"/>
                <w:b/>
                <w:bCs/>
                <w:highlight w:val="none"/>
              </w:rPr>
              <w:t>表</w:t>
            </w:r>
            <w:r>
              <w:rPr>
                <w:b/>
                <w:bCs/>
                <w:highlight w:val="none"/>
              </w:rPr>
              <w:t>4</w:t>
            </w:r>
            <w:r>
              <w:rPr>
                <w:rFonts w:hint="eastAsia"/>
                <w:b/>
                <w:bCs/>
                <w:highlight w:val="none"/>
              </w:rPr>
              <w:t>-13   工业企业噪声源强调查清单（室内声源）</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407"/>
              <w:gridCol w:w="793"/>
              <w:gridCol w:w="364"/>
              <w:gridCol w:w="670"/>
              <w:gridCol w:w="646"/>
              <w:gridCol w:w="643"/>
              <w:gridCol w:w="461"/>
              <w:gridCol w:w="509"/>
              <w:gridCol w:w="378"/>
              <w:gridCol w:w="455"/>
              <w:gridCol w:w="455"/>
              <w:gridCol w:w="455"/>
              <w:gridCol w:w="466"/>
              <w:gridCol w:w="549"/>
              <w:gridCol w:w="616"/>
              <w:gridCol w:w="520"/>
              <w:gridCol w:w="565"/>
              <w:gridCol w:w="664"/>
              <w:gridCol w:w="699"/>
              <w:gridCol w:w="544"/>
              <w:gridCol w:w="557"/>
              <w:gridCol w:w="418"/>
              <w:gridCol w:w="454"/>
              <w:gridCol w:w="7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vMerge w:val="restart"/>
                  <w:vAlign w:val="center"/>
                </w:tcPr>
                <w:p>
                  <w:pPr>
                    <w:adjustRightInd w:val="0"/>
                    <w:snapToGrid w:val="0"/>
                    <w:jc w:val="center"/>
                    <w:rPr>
                      <w:b/>
                      <w:bCs/>
                      <w:color w:val="0000FF"/>
                      <w:szCs w:val="21"/>
                      <w:highlight w:val="none"/>
                    </w:rPr>
                  </w:pPr>
                  <w:r>
                    <w:rPr>
                      <w:b/>
                      <w:bCs/>
                      <w:color w:val="0000FF"/>
                      <w:szCs w:val="21"/>
                      <w:highlight w:val="none"/>
                    </w:rPr>
                    <w:t>序号</w:t>
                  </w:r>
                </w:p>
              </w:tc>
              <w:tc>
                <w:tcPr>
                  <w:tcW w:w="151" w:type="pct"/>
                  <w:vMerge w:val="restart"/>
                  <w:vAlign w:val="center"/>
                </w:tcPr>
                <w:p>
                  <w:pPr>
                    <w:adjustRightInd w:val="0"/>
                    <w:snapToGrid w:val="0"/>
                    <w:jc w:val="center"/>
                    <w:rPr>
                      <w:b/>
                      <w:bCs/>
                      <w:color w:val="0000FF"/>
                      <w:szCs w:val="21"/>
                      <w:highlight w:val="none"/>
                    </w:rPr>
                  </w:pPr>
                  <w:r>
                    <w:rPr>
                      <w:b/>
                      <w:bCs/>
                      <w:color w:val="0000FF"/>
                      <w:szCs w:val="21"/>
                      <w:highlight w:val="none"/>
                    </w:rPr>
                    <w:t>建筑物名称</w:t>
                  </w:r>
                </w:p>
              </w:tc>
              <w:tc>
                <w:tcPr>
                  <w:tcW w:w="295" w:type="pct"/>
                  <w:vMerge w:val="restart"/>
                  <w:vAlign w:val="center"/>
                </w:tcPr>
                <w:p>
                  <w:pPr>
                    <w:adjustRightInd w:val="0"/>
                    <w:snapToGrid w:val="0"/>
                    <w:jc w:val="center"/>
                    <w:rPr>
                      <w:b/>
                      <w:bCs/>
                      <w:color w:val="0000FF"/>
                      <w:szCs w:val="21"/>
                      <w:highlight w:val="none"/>
                    </w:rPr>
                  </w:pPr>
                  <w:r>
                    <w:rPr>
                      <w:b/>
                      <w:bCs/>
                      <w:color w:val="0000FF"/>
                      <w:szCs w:val="21"/>
                      <w:highlight w:val="none"/>
                    </w:rPr>
                    <w:t>声源</w:t>
                  </w:r>
                </w:p>
                <w:p>
                  <w:pPr>
                    <w:adjustRightInd w:val="0"/>
                    <w:snapToGrid w:val="0"/>
                    <w:jc w:val="center"/>
                    <w:rPr>
                      <w:b/>
                      <w:bCs/>
                      <w:color w:val="0000FF"/>
                      <w:szCs w:val="21"/>
                      <w:highlight w:val="none"/>
                    </w:rPr>
                  </w:pPr>
                  <w:r>
                    <w:rPr>
                      <w:b/>
                      <w:bCs/>
                      <w:color w:val="0000FF"/>
                      <w:szCs w:val="21"/>
                      <w:highlight w:val="none"/>
                    </w:rPr>
                    <w:t>名称</w:t>
                  </w:r>
                </w:p>
              </w:tc>
              <w:tc>
                <w:tcPr>
                  <w:tcW w:w="135"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数量</w:t>
                  </w:r>
                </w:p>
              </w:tc>
              <w:tc>
                <w:tcPr>
                  <w:tcW w:w="491" w:type="pct"/>
                  <w:gridSpan w:val="2"/>
                  <w:vAlign w:val="center"/>
                </w:tcPr>
                <w:p>
                  <w:pPr>
                    <w:adjustRightInd w:val="0"/>
                    <w:snapToGrid w:val="0"/>
                    <w:jc w:val="center"/>
                    <w:rPr>
                      <w:b/>
                      <w:bCs/>
                      <w:color w:val="0000FF"/>
                      <w:szCs w:val="21"/>
                      <w:highlight w:val="none"/>
                    </w:rPr>
                  </w:pPr>
                  <w:r>
                    <w:rPr>
                      <w:b/>
                      <w:bCs/>
                      <w:color w:val="0000FF"/>
                      <w:szCs w:val="21"/>
                      <w:highlight w:val="none"/>
                    </w:rPr>
                    <w:t>声源源强</w:t>
                  </w:r>
                </w:p>
              </w:tc>
              <w:tc>
                <w:tcPr>
                  <w:tcW w:w="239" w:type="pct"/>
                  <w:vMerge w:val="restart"/>
                  <w:vAlign w:val="center"/>
                </w:tcPr>
                <w:p>
                  <w:pPr>
                    <w:adjustRightInd w:val="0"/>
                    <w:snapToGrid w:val="0"/>
                    <w:jc w:val="center"/>
                    <w:rPr>
                      <w:b/>
                      <w:bCs/>
                      <w:color w:val="0000FF"/>
                      <w:szCs w:val="21"/>
                      <w:highlight w:val="none"/>
                    </w:rPr>
                  </w:pPr>
                  <w:r>
                    <w:rPr>
                      <w:b/>
                      <w:bCs/>
                      <w:color w:val="0000FF"/>
                      <w:szCs w:val="21"/>
                      <w:highlight w:val="none"/>
                    </w:rPr>
                    <w:t>声源控制措施</w:t>
                  </w:r>
                </w:p>
              </w:tc>
              <w:tc>
                <w:tcPr>
                  <w:tcW w:w="503" w:type="pct"/>
                  <w:gridSpan w:val="3"/>
                  <w:vAlign w:val="center"/>
                </w:tcPr>
                <w:p>
                  <w:pPr>
                    <w:adjustRightInd w:val="0"/>
                    <w:snapToGrid w:val="0"/>
                    <w:jc w:val="center"/>
                    <w:rPr>
                      <w:b/>
                      <w:bCs/>
                      <w:color w:val="0000FF"/>
                      <w:szCs w:val="21"/>
                      <w:highlight w:val="none"/>
                    </w:rPr>
                  </w:pPr>
                  <w:r>
                    <w:rPr>
                      <w:b/>
                      <w:bCs/>
                      <w:color w:val="0000FF"/>
                      <w:szCs w:val="21"/>
                      <w:highlight w:val="none"/>
                    </w:rPr>
                    <w:t>空间相对位置/m</w:t>
                  </w:r>
                </w:p>
              </w:tc>
              <w:tc>
                <w:tcPr>
                  <w:tcW w:w="683" w:type="pct"/>
                  <w:gridSpan w:val="4"/>
                  <w:vAlign w:val="center"/>
                </w:tcPr>
                <w:p>
                  <w:pPr>
                    <w:adjustRightInd w:val="0"/>
                    <w:snapToGrid w:val="0"/>
                    <w:jc w:val="center"/>
                    <w:rPr>
                      <w:b/>
                      <w:bCs/>
                      <w:color w:val="0000FF"/>
                      <w:szCs w:val="21"/>
                      <w:highlight w:val="none"/>
                    </w:rPr>
                  </w:pPr>
                  <w:r>
                    <w:rPr>
                      <w:b/>
                      <w:bCs/>
                      <w:color w:val="0000FF"/>
                      <w:szCs w:val="21"/>
                      <w:highlight w:val="none"/>
                    </w:rPr>
                    <w:t>距室内边界距离/m</w:t>
                  </w:r>
                </w:p>
              </w:tc>
              <w:tc>
                <w:tcPr>
                  <w:tcW w:w="839" w:type="pct"/>
                  <w:gridSpan w:val="4"/>
                  <w:vAlign w:val="center"/>
                </w:tcPr>
                <w:p>
                  <w:pPr>
                    <w:adjustRightInd w:val="0"/>
                    <w:snapToGrid w:val="0"/>
                    <w:jc w:val="center"/>
                    <w:rPr>
                      <w:b/>
                      <w:bCs/>
                      <w:color w:val="0000FF"/>
                      <w:szCs w:val="21"/>
                      <w:highlight w:val="none"/>
                    </w:rPr>
                  </w:pPr>
                  <w:r>
                    <w:rPr>
                      <w:b/>
                      <w:bCs/>
                      <w:color w:val="0000FF"/>
                      <w:szCs w:val="21"/>
                      <w:highlight w:val="none"/>
                    </w:rPr>
                    <w:t>室内边界声级/dB（A）</w:t>
                  </w:r>
                </w:p>
              </w:tc>
              <w:tc>
                <w:tcPr>
                  <w:tcW w:w="247" w:type="pct"/>
                  <w:vMerge w:val="restart"/>
                  <w:vAlign w:val="center"/>
                </w:tcPr>
                <w:p>
                  <w:pPr>
                    <w:adjustRightInd w:val="0"/>
                    <w:snapToGrid w:val="0"/>
                    <w:jc w:val="center"/>
                    <w:rPr>
                      <w:b/>
                      <w:bCs/>
                      <w:color w:val="0000FF"/>
                      <w:szCs w:val="21"/>
                      <w:highlight w:val="none"/>
                    </w:rPr>
                  </w:pPr>
                  <w:r>
                    <w:rPr>
                      <w:b/>
                      <w:bCs/>
                      <w:color w:val="0000FF"/>
                      <w:szCs w:val="21"/>
                      <w:highlight w:val="none"/>
                    </w:rPr>
                    <w:t>运行时段</w:t>
                  </w:r>
                </w:p>
              </w:tc>
              <w:tc>
                <w:tcPr>
                  <w:tcW w:w="260" w:type="pct"/>
                  <w:vMerge w:val="restart"/>
                  <w:vAlign w:val="center"/>
                </w:tcPr>
                <w:p>
                  <w:pPr>
                    <w:adjustRightInd w:val="0"/>
                    <w:snapToGrid w:val="0"/>
                    <w:jc w:val="center"/>
                    <w:rPr>
                      <w:b/>
                      <w:bCs/>
                      <w:color w:val="0000FF"/>
                      <w:szCs w:val="21"/>
                      <w:highlight w:val="none"/>
                    </w:rPr>
                  </w:pPr>
                  <w:r>
                    <w:rPr>
                      <w:b/>
                      <w:bCs/>
                      <w:color w:val="0000FF"/>
                      <w:szCs w:val="21"/>
                      <w:highlight w:val="none"/>
                    </w:rPr>
                    <w:t>建筑物插入损失/dB（A）</w:t>
                  </w:r>
                </w:p>
              </w:tc>
              <w:tc>
                <w:tcPr>
                  <w:tcW w:w="998" w:type="pct"/>
                  <w:gridSpan w:val="6"/>
                  <w:tcBorders>
                    <w:right w:val="nil"/>
                  </w:tcBorders>
                  <w:vAlign w:val="center"/>
                </w:tcPr>
                <w:p>
                  <w:pPr>
                    <w:adjustRightInd w:val="0"/>
                    <w:snapToGrid w:val="0"/>
                    <w:jc w:val="center"/>
                    <w:rPr>
                      <w:b/>
                      <w:bCs/>
                      <w:color w:val="0000FF"/>
                      <w:szCs w:val="21"/>
                      <w:highlight w:val="none"/>
                    </w:rPr>
                  </w:pPr>
                  <w:r>
                    <w:rPr>
                      <w:b/>
                      <w:bCs/>
                      <w:color w:val="0000FF"/>
                      <w:szCs w:val="21"/>
                      <w:highlight w:val="none"/>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vMerge w:val="continue"/>
                  <w:tcBorders>
                    <w:left w:val="nil"/>
                  </w:tcBorders>
                  <w:vAlign w:val="center"/>
                </w:tcPr>
                <w:p>
                  <w:pPr>
                    <w:adjustRightInd w:val="0"/>
                    <w:snapToGrid w:val="0"/>
                    <w:jc w:val="center"/>
                    <w:rPr>
                      <w:b/>
                      <w:bCs/>
                      <w:color w:val="0000FF"/>
                      <w:szCs w:val="21"/>
                      <w:highlight w:val="none"/>
                    </w:rPr>
                  </w:pPr>
                </w:p>
              </w:tc>
              <w:tc>
                <w:tcPr>
                  <w:tcW w:w="151" w:type="pct"/>
                  <w:vMerge w:val="continue"/>
                  <w:vAlign w:val="center"/>
                </w:tcPr>
                <w:p>
                  <w:pPr>
                    <w:adjustRightInd w:val="0"/>
                    <w:snapToGrid w:val="0"/>
                    <w:jc w:val="center"/>
                    <w:rPr>
                      <w:b/>
                      <w:bCs/>
                      <w:color w:val="0000FF"/>
                      <w:kern w:val="0"/>
                      <w:szCs w:val="21"/>
                      <w:highlight w:val="none"/>
                    </w:rPr>
                  </w:pPr>
                </w:p>
              </w:tc>
              <w:tc>
                <w:tcPr>
                  <w:tcW w:w="295" w:type="pct"/>
                  <w:vMerge w:val="continue"/>
                  <w:vAlign w:val="center"/>
                </w:tcPr>
                <w:p>
                  <w:pPr>
                    <w:adjustRightInd w:val="0"/>
                    <w:snapToGrid w:val="0"/>
                    <w:jc w:val="center"/>
                    <w:rPr>
                      <w:b/>
                      <w:bCs/>
                      <w:color w:val="0000FF"/>
                      <w:kern w:val="0"/>
                      <w:szCs w:val="21"/>
                      <w:highlight w:val="none"/>
                    </w:rPr>
                  </w:pPr>
                </w:p>
              </w:tc>
              <w:tc>
                <w:tcPr>
                  <w:tcW w:w="135" w:type="pct"/>
                  <w:vMerge w:val="continue"/>
                  <w:vAlign w:val="center"/>
                </w:tcPr>
                <w:p>
                  <w:pPr>
                    <w:adjustRightInd w:val="0"/>
                    <w:snapToGrid w:val="0"/>
                    <w:jc w:val="center"/>
                    <w:rPr>
                      <w:b/>
                      <w:bCs/>
                      <w:color w:val="0000FF"/>
                      <w:szCs w:val="21"/>
                      <w:highlight w:val="none"/>
                    </w:rPr>
                  </w:pPr>
                </w:p>
              </w:tc>
              <w:tc>
                <w:tcPr>
                  <w:tcW w:w="250"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lang w:val="en-US" w:eastAsia="zh-CN"/>
                    </w:rPr>
                    <w:t>单台</w:t>
                  </w:r>
                  <w:r>
                    <w:rPr>
                      <w:b/>
                      <w:bCs/>
                      <w:color w:val="0000FF"/>
                      <w:szCs w:val="21"/>
                      <w:highlight w:val="none"/>
                    </w:rPr>
                    <w:t>声功率级</w:t>
                  </w:r>
                </w:p>
              </w:tc>
              <w:tc>
                <w:tcPr>
                  <w:tcW w:w="241"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lang w:val="en-US" w:eastAsia="zh-CN"/>
                    </w:rPr>
                    <w:t>叠加后声</w:t>
                  </w:r>
                  <w:r>
                    <w:rPr>
                      <w:b/>
                      <w:bCs/>
                      <w:color w:val="0000FF"/>
                      <w:szCs w:val="21"/>
                      <w:highlight w:val="none"/>
                    </w:rPr>
                    <w:t>功率级</w:t>
                  </w:r>
                </w:p>
              </w:tc>
              <w:tc>
                <w:tcPr>
                  <w:tcW w:w="239" w:type="pct"/>
                  <w:vMerge w:val="continue"/>
                  <w:vAlign w:val="center"/>
                </w:tcPr>
                <w:p>
                  <w:pPr>
                    <w:adjustRightInd w:val="0"/>
                    <w:snapToGrid w:val="0"/>
                    <w:jc w:val="center"/>
                    <w:rPr>
                      <w:b/>
                      <w:bCs/>
                      <w:color w:val="0000FF"/>
                      <w:szCs w:val="21"/>
                      <w:highlight w:val="none"/>
                    </w:rPr>
                  </w:pPr>
                </w:p>
              </w:tc>
              <w:tc>
                <w:tcPr>
                  <w:tcW w:w="172" w:type="pct"/>
                  <w:vMerge w:val="restart"/>
                  <w:vAlign w:val="center"/>
                </w:tcPr>
                <w:p>
                  <w:pPr>
                    <w:adjustRightInd w:val="0"/>
                    <w:snapToGrid w:val="0"/>
                    <w:jc w:val="center"/>
                    <w:rPr>
                      <w:b/>
                      <w:bCs/>
                      <w:color w:val="0000FF"/>
                      <w:szCs w:val="21"/>
                      <w:highlight w:val="none"/>
                    </w:rPr>
                  </w:pPr>
                  <w:r>
                    <w:rPr>
                      <w:b/>
                      <w:bCs/>
                      <w:color w:val="0000FF"/>
                      <w:szCs w:val="21"/>
                      <w:highlight w:val="none"/>
                    </w:rPr>
                    <w:t>X</w:t>
                  </w:r>
                </w:p>
              </w:tc>
              <w:tc>
                <w:tcPr>
                  <w:tcW w:w="189" w:type="pct"/>
                  <w:vMerge w:val="restart"/>
                  <w:vAlign w:val="center"/>
                </w:tcPr>
                <w:p>
                  <w:pPr>
                    <w:adjustRightInd w:val="0"/>
                    <w:snapToGrid w:val="0"/>
                    <w:jc w:val="center"/>
                    <w:rPr>
                      <w:b/>
                      <w:bCs/>
                      <w:color w:val="0000FF"/>
                      <w:szCs w:val="21"/>
                      <w:highlight w:val="none"/>
                    </w:rPr>
                  </w:pPr>
                  <w:r>
                    <w:rPr>
                      <w:b/>
                      <w:bCs/>
                      <w:color w:val="0000FF"/>
                      <w:szCs w:val="21"/>
                      <w:highlight w:val="none"/>
                    </w:rPr>
                    <w:t>Y</w:t>
                  </w:r>
                </w:p>
              </w:tc>
              <w:tc>
                <w:tcPr>
                  <w:tcW w:w="141" w:type="pct"/>
                  <w:vMerge w:val="restart"/>
                  <w:vAlign w:val="center"/>
                </w:tcPr>
                <w:p>
                  <w:pPr>
                    <w:adjustRightInd w:val="0"/>
                    <w:snapToGrid w:val="0"/>
                    <w:jc w:val="center"/>
                    <w:rPr>
                      <w:b/>
                      <w:bCs/>
                      <w:color w:val="0000FF"/>
                      <w:szCs w:val="21"/>
                      <w:highlight w:val="none"/>
                    </w:rPr>
                  </w:pPr>
                  <w:r>
                    <w:rPr>
                      <w:b/>
                      <w:bCs/>
                      <w:color w:val="0000FF"/>
                      <w:szCs w:val="21"/>
                      <w:highlight w:val="none"/>
                    </w:rPr>
                    <w:t>Z</w:t>
                  </w:r>
                </w:p>
              </w:tc>
              <w:tc>
                <w:tcPr>
                  <w:tcW w:w="169"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东</w:t>
                  </w:r>
                </w:p>
              </w:tc>
              <w:tc>
                <w:tcPr>
                  <w:tcW w:w="169"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南</w:t>
                  </w:r>
                </w:p>
              </w:tc>
              <w:tc>
                <w:tcPr>
                  <w:tcW w:w="169"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西</w:t>
                  </w:r>
                </w:p>
              </w:tc>
              <w:tc>
                <w:tcPr>
                  <w:tcW w:w="173"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北</w:t>
                  </w:r>
                </w:p>
              </w:tc>
              <w:tc>
                <w:tcPr>
                  <w:tcW w:w="204"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东</w:t>
                  </w:r>
                </w:p>
              </w:tc>
              <w:tc>
                <w:tcPr>
                  <w:tcW w:w="229"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南</w:t>
                  </w:r>
                </w:p>
              </w:tc>
              <w:tc>
                <w:tcPr>
                  <w:tcW w:w="194"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西</w:t>
                  </w:r>
                </w:p>
              </w:tc>
              <w:tc>
                <w:tcPr>
                  <w:tcW w:w="210" w:type="pct"/>
                  <w:vMerge w:val="restart"/>
                  <w:vAlign w:val="center"/>
                </w:tcPr>
                <w:p>
                  <w:pPr>
                    <w:adjustRightInd w:val="0"/>
                    <w:snapToGrid w:val="0"/>
                    <w:jc w:val="center"/>
                    <w:rPr>
                      <w:b/>
                      <w:bCs/>
                      <w:color w:val="0000FF"/>
                      <w:szCs w:val="21"/>
                      <w:highlight w:val="none"/>
                    </w:rPr>
                  </w:pPr>
                  <w:r>
                    <w:rPr>
                      <w:rFonts w:hint="eastAsia"/>
                      <w:b/>
                      <w:bCs/>
                      <w:color w:val="0000FF"/>
                      <w:szCs w:val="21"/>
                      <w:highlight w:val="none"/>
                    </w:rPr>
                    <w:t>北</w:t>
                  </w:r>
                </w:p>
              </w:tc>
              <w:tc>
                <w:tcPr>
                  <w:tcW w:w="247" w:type="pct"/>
                  <w:vMerge w:val="continue"/>
                  <w:vAlign w:val="center"/>
                </w:tcPr>
                <w:p>
                  <w:pPr>
                    <w:adjustRightInd w:val="0"/>
                    <w:snapToGrid w:val="0"/>
                    <w:jc w:val="center"/>
                    <w:rPr>
                      <w:b/>
                      <w:bCs/>
                      <w:color w:val="0000FF"/>
                      <w:szCs w:val="21"/>
                      <w:highlight w:val="none"/>
                    </w:rPr>
                  </w:pPr>
                </w:p>
              </w:tc>
              <w:tc>
                <w:tcPr>
                  <w:tcW w:w="260" w:type="pct"/>
                  <w:vMerge w:val="continue"/>
                  <w:vAlign w:val="center"/>
                </w:tcPr>
                <w:p>
                  <w:pPr>
                    <w:adjustRightInd w:val="0"/>
                    <w:snapToGrid w:val="0"/>
                    <w:jc w:val="center"/>
                    <w:rPr>
                      <w:b/>
                      <w:bCs/>
                      <w:color w:val="0000FF"/>
                      <w:szCs w:val="21"/>
                      <w:highlight w:val="none"/>
                    </w:rPr>
                  </w:pPr>
                </w:p>
              </w:tc>
              <w:tc>
                <w:tcPr>
                  <w:tcW w:w="736" w:type="pct"/>
                  <w:gridSpan w:val="4"/>
                  <w:vAlign w:val="center"/>
                </w:tcPr>
                <w:p>
                  <w:pPr>
                    <w:adjustRightInd w:val="0"/>
                    <w:snapToGrid w:val="0"/>
                    <w:jc w:val="center"/>
                    <w:rPr>
                      <w:b/>
                      <w:bCs/>
                      <w:color w:val="0000FF"/>
                      <w:szCs w:val="21"/>
                      <w:highlight w:val="none"/>
                    </w:rPr>
                  </w:pPr>
                  <w:r>
                    <w:rPr>
                      <w:b/>
                      <w:bCs/>
                      <w:color w:val="0000FF"/>
                      <w:szCs w:val="21"/>
                      <w:highlight w:val="none"/>
                    </w:rPr>
                    <w:t>声压级/dB（A）</w:t>
                  </w:r>
                </w:p>
              </w:tc>
              <w:tc>
                <w:tcPr>
                  <w:tcW w:w="261" w:type="pct"/>
                  <w:gridSpan w:val="2"/>
                  <w:vMerge w:val="restart"/>
                  <w:tcBorders>
                    <w:right w:val="nil"/>
                  </w:tcBorders>
                  <w:vAlign w:val="center"/>
                </w:tcPr>
                <w:p>
                  <w:pPr>
                    <w:adjustRightInd w:val="0"/>
                    <w:snapToGrid w:val="0"/>
                    <w:jc w:val="center"/>
                    <w:rPr>
                      <w:b/>
                      <w:bCs/>
                      <w:color w:val="0000FF"/>
                      <w:szCs w:val="21"/>
                      <w:highlight w:val="none"/>
                    </w:rPr>
                  </w:pPr>
                  <w:r>
                    <w:rPr>
                      <w:b/>
                      <w:bCs/>
                      <w:color w:val="0000FF"/>
                      <w:szCs w:val="21"/>
                      <w:highlight w:val="none"/>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vMerge w:val="continue"/>
                  <w:tcBorders>
                    <w:left w:val="nil"/>
                  </w:tcBorders>
                  <w:vAlign w:val="center"/>
                </w:tcPr>
                <w:p>
                  <w:pPr>
                    <w:adjustRightInd w:val="0"/>
                    <w:snapToGrid w:val="0"/>
                    <w:jc w:val="center"/>
                    <w:rPr>
                      <w:b/>
                      <w:bCs/>
                      <w:color w:val="0000FF"/>
                      <w:szCs w:val="21"/>
                      <w:highlight w:val="none"/>
                    </w:rPr>
                  </w:pPr>
                </w:p>
              </w:tc>
              <w:tc>
                <w:tcPr>
                  <w:tcW w:w="151" w:type="pct"/>
                  <w:vMerge w:val="continue"/>
                  <w:vAlign w:val="center"/>
                </w:tcPr>
                <w:p>
                  <w:pPr>
                    <w:adjustRightInd w:val="0"/>
                    <w:snapToGrid w:val="0"/>
                    <w:jc w:val="center"/>
                    <w:rPr>
                      <w:b/>
                      <w:bCs/>
                      <w:color w:val="0000FF"/>
                      <w:kern w:val="0"/>
                      <w:szCs w:val="21"/>
                      <w:highlight w:val="none"/>
                    </w:rPr>
                  </w:pPr>
                </w:p>
              </w:tc>
              <w:tc>
                <w:tcPr>
                  <w:tcW w:w="295" w:type="pct"/>
                  <w:vMerge w:val="continue"/>
                  <w:vAlign w:val="center"/>
                </w:tcPr>
                <w:p>
                  <w:pPr>
                    <w:adjustRightInd w:val="0"/>
                    <w:snapToGrid w:val="0"/>
                    <w:jc w:val="center"/>
                    <w:rPr>
                      <w:b/>
                      <w:bCs/>
                      <w:color w:val="0000FF"/>
                      <w:kern w:val="0"/>
                      <w:szCs w:val="21"/>
                      <w:highlight w:val="none"/>
                    </w:rPr>
                  </w:pPr>
                </w:p>
              </w:tc>
              <w:tc>
                <w:tcPr>
                  <w:tcW w:w="135" w:type="pct"/>
                  <w:vMerge w:val="continue"/>
                  <w:vAlign w:val="center"/>
                </w:tcPr>
                <w:p>
                  <w:pPr>
                    <w:adjustRightInd w:val="0"/>
                    <w:snapToGrid w:val="0"/>
                    <w:jc w:val="center"/>
                    <w:rPr>
                      <w:b/>
                      <w:bCs/>
                      <w:color w:val="0000FF"/>
                      <w:szCs w:val="21"/>
                      <w:highlight w:val="none"/>
                    </w:rPr>
                  </w:pPr>
                </w:p>
              </w:tc>
              <w:tc>
                <w:tcPr>
                  <w:tcW w:w="250" w:type="pct"/>
                  <w:vMerge w:val="continue"/>
                  <w:vAlign w:val="center"/>
                </w:tcPr>
                <w:p>
                  <w:pPr>
                    <w:adjustRightInd w:val="0"/>
                    <w:snapToGrid w:val="0"/>
                    <w:jc w:val="center"/>
                    <w:rPr>
                      <w:b/>
                      <w:bCs/>
                      <w:color w:val="0000FF"/>
                      <w:szCs w:val="21"/>
                      <w:highlight w:val="none"/>
                    </w:rPr>
                  </w:pPr>
                </w:p>
              </w:tc>
              <w:tc>
                <w:tcPr>
                  <w:tcW w:w="241" w:type="pct"/>
                  <w:vMerge w:val="continue"/>
                  <w:vAlign w:val="center"/>
                </w:tcPr>
                <w:p>
                  <w:pPr>
                    <w:adjustRightInd w:val="0"/>
                    <w:snapToGrid w:val="0"/>
                    <w:jc w:val="center"/>
                    <w:rPr>
                      <w:b/>
                      <w:bCs/>
                      <w:color w:val="0000FF"/>
                      <w:szCs w:val="21"/>
                      <w:highlight w:val="none"/>
                    </w:rPr>
                  </w:pPr>
                </w:p>
              </w:tc>
              <w:tc>
                <w:tcPr>
                  <w:tcW w:w="239" w:type="pct"/>
                  <w:vMerge w:val="continue"/>
                  <w:vAlign w:val="center"/>
                </w:tcPr>
                <w:p>
                  <w:pPr>
                    <w:adjustRightInd w:val="0"/>
                    <w:snapToGrid w:val="0"/>
                    <w:jc w:val="center"/>
                    <w:rPr>
                      <w:b/>
                      <w:bCs/>
                      <w:color w:val="0000FF"/>
                      <w:szCs w:val="21"/>
                      <w:highlight w:val="none"/>
                    </w:rPr>
                  </w:pPr>
                </w:p>
              </w:tc>
              <w:tc>
                <w:tcPr>
                  <w:tcW w:w="172" w:type="pct"/>
                  <w:vMerge w:val="continue"/>
                  <w:vAlign w:val="center"/>
                </w:tcPr>
                <w:p>
                  <w:pPr>
                    <w:adjustRightInd w:val="0"/>
                    <w:snapToGrid w:val="0"/>
                    <w:jc w:val="center"/>
                    <w:rPr>
                      <w:b/>
                      <w:bCs/>
                      <w:color w:val="0000FF"/>
                      <w:szCs w:val="21"/>
                      <w:highlight w:val="none"/>
                    </w:rPr>
                  </w:pPr>
                </w:p>
              </w:tc>
              <w:tc>
                <w:tcPr>
                  <w:tcW w:w="189" w:type="pct"/>
                  <w:vMerge w:val="continue"/>
                  <w:vAlign w:val="center"/>
                </w:tcPr>
                <w:p>
                  <w:pPr>
                    <w:adjustRightInd w:val="0"/>
                    <w:snapToGrid w:val="0"/>
                    <w:jc w:val="center"/>
                    <w:rPr>
                      <w:b/>
                      <w:bCs/>
                      <w:color w:val="0000FF"/>
                      <w:szCs w:val="21"/>
                      <w:highlight w:val="none"/>
                    </w:rPr>
                  </w:pPr>
                </w:p>
              </w:tc>
              <w:tc>
                <w:tcPr>
                  <w:tcW w:w="141" w:type="pct"/>
                  <w:vMerge w:val="continue"/>
                  <w:vAlign w:val="center"/>
                </w:tcPr>
                <w:p>
                  <w:pPr>
                    <w:adjustRightInd w:val="0"/>
                    <w:snapToGrid w:val="0"/>
                    <w:jc w:val="center"/>
                    <w:rPr>
                      <w:b/>
                      <w:bCs/>
                      <w:color w:val="0000FF"/>
                      <w:szCs w:val="21"/>
                      <w:highlight w:val="none"/>
                    </w:rPr>
                  </w:pPr>
                </w:p>
              </w:tc>
              <w:tc>
                <w:tcPr>
                  <w:tcW w:w="169" w:type="pct"/>
                  <w:vMerge w:val="continue"/>
                  <w:vAlign w:val="center"/>
                </w:tcPr>
                <w:p>
                  <w:pPr>
                    <w:adjustRightInd w:val="0"/>
                    <w:snapToGrid w:val="0"/>
                    <w:jc w:val="center"/>
                    <w:rPr>
                      <w:b/>
                      <w:bCs/>
                      <w:color w:val="0000FF"/>
                      <w:szCs w:val="21"/>
                      <w:highlight w:val="none"/>
                    </w:rPr>
                  </w:pPr>
                </w:p>
              </w:tc>
              <w:tc>
                <w:tcPr>
                  <w:tcW w:w="169" w:type="pct"/>
                  <w:vMerge w:val="continue"/>
                  <w:vAlign w:val="center"/>
                </w:tcPr>
                <w:p>
                  <w:pPr>
                    <w:adjustRightInd w:val="0"/>
                    <w:snapToGrid w:val="0"/>
                    <w:jc w:val="center"/>
                    <w:rPr>
                      <w:b/>
                      <w:bCs/>
                      <w:color w:val="0000FF"/>
                      <w:szCs w:val="21"/>
                      <w:highlight w:val="none"/>
                    </w:rPr>
                  </w:pPr>
                </w:p>
              </w:tc>
              <w:tc>
                <w:tcPr>
                  <w:tcW w:w="169" w:type="pct"/>
                  <w:vMerge w:val="continue"/>
                  <w:vAlign w:val="center"/>
                </w:tcPr>
                <w:p>
                  <w:pPr>
                    <w:adjustRightInd w:val="0"/>
                    <w:snapToGrid w:val="0"/>
                    <w:jc w:val="center"/>
                    <w:rPr>
                      <w:b/>
                      <w:bCs/>
                      <w:color w:val="0000FF"/>
                      <w:szCs w:val="21"/>
                      <w:highlight w:val="none"/>
                    </w:rPr>
                  </w:pPr>
                </w:p>
              </w:tc>
              <w:tc>
                <w:tcPr>
                  <w:tcW w:w="173" w:type="pct"/>
                  <w:vMerge w:val="continue"/>
                  <w:vAlign w:val="center"/>
                </w:tcPr>
                <w:p>
                  <w:pPr>
                    <w:adjustRightInd w:val="0"/>
                    <w:snapToGrid w:val="0"/>
                    <w:jc w:val="center"/>
                    <w:rPr>
                      <w:b/>
                      <w:bCs/>
                      <w:color w:val="0000FF"/>
                      <w:szCs w:val="21"/>
                      <w:highlight w:val="none"/>
                    </w:rPr>
                  </w:pPr>
                </w:p>
              </w:tc>
              <w:tc>
                <w:tcPr>
                  <w:tcW w:w="204" w:type="pct"/>
                  <w:vMerge w:val="continue"/>
                  <w:vAlign w:val="center"/>
                </w:tcPr>
                <w:p>
                  <w:pPr>
                    <w:adjustRightInd w:val="0"/>
                    <w:snapToGrid w:val="0"/>
                    <w:jc w:val="center"/>
                    <w:rPr>
                      <w:b/>
                      <w:bCs/>
                      <w:color w:val="0000FF"/>
                      <w:szCs w:val="21"/>
                      <w:highlight w:val="none"/>
                    </w:rPr>
                  </w:pPr>
                </w:p>
              </w:tc>
              <w:tc>
                <w:tcPr>
                  <w:tcW w:w="229" w:type="pct"/>
                  <w:vMerge w:val="continue"/>
                  <w:vAlign w:val="center"/>
                </w:tcPr>
                <w:p>
                  <w:pPr>
                    <w:adjustRightInd w:val="0"/>
                    <w:snapToGrid w:val="0"/>
                    <w:jc w:val="center"/>
                    <w:rPr>
                      <w:b/>
                      <w:bCs/>
                      <w:color w:val="0000FF"/>
                      <w:szCs w:val="21"/>
                      <w:highlight w:val="none"/>
                    </w:rPr>
                  </w:pPr>
                </w:p>
              </w:tc>
              <w:tc>
                <w:tcPr>
                  <w:tcW w:w="194" w:type="pct"/>
                  <w:vMerge w:val="continue"/>
                  <w:vAlign w:val="center"/>
                </w:tcPr>
                <w:p>
                  <w:pPr>
                    <w:adjustRightInd w:val="0"/>
                    <w:snapToGrid w:val="0"/>
                    <w:jc w:val="center"/>
                    <w:rPr>
                      <w:b/>
                      <w:bCs/>
                      <w:color w:val="0000FF"/>
                      <w:szCs w:val="21"/>
                      <w:highlight w:val="none"/>
                    </w:rPr>
                  </w:pPr>
                </w:p>
              </w:tc>
              <w:tc>
                <w:tcPr>
                  <w:tcW w:w="210" w:type="pct"/>
                  <w:vMerge w:val="continue"/>
                  <w:vAlign w:val="center"/>
                </w:tcPr>
                <w:p>
                  <w:pPr>
                    <w:adjustRightInd w:val="0"/>
                    <w:snapToGrid w:val="0"/>
                    <w:jc w:val="center"/>
                    <w:rPr>
                      <w:b/>
                      <w:bCs/>
                      <w:color w:val="0000FF"/>
                      <w:szCs w:val="21"/>
                      <w:highlight w:val="none"/>
                    </w:rPr>
                  </w:pPr>
                </w:p>
              </w:tc>
              <w:tc>
                <w:tcPr>
                  <w:tcW w:w="247" w:type="pct"/>
                  <w:vMerge w:val="continue"/>
                  <w:vAlign w:val="center"/>
                </w:tcPr>
                <w:p>
                  <w:pPr>
                    <w:adjustRightInd w:val="0"/>
                    <w:snapToGrid w:val="0"/>
                    <w:jc w:val="center"/>
                    <w:rPr>
                      <w:b/>
                      <w:bCs/>
                      <w:color w:val="0000FF"/>
                      <w:szCs w:val="21"/>
                      <w:highlight w:val="none"/>
                    </w:rPr>
                  </w:pPr>
                </w:p>
              </w:tc>
              <w:tc>
                <w:tcPr>
                  <w:tcW w:w="260" w:type="pct"/>
                  <w:vMerge w:val="continue"/>
                  <w:vAlign w:val="center"/>
                </w:tcPr>
                <w:p>
                  <w:pPr>
                    <w:adjustRightInd w:val="0"/>
                    <w:snapToGrid w:val="0"/>
                    <w:jc w:val="center"/>
                    <w:rPr>
                      <w:b/>
                      <w:bCs/>
                      <w:color w:val="0000FF"/>
                      <w:szCs w:val="21"/>
                      <w:highlight w:val="none"/>
                    </w:rPr>
                  </w:pPr>
                </w:p>
              </w:tc>
              <w:tc>
                <w:tcPr>
                  <w:tcW w:w="203" w:type="pct"/>
                  <w:vAlign w:val="center"/>
                </w:tcPr>
                <w:p>
                  <w:pPr>
                    <w:adjustRightInd w:val="0"/>
                    <w:snapToGrid w:val="0"/>
                    <w:jc w:val="center"/>
                    <w:rPr>
                      <w:b/>
                      <w:bCs/>
                      <w:color w:val="0000FF"/>
                      <w:szCs w:val="21"/>
                      <w:highlight w:val="none"/>
                    </w:rPr>
                  </w:pPr>
                  <w:r>
                    <w:rPr>
                      <w:rFonts w:hint="eastAsia"/>
                      <w:b/>
                      <w:bCs/>
                      <w:color w:val="0000FF"/>
                      <w:szCs w:val="21"/>
                      <w:highlight w:val="none"/>
                    </w:rPr>
                    <w:t>东</w:t>
                  </w:r>
                </w:p>
              </w:tc>
              <w:tc>
                <w:tcPr>
                  <w:tcW w:w="207" w:type="pct"/>
                  <w:vAlign w:val="center"/>
                </w:tcPr>
                <w:p>
                  <w:pPr>
                    <w:adjustRightInd w:val="0"/>
                    <w:snapToGrid w:val="0"/>
                    <w:jc w:val="center"/>
                    <w:rPr>
                      <w:b/>
                      <w:bCs/>
                      <w:color w:val="0000FF"/>
                      <w:szCs w:val="21"/>
                      <w:highlight w:val="none"/>
                    </w:rPr>
                  </w:pPr>
                  <w:r>
                    <w:rPr>
                      <w:rFonts w:hint="eastAsia"/>
                      <w:b/>
                      <w:bCs/>
                      <w:color w:val="0000FF"/>
                      <w:szCs w:val="21"/>
                      <w:highlight w:val="none"/>
                    </w:rPr>
                    <w:t>南</w:t>
                  </w:r>
                </w:p>
              </w:tc>
              <w:tc>
                <w:tcPr>
                  <w:tcW w:w="156" w:type="pct"/>
                  <w:vAlign w:val="center"/>
                </w:tcPr>
                <w:p>
                  <w:pPr>
                    <w:adjustRightInd w:val="0"/>
                    <w:snapToGrid w:val="0"/>
                    <w:jc w:val="center"/>
                    <w:rPr>
                      <w:b/>
                      <w:bCs/>
                      <w:color w:val="0000FF"/>
                      <w:szCs w:val="21"/>
                      <w:highlight w:val="none"/>
                    </w:rPr>
                  </w:pPr>
                  <w:r>
                    <w:rPr>
                      <w:rFonts w:hint="eastAsia"/>
                      <w:b/>
                      <w:bCs/>
                      <w:color w:val="0000FF"/>
                      <w:szCs w:val="21"/>
                      <w:highlight w:val="none"/>
                    </w:rPr>
                    <w:t>西</w:t>
                  </w:r>
                </w:p>
              </w:tc>
              <w:tc>
                <w:tcPr>
                  <w:tcW w:w="169" w:type="pct"/>
                  <w:vAlign w:val="center"/>
                </w:tcPr>
                <w:p>
                  <w:pPr>
                    <w:adjustRightInd w:val="0"/>
                    <w:snapToGrid w:val="0"/>
                    <w:jc w:val="center"/>
                    <w:rPr>
                      <w:b/>
                      <w:bCs/>
                      <w:color w:val="0000FF"/>
                      <w:szCs w:val="21"/>
                      <w:highlight w:val="none"/>
                    </w:rPr>
                  </w:pPr>
                  <w:r>
                    <w:rPr>
                      <w:rFonts w:hint="eastAsia"/>
                      <w:b/>
                      <w:bCs/>
                      <w:color w:val="0000FF"/>
                      <w:szCs w:val="21"/>
                      <w:highlight w:val="none"/>
                    </w:rPr>
                    <w:t>北</w:t>
                  </w:r>
                </w:p>
              </w:tc>
              <w:tc>
                <w:tcPr>
                  <w:tcW w:w="261" w:type="pct"/>
                  <w:gridSpan w:val="2"/>
                  <w:vMerge w:val="continue"/>
                  <w:tcBorders>
                    <w:right w:val="nil"/>
                  </w:tcBorders>
                  <w:vAlign w:val="center"/>
                </w:tcPr>
                <w:p>
                  <w:pPr>
                    <w:adjustRightInd w:val="0"/>
                    <w:snapToGrid w:val="0"/>
                    <w:jc w:val="center"/>
                    <w:rPr>
                      <w:b/>
                      <w:bCs/>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vAlign w:val="center"/>
                </w:tcPr>
                <w:p>
                  <w:pPr>
                    <w:widowControl/>
                    <w:adjustRightInd w:val="0"/>
                    <w:snapToGrid w:val="0"/>
                    <w:jc w:val="center"/>
                    <w:rPr>
                      <w:color w:val="0000FF"/>
                      <w:szCs w:val="21"/>
                      <w:highlight w:val="none"/>
                    </w:rPr>
                  </w:pPr>
                  <w:r>
                    <w:rPr>
                      <w:color w:val="0000FF"/>
                      <w:szCs w:val="21"/>
                      <w:highlight w:val="none"/>
                    </w:rPr>
                    <w:t>1</w:t>
                  </w:r>
                </w:p>
              </w:tc>
              <w:tc>
                <w:tcPr>
                  <w:tcW w:w="151" w:type="pct"/>
                  <w:vMerge w:val="restart"/>
                  <w:vAlign w:val="center"/>
                </w:tcPr>
                <w:p>
                  <w:pPr>
                    <w:adjustRightInd w:val="0"/>
                    <w:snapToGrid w:val="0"/>
                    <w:jc w:val="center"/>
                    <w:rPr>
                      <w:color w:val="0000FF"/>
                      <w:kern w:val="0"/>
                      <w:szCs w:val="21"/>
                      <w:highlight w:val="none"/>
                    </w:rPr>
                  </w:pPr>
                  <w:r>
                    <w:rPr>
                      <w:rFonts w:hint="eastAsia"/>
                      <w:color w:val="0000FF"/>
                      <w:kern w:val="0"/>
                      <w:szCs w:val="21"/>
                      <w:highlight w:val="none"/>
                    </w:rPr>
                    <w:t>生产车间</w:t>
                  </w:r>
                </w:p>
              </w:tc>
              <w:tc>
                <w:tcPr>
                  <w:tcW w:w="295" w:type="pct"/>
                  <w:vAlign w:val="center"/>
                </w:tcPr>
                <w:p>
                  <w:pPr>
                    <w:adjustRightInd w:val="0"/>
                    <w:snapToGrid w:val="0"/>
                    <w:jc w:val="center"/>
                    <w:rPr>
                      <w:color w:val="0000FF"/>
                      <w:szCs w:val="21"/>
                      <w:highlight w:val="none"/>
                    </w:rPr>
                  </w:pPr>
                  <w:r>
                    <w:rPr>
                      <w:rFonts w:hint="eastAsia"/>
                      <w:color w:val="0000FF"/>
                      <w:spacing w:val="-6"/>
                      <w:szCs w:val="20"/>
                      <w:highlight w:val="none"/>
                    </w:rPr>
                    <w:t>上蛋系统</w:t>
                  </w:r>
                </w:p>
              </w:tc>
              <w:tc>
                <w:tcPr>
                  <w:tcW w:w="135" w:type="pct"/>
                  <w:vAlign w:val="center"/>
                </w:tcPr>
                <w:p>
                  <w:pPr>
                    <w:adjustRightInd w:val="0"/>
                    <w:snapToGrid w:val="0"/>
                    <w:jc w:val="center"/>
                    <w:rPr>
                      <w:color w:val="0000FF"/>
                      <w:szCs w:val="21"/>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80</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83.01</w:t>
                  </w:r>
                </w:p>
              </w:tc>
              <w:tc>
                <w:tcPr>
                  <w:tcW w:w="239" w:type="pct"/>
                  <w:vMerge w:val="restart"/>
                  <w:vAlign w:val="center"/>
                </w:tcPr>
                <w:p>
                  <w:pPr>
                    <w:adjustRightInd w:val="0"/>
                    <w:snapToGrid w:val="0"/>
                    <w:jc w:val="center"/>
                    <w:rPr>
                      <w:color w:val="0000FF"/>
                      <w:szCs w:val="21"/>
                      <w:highlight w:val="none"/>
                    </w:rPr>
                  </w:pPr>
                  <w:r>
                    <w:rPr>
                      <w:rFonts w:hint="eastAsia"/>
                      <w:color w:val="0000FF"/>
                      <w:szCs w:val="21"/>
                      <w:highlight w:val="none"/>
                    </w:rPr>
                    <w:t>选用低噪声设备，采用车间隔声窗隔声、减振等措施</w:t>
                  </w:r>
                </w:p>
              </w:tc>
              <w:tc>
                <w:tcPr>
                  <w:tcW w:w="172" w:type="pct"/>
                  <w:vAlign w:val="center"/>
                </w:tcPr>
                <w:p>
                  <w:pPr>
                    <w:jc w:val="center"/>
                    <w:rPr>
                      <w:color w:val="0000FF"/>
                      <w:sz w:val="18"/>
                      <w:szCs w:val="18"/>
                      <w:highlight w:val="none"/>
                    </w:rPr>
                  </w:pPr>
                  <w:r>
                    <w:rPr>
                      <w:rFonts w:hint="eastAsia"/>
                      <w:color w:val="0000FF"/>
                      <w:sz w:val="18"/>
                      <w:szCs w:val="18"/>
                      <w:highlight w:val="none"/>
                    </w:rPr>
                    <w:t>1</w:t>
                  </w:r>
                </w:p>
              </w:tc>
              <w:tc>
                <w:tcPr>
                  <w:tcW w:w="189" w:type="pct"/>
                  <w:vAlign w:val="center"/>
                </w:tcPr>
                <w:p>
                  <w:pPr>
                    <w:jc w:val="center"/>
                    <w:rPr>
                      <w:color w:val="0000FF"/>
                      <w:sz w:val="18"/>
                      <w:szCs w:val="18"/>
                      <w:highlight w:val="none"/>
                    </w:rPr>
                  </w:pPr>
                  <w:r>
                    <w:rPr>
                      <w:rFonts w:hint="eastAsia"/>
                      <w:color w:val="0000FF"/>
                      <w:sz w:val="18"/>
                      <w:szCs w:val="18"/>
                      <w:highlight w:val="none"/>
                    </w:rPr>
                    <w:t>-3</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shd w:val="clear" w:color="auto" w:fill="auto"/>
                  <w:vAlign w:val="center"/>
                </w:tcPr>
                <w:p>
                  <w:pPr>
                    <w:jc w:val="center"/>
                    <w:rPr>
                      <w:color w:val="0000FF"/>
                      <w:sz w:val="18"/>
                      <w:szCs w:val="18"/>
                      <w:highlight w:val="none"/>
                    </w:rPr>
                  </w:pPr>
                  <w:r>
                    <w:rPr>
                      <w:rFonts w:hint="eastAsia"/>
                      <w:color w:val="0000FF"/>
                      <w:sz w:val="18"/>
                      <w:szCs w:val="18"/>
                      <w:highlight w:val="none"/>
                    </w:rPr>
                    <w:t>16</w:t>
                  </w:r>
                </w:p>
              </w:tc>
              <w:tc>
                <w:tcPr>
                  <w:tcW w:w="169" w:type="pct"/>
                  <w:shd w:val="clear" w:color="auto" w:fill="auto"/>
                  <w:vAlign w:val="center"/>
                </w:tcPr>
                <w:p>
                  <w:pPr>
                    <w:jc w:val="center"/>
                    <w:rPr>
                      <w:color w:val="0000FF"/>
                      <w:sz w:val="18"/>
                      <w:szCs w:val="18"/>
                      <w:highlight w:val="none"/>
                    </w:rPr>
                  </w:pPr>
                  <w:r>
                    <w:rPr>
                      <w:rFonts w:hint="eastAsia"/>
                      <w:color w:val="0000FF"/>
                      <w:sz w:val="18"/>
                      <w:szCs w:val="18"/>
                      <w:highlight w:val="none"/>
                    </w:rPr>
                    <w:t>27</w:t>
                  </w:r>
                </w:p>
              </w:tc>
              <w:tc>
                <w:tcPr>
                  <w:tcW w:w="169" w:type="pct"/>
                  <w:vAlign w:val="center"/>
                </w:tcPr>
                <w:p>
                  <w:pPr>
                    <w:jc w:val="center"/>
                    <w:rPr>
                      <w:color w:val="0000FF"/>
                      <w:sz w:val="18"/>
                      <w:szCs w:val="18"/>
                      <w:highlight w:val="none"/>
                    </w:rPr>
                  </w:pPr>
                  <w:r>
                    <w:rPr>
                      <w:rFonts w:hint="eastAsia"/>
                      <w:color w:val="0000FF"/>
                      <w:sz w:val="18"/>
                      <w:szCs w:val="18"/>
                      <w:highlight w:val="none"/>
                    </w:rPr>
                    <w:t>35</w:t>
                  </w:r>
                </w:p>
              </w:tc>
              <w:tc>
                <w:tcPr>
                  <w:tcW w:w="173" w:type="pct"/>
                  <w:vAlign w:val="center"/>
                </w:tcPr>
                <w:p>
                  <w:pPr>
                    <w:jc w:val="center"/>
                    <w:rPr>
                      <w:color w:val="0000FF"/>
                      <w:sz w:val="18"/>
                      <w:szCs w:val="18"/>
                      <w:highlight w:val="none"/>
                    </w:rPr>
                  </w:pPr>
                  <w:r>
                    <w:rPr>
                      <w:rFonts w:hint="eastAsia"/>
                      <w:color w:val="0000FF"/>
                      <w:sz w:val="18"/>
                      <w:szCs w:val="18"/>
                      <w:highlight w:val="none"/>
                    </w:rPr>
                    <w:t>68</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58.9</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54.4</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52.1</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46.4</w:t>
                  </w:r>
                </w:p>
              </w:tc>
              <w:tc>
                <w:tcPr>
                  <w:tcW w:w="247" w:type="pct"/>
                  <w:vMerge w:val="restar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16h</w:t>
                  </w:r>
                </w:p>
              </w:tc>
              <w:tc>
                <w:tcPr>
                  <w:tcW w:w="260" w:type="pct"/>
                  <w:vMerge w:val="restar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20</w:t>
                  </w: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38.9</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34.4</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32.1</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26.4</w:t>
                  </w:r>
                </w:p>
              </w:tc>
              <w:tc>
                <w:tcPr>
                  <w:tcW w:w="261" w:type="pct"/>
                  <w:gridSpan w:val="2"/>
                  <w:vMerge w:val="restart"/>
                  <w:tcBorders>
                    <w:right w:val="nil"/>
                  </w:tcBorders>
                  <w:vAlign w:val="center"/>
                </w:tcPr>
                <w:p>
                  <w:pPr>
                    <w:adjustRightInd w:val="0"/>
                    <w:snapToGrid w:val="0"/>
                    <w:jc w:val="center"/>
                    <w:rPr>
                      <w:color w:val="0000FF"/>
                      <w:szCs w:val="21"/>
                      <w:highlight w:val="none"/>
                    </w:rPr>
                  </w:pPr>
                  <w:r>
                    <w:rPr>
                      <w:rFonts w:hint="eastAsia"/>
                      <w:color w:val="0000FF"/>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2</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szCs w:val="21"/>
                      <w:highlight w:val="none"/>
                    </w:rPr>
                  </w:pPr>
                  <w:r>
                    <w:rPr>
                      <w:rFonts w:hint="eastAsia"/>
                      <w:color w:val="0000FF"/>
                      <w:spacing w:val="-6"/>
                      <w:szCs w:val="20"/>
                      <w:highlight w:val="none"/>
                    </w:rPr>
                    <w:t>打蛋机</w:t>
                  </w:r>
                </w:p>
              </w:tc>
              <w:tc>
                <w:tcPr>
                  <w:tcW w:w="135" w:type="pct"/>
                  <w:vAlign w:val="center"/>
                </w:tcPr>
                <w:p>
                  <w:pPr>
                    <w:adjustRightInd w:val="0"/>
                    <w:snapToGrid w:val="0"/>
                    <w:jc w:val="center"/>
                    <w:rPr>
                      <w:color w:val="0000FF"/>
                      <w:szCs w:val="21"/>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70</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73.01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8</w:t>
                  </w:r>
                </w:p>
              </w:tc>
              <w:tc>
                <w:tcPr>
                  <w:tcW w:w="189" w:type="pct"/>
                  <w:vAlign w:val="center"/>
                </w:tcPr>
                <w:p>
                  <w:pPr>
                    <w:jc w:val="center"/>
                    <w:rPr>
                      <w:color w:val="0000FF"/>
                      <w:sz w:val="18"/>
                      <w:szCs w:val="18"/>
                      <w:highlight w:val="none"/>
                    </w:rPr>
                  </w:pPr>
                  <w:r>
                    <w:rPr>
                      <w:rFonts w:hint="eastAsia"/>
                      <w:color w:val="0000FF"/>
                      <w:sz w:val="18"/>
                      <w:szCs w:val="18"/>
                      <w:highlight w:val="none"/>
                    </w:rPr>
                    <w:t>-8</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shd w:val="clear" w:color="auto" w:fill="auto"/>
                  <w:vAlign w:val="center"/>
                </w:tcPr>
                <w:p>
                  <w:pPr>
                    <w:jc w:val="center"/>
                    <w:rPr>
                      <w:color w:val="0000FF"/>
                      <w:sz w:val="18"/>
                      <w:szCs w:val="18"/>
                      <w:highlight w:val="none"/>
                    </w:rPr>
                  </w:pPr>
                  <w:r>
                    <w:rPr>
                      <w:rFonts w:hint="eastAsia"/>
                      <w:color w:val="0000FF"/>
                      <w:sz w:val="18"/>
                      <w:szCs w:val="18"/>
                      <w:highlight w:val="none"/>
                    </w:rPr>
                    <w:t>15</w:t>
                  </w:r>
                </w:p>
              </w:tc>
              <w:tc>
                <w:tcPr>
                  <w:tcW w:w="169" w:type="pct"/>
                  <w:shd w:val="clear" w:color="auto" w:fill="auto"/>
                  <w:vAlign w:val="center"/>
                </w:tcPr>
                <w:p>
                  <w:pPr>
                    <w:jc w:val="center"/>
                    <w:rPr>
                      <w:color w:val="0000FF"/>
                      <w:sz w:val="18"/>
                      <w:szCs w:val="18"/>
                      <w:highlight w:val="none"/>
                    </w:rPr>
                  </w:pPr>
                  <w:r>
                    <w:rPr>
                      <w:rFonts w:hint="eastAsia"/>
                      <w:color w:val="0000FF"/>
                      <w:sz w:val="18"/>
                      <w:szCs w:val="18"/>
                      <w:highlight w:val="none"/>
                    </w:rPr>
                    <w:t>42</w:t>
                  </w:r>
                </w:p>
              </w:tc>
              <w:tc>
                <w:tcPr>
                  <w:tcW w:w="169" w:type="pct"/>
                  <w:shd w:val="clear" w:color="auto" w:fill="auto"/>
                  <w:vAlign w:val="center"/>
                </w:tcPr>
                <w:p>
                  <w:pPr>
                    <w:jc w:val="center"/>
                    <w:rPr>
                      <w:color w:val="0000FF"/>
                      <w:sz w:val="18"/>
                      <w:szCs w:val="18"/>
                      <w:highlight w:val="none"/>
                    </w:rPr>
                  </w:pPr>
                  <w:r>
                    <w:rPr>
                      <w:rFonts w:hint="eastAsia"/>
                      <w:color w:val="0000FF"/>
                      <w:sz w:val="18"/>
                      <w:szCs w:val="18"/>
                      <w:highlight w:val="none"/>
                    </w:rPr>
                    <w:t>34</w:t>
                  </w:r>
                </w:p>
              </w:tc>
              <w:tc>
                <w:tcPr>
                  <w:tcW w:w="173" w:type="pct"/>
                  <w:shd w:val="clear" w:color="auto" w:fill="auto"/>
                  <w:vAlign w:val="center"/>
                </w:tcPr>
                <w:p>
                  <w:pPr>
                    <w:jc w:val="center"/>
                    <w:rPr>
                      <w:color w:val="0000FF"/>
                      <w:sz w:val="18"/>
                      <w:szCs w:val="18"/>
                      <w:highlight w:val="none"/>
                    </w:rPr>
                  </w:pPr>
                  <w:r>
                    <w:rPr>
                      <w:rFonts w:hint="eastAsia"/>
                      <w:color w:val="0000FF"/>
                      <w:sz w:val="18"/>
                      <w:szCs w:val="18"/>
                      <w:highlight w:val="none"/>
                    </w:rPr>
                    <w:t>53</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49.5</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40.5</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42.4</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38.5</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29.5</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20.5</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22.4</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18.5</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3</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szCs w:val="21"/>
                      <w:highlight w:val="none"/>
                    </w:rPr>
                  </w:pPr>
                  <w:r>
                    <w:rPr>
                      <w:rFonts w:hint="eastAsia"/>
                      <w:color w:val="0000FF"/>
                      <w:spacing w:val="-6"/>
                      <w:szCs w:val="20"/>
                      <w:highlight w:val="none"/>
                    </w:rPr>
                    <w:t>巴氏杀菌系统</w:t>
                  </w:r>
                </w:p>
              </w:tc>
              <w:tc>
                <w:tcPr>
                  <w:tcW w:w="135" w:type="pct"/>
                  <w:vAlign w:val="center"/>
                </w:tcPr>
                <w:p>
                  <w:pPr>
                    <w:adjustRightInd w:val="0"/>
                    <w:snapToGrid w:val="0"/>
                    <w:jc w:val="center"/>
                    <w:rPr>
                      <w:color w:val="0000FF"/>
                      <w:szCs w:val="21"/>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85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14</w:t>
                  </w:r>
                </w:p>
              </w:tc>
              <w:tc>
                <w:tcPr>
                  <w:tcW w:w="189" w:type="pct"/>
                  <w:vAlign w:val="center"/>
                </w:tcPr>
                <w:p>
                  <w:pPr>
                    <w:jc w:val="center"/>
                    <w:rPr>
                      <w:color w:val="0000FF"/>
                      <w:sz w:val="18"/>
                      <w:szCs w:val="18"/>
                      <w:highlight w:val="none"/>
                    </w:rPr>
                  </w:pPr>
                  <w:r>
                    <w:rPr>
                      <w:rFonts w:hint="eastAsia"/>
                      <w:color w:val="0000FF"/>
                      <w:sz w:val="18"/>
                      <w:szCs w:val="18"/>
                      <w:highlight w:val="none"/>
                    </w:rPr>
                    <w:t>4</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15</w:t>
                  </w:r>
                </w:p>
              </w:tc>
              <w:tc>
                <w:tcPr>
                  <w:tcW w:w="169" w:type="pct"/>
                  <w:vAlign w:val="center"/>
                </w:tcPr>
                <w:p>
                  <w:pPr>
                    <w:jc w:val="center"/>
                    <w:rPr>
                      <w:color w:val="0000FF"/>
                      <w:sz w:val="18"/>
                      <w:szCs w:val="18"/>
                      <w:highlight w:val="none"/>
                    </w:rPr>
                  </w:pPr>
                  <w:r>
                    <w:rPr>
                      <w:rFonts w:hint="eastAsia"/>
                      <w:color w:val="0000FF"/>
                      <w:sz w:val="18"/>
                      <w:szCs w:val="18"/>
                      <w:highlight w:val="none"/>
                    </w:rPr>
                    <w:t>55</w:t>
                  </w:r>
                </w:p>
              </w:tc>
              <w:tc>
                <w:tcPr>
                  <w:tcW w:w="169" w:type="pct"/>
                  <w:vAlign w:val="center"/>
                </w:tcPr>
                <w:p>
                  <w:pPr>
                    <w:jc w:val="center"/>
                    <w:rPr>
                      <w:color w:val="0000FF"/>
                      <w:sz w:val="18"/>
                      <w:szCs w:val="18"/>
                      <w:highlight w:val="none"/>
                    </w:rPr>
                  </w:pPr>
                  <w:r>
                    <w:rPr>
                      <w:rFonts w:hint="eastAsia"/>
                      <w:color w:val="0000FF"/>
                      <w:sz w:val="18"/>
                      <w:szCs w:val="18"/>
                      <w:highlight w:val="none"/>
                    </w:rPr>
                    <w:t>34</w:t>
                  </w:r>
                </w:p>
              </w:tc>
              <w:tc>
                <w:tcPr>
                  <w:tcW w:w="173" w:type="pct"/>
                  <w:vAlign w:val="center"/>
                </w:tcPr>
                <w:p>
                  <w:pPr>
                    <w:jc w:val="center"/>
                    <w:rPr>
                      <w:color w:val="0000FF"/>
                      <w:sz w:val="18"/>
                      <w:szCs w:val="18"/>
                      <w:highlight w:val="none"/>
                    </w:rPr>
                  </w:pPr>
                  <w:r>
                    <w:rPr>
                      <w:rFonts w:hint="eastAsia"/>
                      <w:color w:val="0000FF"/>
                      <w:sz w:val="18"/>
                      <w:szCs w:val="18"/>
                      <w:highlight w:val="none"/>
                    </w:rPr>
                    <w:t>40</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64.5</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53.2</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57.4</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56.0</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44.5</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33.2</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37.4</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36.0</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4</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szCs w:val="21"/>
                      <w:highlight w:val="none"/>
                    </w:rPr>
                  </w:pPr>
                  <w:r>
                    <w:rPr>
                      <w:rFonts w:hint="eastAsia"/>
                      <w:color w:val="0000FF"/>
                      <w:spacing w:val="-6"/>
                      <w:szCs w:val="20"/>
                      <w:highlight w:val="none"/>
                    </w:rPr>
                    <w:t>蛋壳绞龙机离心机</w:t>
                  </w:r>
                </w:p>
              </w:tc>
              <w:tc>
                <w:tcPr>
                  <w:tcW w:w="135" w:type="pct"/>
                  <w:vAlign w:val="center"/>
                </w:tcPr>
                <w:p>
                  <w:pPr>
                    <w:adjustRightInd w:val="0"/>
                    <w:snapToGrid w:val="0"/>
                    <w:jc w:val="center"/>
                    <w:rPr>
                      <w:color w:val="0000FF"/>
                      <w:szCs w:val="21"/>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75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78.01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13</w:t>
                  </w:r>
                </w:p>
              </w:tc>
              <w:tc>
                <w:tcPr>
                  <w:tcW w:w="189" w:type="pct"/>
                  <w:vAlign w:val="center"/>
                </w:tcPr>
                <w:p>
                  <w:pPr>
                    <w:jc w:val="center"/>
                    <w:rPr>
                      <w:color w:val="0000FF"/>
                      <w:sz w:val="18"/>
                      <w:szCs w:val="18"/>
                      <w:highlight w:val="none"/>
                    </w:rPr>
                  </w:pPr>
                  <w:r>
                    <w:rPr>
                      <w:rFonts w:hint="eastAsia"/>
                      <w:color w:val="0000FF"/>
                      <w:sz w:val="18"/>
                      <w:szCs w:val="18"/>
                      <w:highlight w:val="none"/>
                    </w:rPr>
                    <w:t>-13</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9</w:t>
                  </w:r>
                </w:p>
              </w:tc>
              <w:tc>
                <w:tcPr>
                  <w:tcW w:w="169" w:type="pct"/>
                  <w:vAlign w:val="center"/>
                </w:tcPr>
                <w:p>
                  <w:pPr>
                    <w:jc w:val="center"/>
                    <w:rPr>
                      <w:color w:val="0000FF"/>
                      <w:sz w:val="18"/>
                      <w:szCs w:val="18"/>
                      <w:highlight w:val="none"/>
                    </w:rPr>
                  </w:pPr>
                  <w:r>
                    <w:rPr>
                      <w:rFonts w:hint="eastAsia"/>
                      <w:color w:val="0000FF"/>
                      <w:sz w:val="18"/>
                      <w:szCs w:val="18"/>
                      <w:highlight w:val="none"/>
                    </w:rPr>
                    <w:t>42</w:t>
                  </w:r>
                </w:p>
              </w:tc>
              <w:tc>
                <w:tcPr>
                  <w:tcW w:w="169" w:type="pct"/>
                  <w:vAlign w:val="center"/>
                </w:tcPr>
                <w:p>
                  <w:pPr>
                    <w:jc w:val="center"/>
                    <w:rPr>
                      <w:color w:val="0000FF"/>
                      <w:sz w:val="18"/>
                      <w:szCs w:val="18"/>
                      <w:highlight w:val="none"/>
                    </w:rPr>
                  </w:pPr>
                  <w:r>
                    <w:rPr>
                      <w:rFonts w:hint="eastAsia"/>
                      <w:color w:val="0000FF"/>
                      <w:sz w:val="18"/>
                      <w:szCs w:val="18"/>
                      <w:highlight w:val="none"/>
                    </w:rPr>
                    <w:t>41</w:t>
                  </w:r>
                </w:p>
              </w:tc>
              <w:tc>
                <w:tcPr>
                  <w:tcW w:w="173" w:type="pct"/>
                  <w:vAlign w:val="center"/>
                </w:tcPr>
                <w:p>
                  <w:pPr>
                    <w:jc w:val="center"/>
                    <w:rPr>
                      <w:color w:val="0000FF"/>
                      <w:sz w:val="18"/>
                      <w:szCs w:val="18"/>
                      <w:highlight w:val="none"/>
                    </w:rPr>
                  </w:pPr>
                  <w:r>
                    <w:rPr>
                      <w:rFonts w:hint="eastAsia"/>
                      <w:color w:val="0000FF"/>
                      <w:sz w:val="18"/>
                      <w:szCs w:val="18"/>
                      <w:highlight w:val="none"/>
                    </w:rPr>
                    <w:t>53</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58.9</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45.5</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45.8</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43.5</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38.9</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25.5</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25.8</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43.5</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5</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szCs w:val="21"/>
                      <w:highlight w:val="none"/>
                    </w:rPr>
                  </w:pPr>
                  <w:r>
                    <w:rPr>
                      <w:rFonts w:hint="eastAsia"/>
                      <w:color w:val="0000FF"/>
                      <w:spacing w:val="-6"/>
                      <w:szCs w:val="20"/>
                      <w:highlight w:val="none"/>
                    </w:rPr>
                    <w:t>CIP清洗系统</w:t>
                  </w:r>
                </w:p>
              </w:tc>
              <w:tc>
                <w:tcPr>
                  <w:tcW w:w="135" w:type="pct"/>
                  <w:vAlign w:val="center"/>
                </w:tcPr>
                <w:p>
                  <w:pPr>
                    <w:adjustRightInd w:val="0"/>
                    <w:snapToGrid w:val="0"/>
                    <w:jc w:val="center"/>
                    <w:rPr>
                      <w:color w:val="0000FF"/>
                      <w:szCs w:val="21"/>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85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21</w:t>
                  </w:r>
                </w:p>
              </w:tc>
              <w:tc>
                <w:tcPr>
                  <w:tcW w:w="189" w:type="pct"/>
                  <w:vAlign w:val="center"/>
                </w:tcPr>
                <w:p>
                  <w:pPr>
                    <w:jc w:val="center"/>
                    <w:rPr>
                      <w:color w:val="0000FF"/>
                      <w:sz w:val="18"/>
                      <w:szCs w:val="18"/>
                      <w:highlight w:val="none"/>
                    </w:rPr>
                  </w:pPr>
                  <w:r>
                    <w:rPr>
                      <w:rFonts w:hint="eastAsia"/>
                      <w:color w:val="0000FF"/>
                      <w:sz w:val="18"/>
                      <w:szCs w:val="18"/>
                      <w:highlight w:val="none"/>
                    </w:rPr>
                    <w:t>15</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15</w:t>
                  </w:r>
                </w:p>
              </w:tc>
              <w:tc>
                <w:tcPr>
                  <w:tcW w:w="169" w:type="pct"/>
                  <w:vAlign w:val="center"/>
                </w:tcPr>
                <w:p>
                  <w:pPr>
                    <w:jc w:val="center"/>
                    <w:rPr>
                      <w:color w:val="0000FF"/>
                      <w:sz w:val="18"/>
                      <w:szCs w:val="18"/>
                      <w:highlight w:val="none"/>
                    </w:rPr>
                  </w:pPr>
                  <w:r>
                    <w:rPr>
                      <w:rFonts w:hint="eastAsia"/>
                      <w:color w:val="0000FF"/>
                      <w:sz w:val="18"/>
                      <w:szCs w:val="18"/>
                      <w:highlight w:val="none"/>
                    </w:rPr>
                    <w:t>68</w:t>
                  </w:r>
                </w:p>
              </w:tc>
              <w:tc>
                <w:tcPr>
                  <w:tcW w:w="169" w:type="pct"/>
                  <w:vAlign w:val="center"/>
                </w:tcPr>
                <w:p>
                  <w:pPr>
                    <w:jc w:val="center"/>
                    <w:rPr>
                      <w:color w:val="0000FF"/>
                      <w:sz w:val="18"/>
                      <w:szCs w:val="18"/>
                      <w:highlight w:val="none"/>
                    </w:rPr>
                  </w:pPr>
                  <w:r>
                    <w:rPr>
                      <w:rFonts w:hint="eastAsia"/>
                      <w:color w:val="0000FF"/>
                      <w:sz w:val="18"/>
                      <w:szCs w:val="18"/>
                      <w:highlight w:val="none"/>
                    </w:rPr>
                    <w:t>34</w:t>
                  </w:r>
                </w:p>
              </w:tc>
              <w:tc>
                <w:tcPr>
                  <w:tcW w:w="173" w:type="pct"/>
                  <w:vAlign w:val="center"/>
                </w:tcPr>
                <w:p>
                  <w:pPr>
                    <w:jc w:val="center"/>
                    <w:rPr>
                      <w:color w:val="0000FF"/>
                      <w:sz w:val="18"/>
                      <w:szCs w:val="18"/>
                      <w:highlight w:val="none"/>
                    </w:rPr>
                  </w:pPr>
                  <w:r>
                    <w:rPr>
                      <w:rFonts w:hint="eastAsia"/>
                      <w:color w:val="0000FF"/>
                      <w:sz w:val="18"/>
                      <w:szCs w:val="18"/>
                      <w:highlight w:val="none"/>
                    </w:rPr>
                    <w:t>27</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64.5</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51.4</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57.4</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59.4</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24.5</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31.4</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37.4</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39.4</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6</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szCs w:val="21"/>
                      <w:highlight w:val="none"/>
                    </w:rPr>
                  </w:pPr>
                  <w:r>
                    <w:rPr>
                      <w:rFonts w:hint="eastAsia"/>
                      <w:color w:val="0000FF"/>
                      <w:spacing w:val="-6"/>
                      <w:szCs w:val="20"/>
                      <w:highlight w:val="none"/>
                    </w:rPr>
                    <w:t>冰水机</w:t>
                  </w:r>
                </w:p>
              </w:tc>
              <w:tc>
                <w:tcPr>
                  <w:tcW w:w="135" w:type="pct"/>
                  <w:vAlign w:val="center"/>
                </w:tcPr>
                <w:p>
                  <w:pPr>
                    <w:adjustRightInd w:val="0"/>
                    <w:snapToGrid w:val="0"/>
                    <w:jc w:val="center"/>
                    <w:rPr>
                      <w:color w:val="0000FF"/>
                      <w:szCs w:val="21"/>
                      <w:highlight w:val="none"/>
                    </w:rPr>
                  </w:pPr>
                  <w:r>
                    <w:rPr>
                      <w:rFonts w:hint="eastAsia"/>
                      <w:color w:val="0000FF"/>
                      <w:spacing w:val="-6"/>
                      <w:szCs w:val="20"/>
                      <w:highlight w:val="none"/>
                    </w:rPr>
                    <w:t>1</w:t>
                  </w:r>
                </w:p>
              </w:tc>
              <w:tc>
                <w:tcPr>
                  <w:tcW w:w="250" w:type="pct"/>
                  <w:vAlign w:val="center"/>
                </w:tcPr>
                <w:p>
                  <w:pPr>
                    <w:jc w:val="center"/>
                    <w:rPr>
                      <w:color w:val="0000FF"/>
                      <w:highlight w:val="none"/>
                    </w:rPr>
                  </w:pPr>
                  <w:r>
                    <w:rPr>
                      <w:rFonts w:hint="eastAsia"/>
                      <w:color w:val="0000FF"/>
                      <w:highlight w:val="none"/>
                    </w:rPr>
                    <w:t>85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23</w:t>
                  </w:r>
                </w:p>
              </w:tc>
              <w:tc>
                <w:tcPr>
                  <w:tcW w:w="189" w:type="pct"/>
                  <w:vAlign w:val="center"/>
                </w:tcPr>
                <w:p>
                  <w:pPr>
                    <w:jc w:val="center"/>
                    <w:rPr>
                      <w:color w:val="0000FF"/>
                      <w:sz w:val="18"/>
                      <w:szCs w:val="18"/>
                      <w:highlight w:val="none"/>
                    </w:rPr>
                  </w:pPr>
                  <w:r>
                    <w:rPr>
                      <w:rFonts w:hint="eastAsia"/>
                      <w:color w:val="0000FF"/>
                      <w:sz w:val="18"/>
                      <w:szCs w:val="18"/>
                      <w:highlight w:val="none"/>
                    </w:rPr>
                    <w:t>-8</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43</w:t>
                  </w:r>
                </w:p>
              </w:tc>
              <w:tc>
                <w:tcPr>
                  <w:tcW w:w="169" w:type="pct"/>
                  <w:vAlign w:val="center"/>
                </w:tcPr>
                <w:p>
                  <w:pPr>
                    <w:jc w:val="center"/>
                    <w:rPr>
                      <w:color w:val="0000FF"/>
                      <w:sz w:val="18"/>
                      <w:szCs w:val="18"/>
                      <w:highlight w:val="none"/>
                    </w:rPr>
                  </w:pPr>
                  <w:r>
                    <w:rPr>
                      <w:rFonts w:hint="eastAsia"/>
                      <w:color w:val="0000FF"/>
                      <w:sz w:val="18"/>
                      <w:szCs w:val="18"/>
                      <w:highlight w:val="none"/>
                    </w:rPr>
                    <w:t>23</w:t>
                  </w:r>
                </w:p>
              </w:tc>
              <w:tc>
                <w:tcPr>
                  <w:tcW w:w="169" w:type="pct"/>
                  <w:vAlign w:val="center"/>
                </w:tcPr>
                <w:p>
                  <w:pPr>
                    <w:jc w:val="center"/>
                    <w:rPr>
                      <w:color w:val="0000FF"/>
                      <w:sz w:val="18"/>
                      <w:szCs w:val="18"/>
                      <w:highlight w:val="none"/>
                    </w:rPr>
                  </w:pPr>
                  <w:r>
                    <w:rPr>
                      <w:rFonts w:hint="eastAsia"/>
                      <w:color w:val="0000FF"/>
                      <w:sz w:val="18"/>
                      <w:szCs w:val="18"/>
                      <w:highlight w:val="none"/>
                    </w:rPr>
                    <w:t>8</w:t>
                  </w:r>
                </w:p>
              </w:tc>
              <w:tc>
                <w:tcPr>
                  <w:tcW w:w="173" w:type="pct"/>
                  <w:vAlign w:val="center"/>
                </w:tcPr>
                <w:p>
                  <w:pPr>
                    <w:jc w:val="center"/>
                    <w:rPr>
                      <w:color w:val="0000FF"/>
                      <w:sz w:val="18"/>
                      <w:szCs w:val="18"/>
                      <w:highlight w:val="none"/>
                    </w:rPr>
                  </w:pPr>
                  <w:r>
                    <w:rPr>
                      <w:rFonts w:hint="eastAsia"/>
                      <w:color w:val="0000FF"/>
                      <w:sz w:val="18"/>
                      <w:szCs w:val="18"/>
                      <w:highlight w:val="none"/>
                    </w:rPr>
                    <w:t>73</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55.3</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60.8</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69.9</w:t>
                  </w:r>
                </w:p>
              </w:tc>
              <w:tc>
                <w:tcPr>
                  <w:tcW w:w="210" w:type="pct"/>
                  <w:shd w:val="clear" w:color="auto" w:fill="auto"/>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50.7</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35.3</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40.8</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49.9</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30.7</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7</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highlight w:val="none"/>
                    </w:rPr>
                  </w:pPr>
                  <w:r>
                    <w:rPr>
                      <w:rFonts w:hint="eastAsia"/>
                      <w:color w:val="0000FF"/>
                      <w:spacing w:val="-6"/>
                      <w:szCs w:val="20"/>
                      <w:highlight w:val="none"/>
                    </w:rPr>
                    <w:t>灌装机</w:t>
                  </w:r>
                </w:p>
              </w:tc>
              <w:tc>
                <w:tcPr>
                  <w:tcW w:w="135" w:type="pct"/>
                  <w:vAlign w:val="center"/>
                </w:tcPr>
                <w:p>
                  <w:pPr>
                    <w:adjustRightInd w:val="0"/>
                    <w:snapToGrid w:val="0"/>
                    <w:jc w:val="center"/>
                    <w:rPr>
                      <w:color w:val="0000FF"/>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75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78.01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2</w:t>
                  </w:r>
                </w:p>
              </w:tc>
              <w:tc>
                <w:tcPr>
                  <w:tcW w:w="189" w:type="pct"/>
                  <w:vAlign w:val="center"/>
                </w:tcPr>
                <w:p>
                  <w:pPr>
                    <w:jc w:val="center"/>
                    <w:rPr>
                      <w:color w:val="0000FF"/>
                      <w:sz w:val="18"/>
                      <w:szCs w:val="18"/>
                      <w:highlight w:val="none"/>
                    </w:rPr>
                  </w:pPr>
                  <w:r>
                    <w:rPr>
                      <w:rFonts w:hint="eastAsia"/>
                      <w:color w:val="0000FF"/>
                      <w:sz w:val="18"/>
                      <w:szCs w:val="18"/>
                      <w:highlight w:val="none"/>
                    </w:rPr>
                    <w:t>15</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31</w:t>
                  </w:r>
                </w:p>
              </w:tc>
              <w:tc>
                <w:tcPr>
                  <w:tcW w:w="169" w:type="pct"/>
                  <w:vAlign w:val="center"/>
                </w:tcPr>
                <w:p>
                  <w:pPr>
                    <w:jc w:val="center"/>
                    <w:rPr>
                      <w:color w:val="0000FF"/>
                      <w:sz w:val="18"/>
                      <w:szCs w:val="18"/>
                      <w:highlight w:val="none"/>
                    </w:rPr>
                  </w:pPr>
                  <w:r>
                    <w:rPr>
                      <w:rFonts w:hint="eastAsia"/>
                      <w:color w:val="0000FF"/>
                      <w:sz w:val="18"/>
                      <w:szCs w:val="18"/>
                      <w:highlight w:val="none"/>
                    </w:rPr>
                    <w:t>56</w:t>
                  </w:r>
                </w:p>
              </w:tc>
              <w:tc>
                <w:tcPr>
                  <w:tcW w:w="169" w:type="pct"/>
                  <w:vAlign w:val="center"/>
                </w:tcPr>
                <w:p>
                  <w:pPr>
                    <w:jc w:val="center"/>
                    <w:rPr>
                      <w:color w:val="0000FF"/>
                      <w:sz w:val="18"/>
                      <w:szCs w:val="18"/>
                      <w:highlight w:val="none"/>
                    </w:rPr>
                  </w:pPr>
                  <w:r>
                    <w:rPr>
                      <w:rFonts w:hint="eastAsia"/>
                      <w:color w:val="0000FF"/>
                      <w:sz w:val="18"/>
                      <w:szCs w:val="18"/>
                      <w:highlight w:val="none"/>
                    </w:rPr>
                    <w:t>18</w:t>
                  </w:r>
                </w:p>
              </w:tc>
              <w:tc>
                <w:tcPr>
                  <w:tcW w:w="173" w:type="pct"/>
                  <w:vAlign w:val="center"/>
                </w:tcPr>
                <w:p>
                  <w:pPr>
                    <w:jc w:val="center"/>
                    <w:rPr>
                      <w:color w:val="0000FF"/>
                      <w:sz w:val="18"/>
                      <w:szCs w:val="18"/>
                      <w:highlight w:val="none"/>
                    </w:rPr>
                  </w:pPr>
                  <w:r>
                    <w:rPr>
                      <w:rFonts w:hint="eastAsia"/>
                      <w:color w:val="0000FF"/>
                      <w:sz w:val="18"/>
                      <w:szCs w:val="18"/>
                      <w:highlight w:val="none"/>
                    </w:rPr>
                    <w:t>40</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48.2</w:t>
                  </w:r>
                </w:p>
              </w:tc>
              <w:tc>
                <w:tcPr>
                  <w:tcW w:w="229" w:type="pct"/>
                  <w:shd w:val="clear" w:color="auto" w:fill="auto"/>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43.0</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52.9</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46.0</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28.2</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23.0</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32.9</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26.0</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8</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highlight w:val="none"/>
                    </w:rPr>
                  </w:pPr>
                  <w:r>
                    <w:rPr>
                      <w:rFonts w:hint="eastAsia"/>
                      <w:color w:val="0000FF"/>
                      <w:spacing w:val="-6"/>
                      <w:szCs w:val="20"/>
                      <w:highlight w:val="none"/>
                    </w:rPr>
                    <w:t>包装机</w:t>
                  </w:r>
                </w:p>
              </w:tc>
              <w:tc>
                <w:tcPr>
                  <w:tcW w:w="135" w:type="pct"/>
                  <w:vAlign w:val="center"/>
                </w:tcPr>
                <w:p>
                  <w:pPr>
                    <w:adjustRightInd w:val="0"/>
                    <w:snapToGrid w:val="0"/>
                    <w:jc w:val="center"/>
                    <w:rPr>
                      <w:color w:val="0000FF"/>
                      <w:highlight w:val="none"/>
                    </w:rPr>
                  </w:pPr>
                  <w:r>
                    <w:rPr>
                      <w:rFonts w:hint="eastAsia"/>
                      <w:color w:val="0000FF"/>
                      <w:spacing w:val="-6"/>
                      <w:szCs w:val="20"/>
                      <w:highlight w:val="none"/>
                    </w:rPr>
                    <w:t>2</w:t>
                  </w:r>
                </w:p>
              </w:tc>
              <w:tc>
                <w:tcPr>
                  <w:tcW w:w="250" w:type="pct"/>
                  <w:vAlign w:val="center"/>
                </w:tcPr>
                <w:p>
                  <w:pPr>
                    <w:jc w:val="center"/>
                    <w:rPr>
                      <w:color w:val="0000FF"/>
                      <w:highlight w:val="none"/>
                    </w:rPr>
                  </w:pPr>
                  <w:r>
                    <w:rPr>
                      <w:rFonts w:hint="eastAsia"/>
                      <w:color w:val="0000FF"/>
                      <w:highlight w:val="none"/>
                    </w:rPr>
                    <w:t>75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78.01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-5</w:t>
                  </w:r>
                </w:p>
              </w:tc>
              <w:tc>
                <w:tcPr>
                  <w:tcW w:w="189" w:type="pct"/>
                  <w:vAlign w:val="center"/>
                </w:tcPr>
                <w:p>
                  <w:pPr>
                    <w:jc w:val="center"/>
                    <w:rPr>
                      <w:color w:val="0000FF"/>
                      <w:sz w:val="18"/>
                      <w:szCs w:val="18"/>
                      <w:highlight w:val="none"/>
                    </w:rPr>
                  </w:pPr>
                  <w:r>
                    <w:rPr>
                      <w:rFonts w:hint="eastAsia"/>
                      <w:color w:val="0000FF"/>
                      <w:sz w:val="18"/>
                      <w:szCs w:val="18"/>
                      <w:highlight w:val="none"/>
                    </w:rPr>
                    <w:t>21</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41</w:t>
                  </w:r>
                </w:p>
              </w:tc>
              <w:tc>
                <w:tcPr>
                  <w:tcW w:w="169" w:type="pct"/>
                  <w:vAlign w:val="center"/>
                </w:tcPr>
                <w:p>
                  <w:pPr>
                    <w:jc w:val="center"/>
                    <w:rPr>
                      <w:color w:val="0000FF"/>
                      <w:sz w:val="18"/>
                      <w:szCs w:val="18"/>
                      <w:highlight w:val="none"/>
                    </w:rPr>
                  </w:pPr>
                  <w:r>
                    <w:rPr>
                      <w:rFonts w:hint="eastAsia"/>
                      <w:color w:val="0000FF"/>
                      <w:sz w:val="18"/>
                      <w:szCs w:val="18"/>
                      <w:highlight w:val="none"/>
                    </w:rPr>
                    <w:t>57</w:t>
                  </w:r>
                </w:p>
              </w:tc>
              <w:tc>
                <w:tcPr>
                  <w:tcW w:w="169" w:type="pct"/>
                  <w:vAlign w:val="center"/>
                </w:tcPr>
                <w:p>
                  <w:pPr>
                    <w:jc w:val="center"/>
                    <w:rPr>
                      <w:color w:val="0000FF"/>
                      <w:sz w:val="18"/>
                      <w:szCs w:val="18"/>
                      <w:highlight w:val="none"/>
                    </w:rPr>
                  </w:pPr>
                  <w:r>
                    <w:rPr>
                      <w:rFonts w:hint="eastAsia"/>
                      <w:color w:val="0000FF"/>
                      <w:sz w:val="18"/>
                      <w:szCs w:val="18"/>
                      <w:highlight w:val="none"/>
                    </w:rPr>
                    <w:t>8</w:t>
                  </w:r>
                </w:p>
              </w:tc>
              <w:tc>
                <w:tcPr>
                  <w:tcW w:w="173" w:type="pct"/>
                  <w:vAlign w:val="center"/>
                </w:tcPr>
                <w:p>
                  <w:pPr>
                    <w:jc w:val="center"/>
                    <w:rPr>
                      <w:color w:val="0000FF"/>
                      <w:sz w:val="18"/>
                      <w:szCs w:val="18"/>
                      <w:highlight w:val="none"/>
                    </w:rPr>
                  </w:pPr>
                  <w:r>
                    <w:rPr>
                      <w:rFonts w:hint="eastAsia"/>
                      <w:color w:val="0000FF"/>
                      <w:sz w:val="18"/>
                      <w:szCs w:val="18"/>
                      <w:highlight w:val="none"/>
                    </w:rPr>
                    <w:t>39</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45.8</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42.9</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60.0</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46.2</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25.8</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22.9</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40.0</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26.2</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color w:val="0000FF"/>
                      <w:szCs w:val="21"/>
                      <w:highlight w:val="none"/>
                    </w:rPr>
                  </w:pPr>
                  <w:r>
                    <w:rPr>
                      <w:rFonts w:hint="eastAsia"/>
                      <w:color w:val="0000FF"/>
                      <w:szCs w:val="21"/>
                      <w:highlight w:val="none"/>
                    </w:rPr>
                    <w:t>9</w:t>
                  </w:r>
                </w:p>
              </w:tc>
              <w:tc>
                <w:tcPr>
                  <w:tcW w:w="151" w:type="pct"/>
                  <w:vMerge w:val="continue"/>
                  <w:vAlign w:val="center"/>
                </w:tcPr>
                <w:p>
                  <w:pPr>
                    <w:adjustRightInd w:val="0"/>
                    <w:snapToGrid w:val="0"/>
                    <w:jc w:val="center"/>
                    <w:rPr>
                      <w:color w:val="0000FF"/>
                      <w:kern w:val="0"/>
                      <w:szCs w:val="21"/>
                      <w:highlight w:val="none"/>
                    </w:rPr>
                  </w:pPr>
                </w:p>
              </w:tc>
              <w:tc>
                <w:tcPr>
                  <w:tcW w:w="295" w:type="pct"/>
                  <w:vAlign w:val="center"/>
                </w:tcPr>
                <w:p>
                  <w:pPr>
                    <w:adjustRightInd w:val="0"/>
                    <w:snapToGrid w:val="0"/>
                    <w:jc w:val="center"/>
                    <w:rPr>
                      <w:color w:val="0000FF"/>
                      <w:spacing w:val="-6"/>
                      <w:szCs w:val="20"/>
                      <w:highlight w:val="none"/>
                    </w:rPr>
                  </w:pPr>
                  <w:r>
                    <w:rPr>
                      <w:rFonts w:hint="eastAsia"/>
                      <w:color w:val="0000FF"/>
                      <w:spacing w:val="-6"/>
                      <w:szCs w:val="20"/>
                      <w:highlight w:val="none"/>
                    </w:rPr>
                    <w:t>空压机</w:t>
                  </w:r>
                </w:p>
              </w:tc>
              <w:tc>
                <w:tcPr>
                  <w:tcW w:w="135" w:type="pct"/>
                  <w:vAlign w:val="center"/>
                </w:tcPr>
                <w:p>
                  <w:pPr>
                    <w:adjustRightInd w:val="0"/>
                    <w:snapToGrid w:val="0"/>
                    <w:jc w:val="center"/>
                    <w:rPr>
                      <w:color w:val="0000FF"/>
                      <w:spacing w:val="-6"/>
                      <w:szCs w:val="20"/>
                      <w:highlight w:val="none"/>
                    </w:rPr>
                  </w:pPr>
                  <w:r>
                    <w:rPr>
                      <w:rFonts w:hint="eastAsia"/>
                      <w:color w:val="0000FF"/>
                      <w:spacing w:val="-6"/>
                      <w:szCs w:val="20"/>
                      <w:highlight w:val="none"/>
                    </w:rPr>
                    <w:t>1</w:t>
                  </w:r>
                </w:p>
              </w:tc>
              <w:tc>
                <w:tcPr>
                  <w:tcW w:w="250" w:type="pct"/>
                  <w:vAlign w:val="center"/>
                </w:tcPr>
                <w:p>
                  <w:pPr>
                    <w:jc w:val="center"/>
                    <w:rPr>
                      <w:color w:val="0000FF"/>
                      <w:highlight w:val="none"/>
                    </w:rPr>
                  </w:pPr>
                  <w:r>
                    <w:rPr>
                      <w:rFonts w:hint="eastAsia"/>
                      <w:color w:val="0000FF"/>
                      <w:highlight w:val="none"/>
                    </w:rPr>
                    <w:t>85</w:t>
                  </w:r>
                </w:p>
              </w:tc>
              <w:tc>
                <w:tcPr>
                  <w:tcW w:w="241"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88.01</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color w:val="0000FF"/>
                      <w:sz w:val="18"/>
                      <w:szCs w:val="18"/>
                      <w:highlight w:val="none"/>
                    </w:rPr>
                  </w:pPr>
                  <w:r>
                    <w:rPr>
                      <w:rFonts w:hint="eastAsia"/>
                      <w:color w:val="0000FF"/>
                      <w:sz w:val="18"/>
                      <w:szCs w:val="18"/>
                      <w:highlight w:val="none"/>
                    </w:rPr>
                    <w:t>-19</w:t>
                  </w:r>
                </w:p>
              </w:tc>
              <w:tc>
                <w:tcPr>
                  <w:tcW w:w="189" w:type="pct"/>
                  <w:vAlign w:val="center"/>
                </w:tcPr>
                <w:p>
                  <w:pPr>
                    <w:jc w:val="center"/>
                    <w:rPr>
                      <w:color w:val="0000FF"/>
                      <w:sz w:val="18"/>
                      <w:szCs w:val="18"/>
                      <w:highlight w:val="none"/>
                    </w:rPr>
                  </w:pPr>
                  <w:r>
                    <w:rPr>
                      <w:rFonts w:hint="eastAsia"/>
                      <w:color w:val="0000FF"/>
                      <w:sz w:val="18"/>
                      <w:szCs w:val="18"/>
                      <w:highlight w:val="none"/>
                    </w:rPr>
                    <w:t>3</w:t>
                  </w:r>
                </w:p>
              </w:tc>
              <w:tc>
                <w:tcPr>
                  <w:tcW w:w="141" w:type="pct"/>
                  <w:vAlign w:val="center"/>
                </w:tcPr>
                <w:p>
                  <w:pPr>
                    <w:jc w:val="center"/>
                    <w:rPr>
                      <w:color w:val="0000FF"/>
                      <w:sz w:val="18"/>
                      <w:szCs w:val="18"/>
                      <w:highlight w:val="none"/>
                    </w:rPr>
                  </w:pPr>
                  <w:r>
                    <w:rPr>
                      <w:rFonts w:hint="eastAsia"/>
                      <w:color w:val="0000FF"/>
                      <w:sz w:val="18"/>
                      <w:szCs w:val="18"/>
                      <w:highlight w:val="none"/>
                    </w:rPr>
                    <w:t>1</w:t>
                  </w:r>
                </w:p>
              </w:tc>
              <w:tc>
                <w:tcPr>
                  <w:tcW w:w="169" w:type="pct"/>
                  <w:vAlign w:val="center"/>
                </w:tcPr>
                <w:p>
                  <w:pPr>
                    <w:jc w:val="center"/>
                    <w:rPr>
                      <w:color w:val="0000FF"/>
                      <w:sz w:val="18"/>
                      <w:szCs w:val="18"/>
                      <w:highlight w:val="none"/>
                    </w:rPr>
                  </w:pPr>
                  <w:r>
                    <w:rPr>
                      <w:rFonts w:hint="eastAsia"/>
                      <w:color w:val="0000FF"/>
                      <w:sz w:val="18"/>
                      <w:szCs w:val="18"/>
                      <w:highlight w:val="none"/>
                    </w:rPr>
                    <w:t>45</w:t>
                  </w:r>
                </w:p>
              </w:tc>
              <w:tc>
                <w:tcPr>
                  <w:tcW w:w="169" w:type="pct"/>
                  <w:vAlign w:val="center"/>
                </w:tcPr>
                <w:p>
                  <w:pPr>
                    <w:jc w:val="center"/>
                    <w:rPr>
                      <w:color w:val="0000FF"/>
                      <w:sz w:val="18"/>
                      <w:szCs w:val="18"/>
                      <w:highlight w:val="none"/>
                    </w:rPr>
                  </w:pPr>
                  <w:r>
                    <w:rPr>
                      <w:rFonts w:hint="eastAsia"/>
                      <w:color w:val="0000FF"/>
                      <w:sz w:val="18"/>
                      <w:szCs w:val="18"/>
                      <w:highlight w:val="none"/>
                    </w:rPr>
                    <w:t>34</w:t>
                  </w:r>
                </w:p>
              </w:tc>
              <w:tc>
                <w:tcPr>
                  <w:tcW w:w="169" w:type="pct"/>
                  <w:vAlign w:val="center"/>
                </w:tcPr>
                <w:p>
                  <w:pPr>
                    <w:jc w:val="center"/>
                    <w:rPr>
                      <w:rFonts w:hint="eastAsia" w:eastAsia="宋体"/>
                      <w:color w:val="0000FF"/>
                      <w:sz w:val="18"/>
                      <w:szCs w:val="18"/>
                      <w:highlight w:val="none"/>
                      <w:lang w:eastAsia="zh-CN"/>
                    </w:rPr>
                  </w:pPr>
                  <w:r>
                    <w:rPr>
                      <w:rFonts w:hint="eastAsia"/>
                      <w:color w:val="0000FF"/>
                      <w:sz w:val="18"/>
                      <w:szCs w:val="18"/>
                      <w:highlight w:val="none"/>
                      <w:lang w:val="en-US" w:eastAsia="zh-CN"/>
                    </w:rPr>
                    <w:t>8</w:t>
                  </w:r>
                </w:p>
              </w:tc>
              <w:tc>
                <w:tcPr>
                  <w:tcW w:w="173" w:type="pct"/>
                  <w:vAlign w:val="center"/>
                </w:tcPr>
                <w:p>
                  <w:pPr>
                    <w:jc w:val="center"/>
                    <w:rPr>
                      <w:color w:val="0000FF"/>
                      <w:sz w:val="18"/>
                      <w:szCs w:val="18"/>
                      <w:highlight w:val="none"/>
                    </w:rPr>
                  </w:pPr>
                  <w:r>
                    <w:rPr>
                      <w:rFonts w:hint="eastAsia"/>
                      <w:color w:val="0000FF"/>
                      <w:sz w:val="18"/>
                      <w:szCs w:val="18"/>
                      <w:highlight w:val="none"/>
                    </w:rPr>
                    <w:t>63</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54.9</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57.4</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69.9</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52.0</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34.9</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37.4</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49.9</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32.0</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rFonts w:hint="default" w:eastAsia="宋体"/>
                      <w:color w:val="0000FF"/>
                      <w:szCs w:val="21"/>
                      <w:highlight w:val="none"/>
                      <w:lang w:val="en-US" w:eastAsia="zh-CN"/>
                    </w:rPr>
                  </w:pPr>
                  <w:r>
                    <w:rPr>
                      <w:rFonts w:hint="eastAsia"/>
                      <w:color w:val="0000FF"/>
                      <w:szCs w:val="21"/>
                      <w:highlight w:val="none"/>
                      <w:lang w:val="en-US" w:eastAsia="zh-CN"/>
                    </w:rPr>
                    <w:t>10</w:t>
                  </w:r>
                </w:p>
              </w:tc>
              <w:tc>
                <w:tcPr>
                  <w:tcW w:w="151" w:type="pct"/>
                  <w:vMerge w:val="restart"/>
                  <w:vAlign w:val="center"/>
                </w:tcPr>
                <w:p>
                  <w:pPr>
                    <w:adjustRightInd w:val="0"/>
                    <w:snapToGrid w:val="0"/>
                    <w:jc w:val="center"/>
                    <w:rPr>
                      <w:rFonts w:hint="default" w:eastAsia="宋体"/>
                      <w:color w:val="0000FF"/>
                      <w:kern w:val="0"/>
                      <w:szCs w:val="21"/>
                      <w:highlight w:val="none"/>
                      <w:lang w:val="en-US" w:eastAsia="zh-CN"/>
                    </w:rPr>
                  </w:pPr>
                  <w:r>
                    <w:rPr>
                      <w:rFonts w:hint="eastAsia"/>
                      <w:color w:val="0000FF"/>
                      <w:kern w:val="0"/>
                      <w:szCs w:val="21"/>
                      <w:highlight w:val="none"/>
                      <w:lang w:val="en-US" w:eastAsia="zh-CN"/>
                    </w:rPr>
                    <w:t>污水处理张</w:t>
                  </w:r>
                </w:p>
              </w:tc>
              <w:tc>
                <w:tcPr>
                  <w:tcW w:w="295" w:type="pct"/>
                  <w:vAlign w:val="center"/>
                </w:tcPr>
                <w:p>
                  <w:pPr>
                    <w:adjustRightInd w:val="0"/>
                    <w:snapToGrid w:val="0"/>
                    <w:jc w:val="center"/>
                    <w:rPr>
                      <w:rFonts w:hint="default" w:eastAsia="宋体"/>
                      <w:color w:val="0000FF"/>
                      <w:spacing w:val="-6"/>
                      <w:szCs w:val="20"/>
                      <w:highlight w:val="none"/>
                      <w:lang w:val="en-US" w:eastAsia="zh-CN"/>
                    </w:rPr>
                  </w:pPr>
                  <w:r>
                    <w:rPr>
                      <w:rFonts w:hint="eastAsia"/>
                      <w:color w:val="0000FF"/>
                      <w:spacing w:val="-6"/>
                      <w:szCs w:val="20"/>
                      <w:highlight w:val="none"/>
                      <w:lang w:val="en-US" w:eastAsia="zh-CN"/>
                    </w:rPr>
                    <w:t>提升泵</w:t>
                  </w:r>
                </w:p>
              </w:tc>
              <w:tc>
                <w:tcPr>
                  <w:tcW w:w="135" w:type="pct"/>
                  <w:vAlign w:val="center"/>
                </w:tcPr>
                <w:p>
                  <w:pPr>
                    <w:adjustRightInd w:val="0"/>
                    <w:snapToGrid w:val="0"/>
                    <w:jc w:val="center"/>
                    <w:rPr>
                      <w:rFonts w:hint="eastAsia" w:eastAsia="宋体"/>
                      <w:color w:val="0000FF"/>
                      <w:spacing w:val="-6"/>
                      <w:szCs w:val="20"/>
                      <w:highlight w:val="none"/>
                      <w:lang w:val="en-US" w:eastAsia="zh-CN"/>
                    </w:rPr>
                  </w:pPr>
                  <w:r>
                    <w:rPr>
                      <w:rFonts w:hint="eastAsia"/>
                      <w:color w:val="0000FF"/>
                      <w:spacing w:val="-6"/>
                      <w:szCs w:val="20"/>
                      <w:highlight w:val="none"/>
                      <w:lang w:val="en-US" w:eastAsia="zh-CN"/>
                    </w:rPr>
                    <w:t>1</w:t>
                  </w:r>
                </w:p>
              </w:tc>
              <w:tc>
                <w:tcPr>
                  <w:tcW w:w="250"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80</w:t>
                  </w:r>
                </w:p>
              </w:tc>
              <w:tc>
                <w:tcPr>
                  <w:tcW w:w="241" w:type="pct"/>
                  <w:vAlign w:val="center"/>
                </w:tcPr>
                <w:p>
                  <w:pPr>
                    <w:jc w:val="center"/>
                    <w:rPr>
                      <w:rFonts w:hint="default"/>
                      <w:color w:val="0000FF"/>
                      <w:highlight w:val="none"/>
                      <w:lang w:val="en-US" w:eastAsia="zh-CN"/>
                    </w:rPr>
                  </w:pPr>
                  <w:r>
                    <w:rPr>
                      <w:rFonts w:hint="eastAsia"/>
                      <w:color w:val="0000FF"/>
                      <w:highlight w:val="none"/>
                      <w:lang w:val="en-US" w:eastAsia="zh-CN"/>
                    </w:rPr>
                    <w:t>80</w:t>
                  </w:r>
                </w:p>
              </w:tc>
              <w:tc>
                <w:tcPr>
                  <w:tcW w:w="239" w:type="pct"/>
                  <w:vMerge w:val="restart"/>
                  <w:vAlign w:val="center"/>
                </w:tcPr>
                <w:p>
                  <w:pPr>
                    <w:adjustRightInd w:val="0"/>
                    <w:snapToGrid w:val="0"/>
                    <w:jc w:val="center"/>
                    <w:rPr>
                      <w:rFonts w:hint="default" w:eastAsia="宋体"/>
                      <w:color w:val="0000FF"/>
                      <w:szCs w:val="21"/>
                      <w:highlight w:val="none"/>
                      <w:lang w:val="en-US" w:eastAsia="zh-CN"/>
                    </w:rPr>
                  </w:pPr>
                  <w:r>
                    <w:rPr>
                      <w:rFonts w:hint="eastAsia"/>
                      <w:color w:val="0000FF"/>
                      <w:szCs w:val="21"/>
                      <w:highlight w:val="none"/>
                    </w:rPr>
                    <w:t>选用低噪声设备</w:t>
                  </w:r>
                  <w:r>
                    <w:rPr>
                      <w:rFonts w:hint="eastAsia"/>
                      <w:color w:val="0000FF"/>
                      <w:szCs w:val="21"/>
                      <w:highlight w:val="none"/>
                      <w:lang w:eastAsia="zh-CN"/>
                    </w:rPr>
                    <w:t>、</w:t>
                  </w:r>
                  <w:r>
                    <w:rPr>
                      <w:rFonts w:hint="eastAsia"/>
                      <w:color w:val="0000FF"/>
                      <w:szCs w:val="21"/>
                      <w:highlight w:val="none"/>
                      <w:lang w:val="en-US" w:eastAsia="zh-CN"/>
                    </w:rPr>
                    <w:t>建筑隔声</w:t>
                  </w:r>
                </w:p>
              </w:tc>
              <w:tc>
                <w:tcPr>
                  <w:tcW w:w="172"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25</w:t>
                  </w:r>
                </w:p>
              </w:tc>
              <w:tc>
                <w:tcPr>
                  <w:tcW w:w="18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70</w:t>
                  </w:r>
                </w:p>
              </w:tc>
              <w:tc>
                <w:tcPr>
                  <w:tcW w:w="141"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1</w:t>
                  </w:r>
                </w:p>
              </w:tc>
              <w:tc>
                <w:tcPr>
                  <w:tcW w:w="169"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2</w:t>
                  </w:r>
                </w:p>
              </w:tc>
              <w:tc>
                <w:tcPr>
                  <w:tcW w:w="169"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5</w:t>
                  </w:r>
                </w:p>
              </w:tc>
              <w:tc>
                <w:tcPr>
                  <w:tcW w:w="169"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2</w:t>
                  </w:r>
                </w:p>
              </w:tc>
              <w:tc>
                <w:tcPr>
                  <w:tcW w:w="173"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8</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73.8</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66.0</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73.8</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61.9</w:t>
                  </w:r>
                </w:p>
              </w:tc>
              <w:tc>
                <w:tcPr>
                  <w:tcW w:w="247" w:type="pct"/>
                  <w:vMerge w:val="restar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24h</w:t>
                  </w:r>
                </w:p>
              </w:tc>
              <w:tc>
                <w:tcPr>
                  <w:tcW w:w="260" w:type="pct"/>
                  <w:vMerge w:val="restar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20</w:t>
                  </w: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53.8</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46.0</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53.8</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41.9</w:t>
                  </w:r>
                </w:p>
              </w:tc>
              <w:tc>
                <w:tcPr>
                  <w:tcW w:w="261" w:type="pct"/>
                  <w:gridSpan w:val="2"/>
                  <w:vMerge w:val="restart"/>
                  <w:tcBorders>
                    <w:right w:val="nil"/>
                  </w:tcBorders>
                  <w:vAlign w:val="center"/>
                </w:tcPr>
                <w:p>
                  <w:pPr>
                    <w:adjustRightInd w:val="0"/>
                    <w:snapToGrid w:val="0"/>
                    <w:jc w:val="center"/>
                    <w:rPr>
                      <w:rFonts w:hint="eastAsia" w:eastAsia="宋体"/>
                      <w:color w:val="0000FF"/>
                      <w:szCs w:val="21"/>
                      <w:highlight w:val="none"/>
                      <w:lang w:val="en-US" w:eastAsia="zh-CN"/>
                    </w:rPr>
                  </w:pPr>
                  <w:r>
                    <w:rPr>
                      <w:rFonts w:hint="eastAsia"/>
                      <w:color w:val="0000FF"/>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 w:type="pct"/>
                  <w:tcBorders>
                    <w:left w:val="nil"/>
                  </w:tcBorders>
                  <w:shd w:val="clear" w:color="auto" w:fill="auto"/>
                  <w:vAlign w:val="center"/>
                </w:tcPr>
                <w:p>
                  <w:pPr>
                    <w:widowControl/>
                    <w:adjustRightInd w:val="0"/>
                    <w:snapToGrid w:val="0"/>
                    <w:jc w:val="center"/>
                    <w:rPr>
                      <w:rFonts w:hint="default" w:eastAsia="宋体"/>
                      <w:color w:val="0000FF"/>
                      <w:szCs w:val="21"/>
                      <w:highlight w:val="none"/>
                      <w:lang w:val="en-US" w:eastAsia="zh-CN"/>
                    </w:rPr>
                  </w:pPr>
                  <w:r>
                    <w:rPr>
                      <w:rFonts w:hint="eastAsia"/>
                      <w:color w:val="0000FF"/>
                      <w:szCs w:val="21"/>
                      <w:highlight w:val="none"/>
                      <w:lang w:val="en-US" w:eastAsia="zh-CN"/>
                    </w:rPr>
                    <w:t>11</w:t>
                  </w:r>
                </w:p>
              </w:tc>
              <w:tc>
                <w:tcPr>
                  <w:tcW w:w="151" w:type="pct"/>
                  <w:vMerge w:val="continue"/>
                  <w:vAlign w:val="center"/>
                </w:tcPr>
                <w:p>
                  <w:pPr>
                    <w:adjustRightInd w:val="0"/>
                    <w:snapToGrid w:val="0"/>
                    <w:jc w:val="center"/>
                    <w:rPr>
                      <w:rFonts w:hint="default" w:eastAsia="宋体"/>
                      <w:color w:val="0000FF"/>
                      <w:kern w:val="0"/>
                      <w:szCs w:val="21"/>
                      <w:highlight w:val="none"/>
                      <w:lang w:val="en-US" w:eastAsia="zh-CN"/>
                    </w:rPr>
                  </w:pPr>
                </w:p>
              </w:tc>
              <w:tc>
                <w:tcPr>
                  <w:tcW w:w="295" w:type="pct"/>
                  <w:vAlign w:val="center"/>
                </w:tcPr>
                <w:p>
                  <w:pPr>
                    <w:adjustRightInd w:val="0"/>
                    <w:snapToGrid w:val="0"/>
                    <w:jc w:val="center"/>
                    <w:rPr>
                      <w:rFonts w:hint="default" w:eastAsia="宋体"/>
                      <w:color w:val="0000FF"/>
                      <w:spacing w:val="-6"/>
                      <w:szCs w:val="20"/>
                      <w:highlight w:val="none"/>
                      <w:lang w:val="en-US" w:eastAsia="zh-CN"/>
                    </w:rPr>
                  </w:pPr>
                  <w:r>
                    <w:rPr>
                      <w:rFonts w:hint="eastAsia"/>
                      <w:color w:val="0000FF"/>
                      <w:spacing w:val="-6"/>
                      <w:szCs w:val="20"/>
                      <w:highlight w:val="none"/>
                      <w:lang w:val="en-US" w:eastAsia="zh-CN"/>
                    </w:rPr>
                    <w:t>污泥脱水机</w:t>
                  </w:r>
                </w:p>
              </w:tc>
              <w:tc>
                <w:tcPr>
                  <w:tcW w:w="135" w:type="pct"/>
                  <w:vAlign w:val="center"/>
                </w:tcPr>
                <w:p>
                  <w:pPr>
                    <w:adjustRightInd w:val="0"/>
                    <w:snapToGrid w:val="0"/>
                    <w:jc w:val="center"/>
                    <w:rPr>
                      <w:rFonts w:hint="eastAsia" w:eastAsia="宋体"/>
                      <w:color w:val="0000FF"/>
                      <w:spacing w:val="-6"/>
                      <w:szCs w:val="20"/>
                      <w:highlight w:val="none"/>
                      <w:lang w:val="en-US" w:eastAsia="zh-CN"/>
                    </w:rPr>
                  </w:pPr>
                  <w:r>
                    <w:rPr>
                      <w:rFonts w:hint="eastAsia"/>
                      <w:color w:val="0000FF"/>
                      <w:spacing w:val="-6"/>
                      <w:szCs w:val="20"/>
                      <w:highlight w:val="none"/>
                      <w:lang w:val="en-US" w:eastAsia="zh-CN"/>
                    </w:rPr>
                    <w:t>1</w:t>
                  </w:r>
                </w:p>
              </w:tc>
              <w:tc>
                <w:tcPr>
                  <w:tcW w:w="250" w:type="pct"/>
                  <w:vAlign w:val="center"/>
                </w:tcPr>
                <w:p>
                  <w:pPr>
                    <w:jc w:val="center"/>
                    <w:rPr>
                      <w:rFonts w:hint="default" w:eastAsia="宋体"/>
                      <w:color w:val="0000FF"/>
                      <w:highlight w:val="none"/>
                      <w:lang w:val="en-US" w:eastAsia="zh-CN"/>
                    </w:rPr>
                  </w:pPr>
                  <w:r>
                    <w:rPr>
                      <w:rFonts w:hint="eastAsia"/>
                      <w:color w:val="0000FF"/>
                      <w:highlight w:val="none"/>
                      <w:lang w:val="en-US" w:eastAsia="zh-CN"/>
                    </w:rPr>
                    <w:t>80</w:t>
                  </w:r>
                </w:p>
              </w:tc>
              <w:tc>
                <w:tcPr>
                  <w:tcW w:w="241" w:type="pct"/>
                  <w:vAlign w:val="center"/>
                </w:tcPr>
                <w:p>
                  <w:pPr>
                    <w:jc w:val="center"/>
                    <w:rPr>
                      <w:rFonts w:hint="default"/>
                      <w:color w:val="0000FF"/>
                      <w:highlight w:val="none"/>
                      <w:lang w:val="en-US" w:eastAsia="zh-CN"/>
                    </w:rPr>
                  </w:pPr>
                  <w:r>
                    <w:rPr>
                      <w:rFonts w:hint="eastAsia"/>
                      <w:color w:val="0000FF"/>
                      <w:highlight w:val="none"/>
                      <w:lang w:val="en-US" w:eastAsia="zh-CN"/>
                    </w:rPr>
                    <w:t>80</w:t>
                  </w:r>
                </w:p>
              </w:tc>
              <w:tc>
                <w:tcPr>
                  <w:tcW w:w="239" w:type="pct"/>
                  <w:vMerge w:val="continue"/>
                  <w:vAlign w:val="center"/>
                </w:tcPr>
                <w:p>
                  <w:pPr>
                    <w:adjustRightInd w:val="0"/>
                    <w:snapToGrid w:val="0"/>
                    <w:jc w:val="center"/>
                    <w:rPr>
                      <w:color w:val="0000FF"/>
                      <w:szCs w:val="21"/>
                      <w:highlight w:val="none"/>
                    </w:rPr>
                  </w:pPr>
                </w:p>
              </w:tc>
              <w:tc>
                <w:tcPr>
                  <w:tcW w:w="172"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w:t>
                  </w:r>
                </w:p>
              </w:tc>
              <w:tc>
                <w:tcPr>
                  <w:tcW w:w="18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72</w:t>
                  </w:r>
                </w:p>
              </w:tc>
              <w:tc>
                <w:tcPr>
                  <w:tcW w:w="141"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1</w:t>
                  </w:r>
                </w:p>
              </w:tc>
              <w:tc>
                <w:tcPr>
                  <w:tcW w:w="169"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2</w:t>
                  </w:r>
                </w:p>
              </w:tc>
              <w:tc>
                <w:tcPr>
                  <w:tcW w:w="169"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3</w:t>
                  </w:r>
                </w:p>
              </w:tc>
              <w:tc>
                <w:tcPr>
                  <w:tcW w:w="169"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2</w:t>
                  </w:r>
                </w:p>
              </w:tc>
              <w:tc>
                <w:tcPr>
                  <w:tcW w:w="173" w:type="pct"/>
                  <w:vAlign w:val="center"/>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3</w:t>
                  </w:r>
                </w:p>
              </w:tc>
              <w:tc>
                <w:tcPr>
                  <w:tcW w:w="20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73.8</w:t>
                  </w:r>
                </w:p>
              </w:tc>
              <w:tc>
                <w:tcPr>
                  <w:tcW w:w="22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70.4</w:t>
                  </w:r>
                </w:p>
              </w:tc>
              <w:tc>
                <w:tcPr>
                  <w:tcW w:w="194"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73.8</w:t>
                  </w:r>
                </w:p>
              </w:tc>
              <w:tc>
                <w:tcPr>
                  <w:tcW w:w="210"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70.4</w:t>
                  </w:r>
                </w:p>
              </w:tc>
              <w:tc>
                <w:tcPr>
                  <w:tcW w:w="247" w:type="pct"/>
                  <w:vMerge w:val="continue"/>
                  <w:vAlign w:val="center"/>
                </w:tcPr>
                <w:p>
                  <w:pPr>
                    <w:jc w:val="center"/>
                    <w:rPr>
                      <w:color w:val="0000FF"/>
                      <w:sz w:val="18"/>
                      <w:szCs w:val="18"/>
                      <w:highlight w:val="none"/>
                    </w:rPr>
                  </w:pPr>
                </w:p>
              </w:tc>
              <w:tc>
                <w:tcPr>
                  <w:tcW w:w="260" w:type="pct"/>
                  <w:vMerge w:val="continue"/>
                  <w:vAlign w:val="center"/>
                </w:tcPr>
                <w:p>
                  <w:pPr>
                    <w:jc w:val="center"/>
                    <w:rPr>
                      <w:color w:val="0000FF"/>
                      <w:sz w:val="18"/>
                      <w:szCs w:val="18"/>
                      <w:highlight w:val="none"/>
                    </w:rPr>
                  </w:pPr>
                </w:p>
              </w:tc>
              <w:tc>
                <w:tcPr>
                  <w:tcW w:w="203"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53.8</w:t>
                  </w:r>
                </w:p>
              </w:tc>
              <w:tc>
                <w:tcPr>
                  <w:tcW w:w="207"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50.4</w:t>
                  </w:r>
                </w:p>
              </w:tc>
              <w:tc>
                <w:tcPr>
                  <w:tcW w:w="156"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53.8</w:t>
                  </w:r>
                </w:p>
              </w:tc>
              <w:tc>
                <w:tcPr>
                  <w:tcW w:w="169" w:type="pct"/>
                  <w:vAlign w:val="center"/>
                </w:tcPr>
                <w:p>
                  <w:pPr>
                    <w:jc w:val="center"/>
                    <w:rPr>
                      <w:rFonts w:hint="default" w:eastAsia="宋体"/>
                      <w:color w:val="0000FF"/>
                      <w:sz w:val="18"/>
                      <w:szCs w:val="18"/>
                      <w:highlight w:val="none"/>
                      <w:lang w:val="en-US" w:eastAsia="zh-CN"/>
                    </w:rPr>
                  </w:pPr>
                  <w:r>
                    <w:rPr>
                      <w:rFonts w:hint="eastAsia"/>
                      <w:color w:val="0000FF"/>
                      <w:sz w:val="18"/>
                      <w:szCs w:val="18"/>
                      <w:highlight w:val="none"/>
                      <w:lang w:val="en-US" w:eastAsia="zh-CN"/>
                    </w:rPr>
                    <w:t>50.4</w:t>
                  </w:r>
                </w:p>
              </w:tc>
              <w:tc>
                <w:tcPr>
                  <w:tcW w:w="261" w:type="pct"/>
                  <w:gridSpan w:val="2"/>
                  <w:vMerge w:val="continue"/>
                  <w:tcBorders>
                    <w:right w:val="nil"/>
                  </w:tcBorders>
                  <w:vAlign w:val="center"/>
                </w:tcPr>
                <w:p>
                  <w:pPr>
                    <w:adjustRightInd w:val="0"/>
                    <w:snapToGrid w:val="0"/>
                    <w:jc w:val="center"/>
                    <w:rPr>
                      <w:color w:val="0000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4" w:type="pct"/>
                  <w:gridSpan w:val="25"/>
                  <w:tcBorders>
                    <w:left w:val="nil"/>
                    <w:right w:val="nil"/>
                  </w:tcBorders>
                  <w:vAlign w:val="center"/>
                </w:tcPr>
                <w:p>
                  <w:pPr>
                    <w:adjustRightInd w:val="0"/>
                    <w:snapToGrid w:val="0"/>
                    <w:rPr>
                      <w:color w:val="0000FF"/>
                      <w:szCs w:val="21"/>
                      <w:highlight w:val="none"/>
                    </w:rPr>
                  </w:pPr>
                  <w:r>
                    <w:rPr>
                      <w:rFonts w:hint="eastAsia"/>
                      <w:bCs/>
                      <w:color w:val="0000FF"/>
                      <w:szCs w:val="21"/>
                      <w:highlight w:val="none"/>
                    </w:rPr>
                    <w:t>以“</w:t>
                  </w:r>
                  <w:r>
                    <w:rPr>
                      <w:bCs/>
                      <w:color w:val="0000FF"/>
                      <w:szCs w:val="21"/>
                      <w:highlight w:val="none"/>
                    </w:rPr>
                    <w:t>E115°56′9.9</w:t>
                  </w:r>
                  <w:r>
                    <w:rPr>
                      <w:rFonts w:hint="eastAsia"/>
                      <w:bCs/>
                      <w:color w:val="0000FF"/>
                      <w:szCs w:val="21"/>
                      <w:highlight w:val="none"/>
                    </w:rPr>
                    <w:t>87</w:t>
                  </w:r>
                  <w:r>
                    <w:rPr>
                      <w:bCs/>
                      <w:color w:val="0000FF"/>
                      <w:szCs w:val="21"/>
                      <w:highlight w:val="none"/>
                    </w:rPr>
                    <w:t>″,N29°20′48.</w:t>
                  </w:r>
                  <w:r>
                    <w:rPr>
                      <w:rFonts w:hint="eastAsia"/>
                      <w:bCs/>
                      <w:color w:val="0000FF"/>
                      <w:szCs w:val="21"/>
                      <w:highlight w:val="none"/>
                    </w:rPr>
                    <w:t>940”为原点（0，0，0），沿正东方向为X轴正方向，沿正北方向为Y轴正方向。</w:t>
                  </w:r>
                </w:p>
              </w:tc>
              <w:tc>
                <w:tcPr>
                  <w:tcW w:w="235" w:type="pct"/>
                  <w:tcBorders>
                    <w:left w:val="nil"/>
                    <w:right w:val="nil"/>
                  </w:tcBorders>
                  <w:vAlign w:val="center"/>
                </w:tcPr>
                <w:p>
                  <w:pPr>
                    <w:adjustRightInd w:val="0"/>
                    <w:snapToGrid w:val="0"/>
                    <w:rPr>
                      <w:rFonts w:hint="eastAsia"/>
                      <w:bCs/>
                      <w:color w:val="0000FF"/>
                      <w:szCs w:val="21"/>
                      <w:highlight w:val="none"/>
                    </w:rPr>
                  </w:pPr>
                </w:p>
              </w:tc>
            </w:tr>
          </w:tbl>
          <w:p>
            <w:pPr>
              <w:widowControl/>
              <w:snapToGrid w:val="0"/>
              <w:spacing w:line="360" w:lineRule="auto"/>
              <w:jc w:val="left"/>
              <w:rPr>
                <w:sz w:val="24"/>
                <w:szCs w:val="22"/>
                <w:highlight w:val="none"/>
              </w:rPr>
            </w:pPr>
          </w:p>
        </w:tc>
      </w:tr>
    </w:tbl>
    <w:p>
      <w:pPr>
        <w:rPr>
          <w:highlight w:val="none"/>
        </w:rPr>
        <w:sectPr>
          <w:pgSz w:w="16840" w:h="11907" w:orient="landscape"/>
          <w:pgMar w:top="1531" w:right="1531" w:bottom="1531" w:left="1531" w:header="851" w:footer="851" w:gutter="0"/>
          <w:pgBorders>
            <w:top w:val="none" w:sz="0" w:space="0"/>
            <w:left w:val="none" w:sz="0" w:space="0"/>
            <w:bottom w:val="none" w:sz="0" w:space="0"/>
            <w:right w:val="none" w:sz="0" w:space="0"/>
          </w:pgBorders>
          <w:cols w:space="720" w:num="1"/>
          <w:docGrid w:linePitch="312" w:charSpace="0"/>
        </w:sectPr>
      </w:pPr>
    </w:p>
    <w:tbl>
      <w:tblPr>
        <w:tblStyle w:val="39"/>
        <w:tblW w:w="504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3"/>
        <w:gridCol w:w="87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39" w:hRule="atLeast"/>
          <w:jc w:val="center"/>
        </w:trPr>
        <w:tc>
          <w:tcPr>
            <w:tcW w:w="195" w:type="pct"/>
            <w:tcMar>
              <w:left w:w="28" w:type="dxa"/>
              <w:right w:w="28" w:type="dxa"/>
            </w:tcMar>
            <w:vAlign w:val="center"/>
          </w:tcPr>
          <w:p>
            <w:pPr>
              <w:widowControl/>
              <w:jc w:val="center"/>
              <w:rPr>
                <w:b/>
                <w:bCs/>
                <w:kern w:val="0"/>
                <w:sz w:val="24"/>
                <w:szCs w:val="20"/>
                <w:highlight w:val="none"/>
              </w:rPr>
            </w:pPr>
            <w:r>
              <w:rPr>
                <w:rFonts w:hint="eastAsia"/>
                <w:b/>
                <w:bCs/>
                <w:kern w:val="0"/>
                <w:sz w:val="24"/>
                <w:szCs w:val="20"/>
                <w:highlight w:val="none"/>
              </w:rPr>
              <w:t>运</w:t>
            </w:r>
          </w:p>
          <w:p>
            <w:pPr>
              <w:widowControl/>
              <w:jc w:val="center"/>
              <w:rPr>
                <w:b/>
                <w:bCs/>
                <w:kern w:val="0"/>
                <w:sz w:val="24"/>
                <w:szCs w:val="20"/>
                <w:highlight w:val="none"/>
              </w:rPr>
            </w:pPr>
            <w:r>
              <w:rPr>
                <w:rFonts w:hint="eastAsia"/>
                <w:b/>
                <w:bCs/>
                <w:kern w:val="0"/>
                <w:sz w:val="24"/>
                <w:szCs w:val="20"/>
                <w:highlight w:val="none"/>
              </w:rPr>
              <w:t>营</w:t>
            </w:r>
          </w:p>
          <w:p>
            <w:pPr>
              <w:widowControl/>
              <w:jc w:val="center"/>
              <w:rPr>
                <w:b/>
                <w:bCs/>
                <w:kern w:val="0"/>
                <w:sz w:val="24"/>
                <w:szCs w:val="20"/>
                <w:highlight w:val="none"/>
              </w:rPr>
            </w:pP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4804" w:type="pct"/>
            <w:vAlign w:val="center"/>
          </w:tcPr>
          <w:p>
            <w:pPr>
              <w:spacing w:line="360" w:lineRule="auto"/>
              <w:ind w:firstLine="480" w:firstLineChars="200"/>
              <w:rPr>
                <w:sz w:val="24"/>
                <w:highlight w:val="none"/>
              </w:rPr>
            </w:pPr>
            <w:r>
              <w:rPr>
                <w:rFonts w:hint="eastAsia"/>
                <w:sz w:val="24"/>
                <w:highlight w:val="none"/>
              </w:rPr>
              <w:t>（2）</w:t>
            </w:r>
            <w:r>
              <w:rPr>
                <w:sz w:val="24"/>
                <w:highlight w:val="none"/>
              </w:rPr>
              <w:t>噪声排放达标分析</w:t>
            </w:r>
          </w:p>
          <w:p>
            <w:pPr>
              <w:spacing w:line="360" w:lineRule="auto"/>
              <w:ind w:firstLine="720" w:firstLineChars="300"/>
              <w:rPr>
                <w:sz w:val="24"/>
                <w:highlight w:val="none"/>
              </w:rPr>
            </w:pPr>
            <w:r>
              <w:rPr>
                <w:sz w:val="24"/>
                <w:highlight w:val="none"/>
              </w:rPr>
              <w:t>根据《环境影响评价技术导则 声环境》（HJ2.4-20</w:t>
            </w:r>
            <w:r>
              <w:rPr>
                <w:rFonts w:hint="eastAsia"/>
                <w:sz w:val="24"/>
                <w:highlight w:val="none"/>
              </w:rPr>
              <w:t>21</w:t>
            </w:r>
            <w:r>
              <w:rPr>
                <w:sz w:val="24"/>
                <w:highlight w:val="none"/>
              </w:rPr>
              <w:t>）预测项目对厂界噪声的影响</w:t>
            </w:r>
            <w:r>
              <w:rPr>
                <w:rFonts w:hint="eastAsia"/>
                <w:sz w:val="24"/>
                <w:highlight w:val="none"/>
              </w:rPr>
              <w:t>，</w:t>
            </w:r>
            <w:r>
              <w:rPr>
                <w:sz w:val="24"/>
                <w:highlight w:val="none"/>
              </w:rPr>
              <w:t>预测中应用的主要计算公式有：</w:t>
            </w:r>
          </w:p>
          <w:p>
            <w:pPr>
              <w:spacing w:line="360" w:lineRule="auto"/>
              <w:ind w:firstLine="480" w:firstLineChars="200"/>
              <w:rPr>
                <w:sz w:val="24"/>
                <w:highlight w:val="none"/>
              </w:rPr>
            </w:pPr>
            <w:r>
              <w:rPr>
                <w:rFonts w:hint="eastAsia"/>
                <w:sz w:val="24"/>
                <w:highlight w:val="none"/>
              </w:rPr>
              <w:t>1）</w:t>
            </w:r>
            <w:r>
              <w:rPr>
                <w:sz w:val="24"/>
                <w:highlight w:val="none"/>
              </w:rPr>
              <w:t>室外点声源</w:t>
            </w:r>
            <w:r>
              <w:rPr>
                <w:rFonts w:hint="eastAsia"/>
                <w:sz w:val="24"/>
                <w:highlight w:val="none"/>
              </w:rPr>
              <w:t>计算公式：</w:t>
            </w:r>
          </w:p>
          <w:p>
            <w:pPr>
              <w:spacing w:line="360" w:lineRule="auto"/>
              <w:jc w:val="center"/>
              <w:rPr>
                <w:sz w:val="24"/>
                <w:highlight w:val="none"/>
              </w:rPr>
            </w:pPr>
            <w:r>
              <w:rPr>
                <w:sz w:val="24"/>
                <w:highlight w:val="none"/>
              </w:rPr>
              <w:t>L</w:t>
            </w:r>
            <w:r>
              <w:rPr>
                <w:sz w:val="24"/>
                <w:highlight w:val="none"/>
                <w:vertAlign w:val="subscript"/>
              </w:rPr>
              <w:t>p(r)</w:t>
            </w:r>
            <w:r>
              <w:rPr>
                <w:sz w:val="24"/>
                <w:highlight w:val="none"/>
              </w:rPr>
              <w:t>＝L</w:t>
            </w:r>
            <w:r>
              <w:rPr>
                <w:sz w:val="24"/>
                <w:highlight w:val="none"/>
                <w:vertAlign w:val="subscript"/>
              </w:rPr>
              <w:t>p(r0)</w:t>
            </w:r>
            <w:r>
              <w:rPr>
                <w:sz w:val="24"/>
                <w:highlight w:val="none"/>
              </w:rPr>
              <w:t>+D</w:t>
            </w:r>
            <w:r>
              <w:rPr>
                <w:sz w:val="24"/>
                <w:highlight w:val="none"/>
                <w:vertAlign w:val="subscript"/>
              </w:rPr>
              <w:t>C</w:t>
            </w:r>
            <w:r>
              <w:rPr>
                <w:sz w:val="24"/>
                <w:highlight w:val="none"/>
              </w:rPr>
              <w:t>－(A</w:t>
            </w:r>
            <w:r>
              <w:rPr>
                <w:sz w:val="24"/>
                <w:highlight w:val="none"/>
                <w:vertAlign w:val="subscript"/>
              </w:rPr>
              <w:t>div</w:t>
            </w:r>
            <w:r>
              <w:rPr>
                <w:sz w:val="24"/>
                <w:highlight w:val="none"/>
              </w:rPr>
              <w:t>＋A</w:t>
            </w:r>
            <w:r>
              <w:rPr>
                <w:sz w:val="24"/>
                <w:highlight w:val="none"/>
                <w:vertAlign w:val="subscript"/>
              </w:rPr>
              <w:t>atm</w:t>
            </w:r>
            <w:r>
              <w:rPr>
                <w:sz w:val="24"/>
                <w:highlight w:val="none"/>
              </w:rPr>
              <w:t>＋A</w:t>
            </w:r>
            <w:r>
              <w:rPr>
                <w:sz w:val="24"/>
                <w:highlight w:val="none"/>
                <w:vertAlign w:val="subscript"/>
              </w:rPr>
              <w:t>gr</w:t>
            </w:r>
            <w:r>
              <w:rPr>
                <w:sz w:val="24"/>
                <w:highlight w:val="none"/>
              </w:rPr>
              <w:t>＋A</w:t>
            </w:r>
            <w:r>
              <w:rPr>
                <w:sz w:val="24"/>
                <w:highlight w:val="none"/>
                <w:vertAlign w:val="subscript"/>
              </w:rPr>
              <w:t>bar</w:t>
            </w:r>
            <w:r>
              <w:rPr>
                <w:sz w:val="24"/>
                <w:highlight w:val="none"/>
              </w:rPr>
              <w:t>＋A</w:t>
            </w:r>
            <w:r>
              <w:rPr>
                <w:sz w:val="24"/>
                <w:highlight w:val="none"/>
                <w:vertAlign w:val="subscript"/>
              </w:rPr>
              <w:t>misc</w:t>
            </w:r>
            <w:r>
              <w:rPr>
                <w:sz w:val="24"/>
                <w:highlight w:val="none"/>
              </w:rPr>
              <w:t>)</w:t>
            </w:r>
          </w:p>
          <w:p>
            <w:pPr>
              <w:spacing w:line="360" w:lineRule="auto"/>
              <w:ind w:firstLine="480" w:firstLineChars="200"/>
              <w:rPr>
                <w:sz w:val="24"/>
                <w:highlight w:val="none"/>
              </w:rPr>
            </w:pPr>
            <w:r>
              <w:rPr>
                <w:sz w:val="24"/>
                <w:highlight w:val="none"/>
              </w:rPr>
              <w:t>式中：L</w:t>
            </w:r>
            <w:r>
              <w:rPr>
                <w:sz w:val="24"/>
                <w:highlight w:val="none"/>
                <w:vertAlign w:val="subscript"/>
              </w:rPr>
              <w:t>p(r)</w:t>
            </w:r>
            <w:r>
              <w:rPr>
                <w:sz w:val="24"/>
                <w:highlight w:val="none"/>
              </w:rPr>
              <w:t>——预测点处声压级，dB；</w:t>
            </w:r>
          </w:p>
          <w:p>
            <w:pPr>
              <w:spacing w:line="360" w:lineRule="auto"/>
              <w:ind w:firstLine="1200" w:firstLineChars="500"/>
              <w:rPr>
                <w:sz w:val="24"/>
                <w:highlight w:val="none"/>
              </w:rPr>
            </w:pPr>
            <w:r>
              <w:rPr>
                <w:sz w:val="24"/>
                <w:highlight w:val="none"/>
              </w:rPr>
              <w:t>L</w:t>
            </w:r>
            <w:r>
              <w:rPr>
                <w:sz w:val="24"/>
                <w:highlight w:val="none"/>
                <w:vertAlign w:val="subscript"/>
              </w:rPr>
              <w:t>p(r0)</w:t>
            </w:r>
            <w:r>
              <w:rPr>
                <w:sz w:val="24"/>
                <w:highlight w:val="none"/>
              </w:rPr>
              <w:t>——参考位置r0处的声压级，dB；</w:t>
            </w:r>
          </w:p>
          <w:p>
            <w:pPr>
              <w:spacing w:line="360" w:lineRule="auto"/>
              <w:ind w:firstLine="1200" w:firstLineChars="500"/>
              <w:rPr>
                <w:sz w:val="24"/>
                <w:highlight w:val="none"/>
              </w:rPr>
            </w:pPr>
            <w:r>
              <w:rPr>
                <w:sz w:val="24"/>
                <w:highlight w:val="none"/>
              </w:rPr>
              <w:t>D</w:t>
            </w:r>
            <w:r>
              <w:rPr>
                <w:sz w:val="24"/>
                <w:highlight w:val="none"/>
                <w:vertAlign w:val="subscript"/>
              </w:rPr>
              <w:t>C</w:t>
            </w:r>
            <w:r>
              <w:rPr>
                <w:sz w:val="24"/>
                <w:highlight w:val="none"/>
              </w:rPr>
              <w:t>——指向性校正，它描述点声源的等效连续声压级与产生声功率级Lw的全向点声源在规定方向的声级的偏差程度，dB；</w:t>
            </w:r>
          </w:p>
          <w:p>
            <w:pPr>
              <w:spacing w:line="360" w:lineRule="auto"/>
              <w:ind w:firstLine="1200" w:firstLineChars="500"/>
              <w:rPr>
                <w:sz w:val="24"/>
                <w:highlight w:val="none"/>
              </w:rPr>
            </w:pPr>
            <w:r>
              <w:rPr>
                <w:sz w:val="24"/>
                <w:highlight w:val="none"/>
              </w:rPr>
              <w:t>A</w:t>
            </w:r>
            <w:r>
              <w:rPr>
                <w:sz w:val="24"/>
                <w:highlight w:val="none"/>
                <w:vertAlign w:val="subscript"/>
              </w:rPr>
              <w:t>div</w:t>
            </w:r>
            <w:r>
              <w:rPr>
                <w:sz w:val="24"/>
                <w:highlight w:val="none"/>
              </w:rPr>
              <w:t>——几何发散引起的衰减，dB；</w:t>
            </w:r>
          </w:p>
          <w:p>
            <w:pPr>
              <w:spacing w:line="360" w:lineRule="auto"/>
              <w:ind w:firstLine="1200" w:firstLineChars="500"/>
              <w:rPr>
                <w:sz w:val="24"/>
                <w:highlight w:val="none"/>
              </w:rPr>
            </w:pPr>
            <w:r>
              <w:rPr>
                <w:sz w:val="24"/>
                <w:highlight w:val="none"/>
              </w:rPr>
              <w:t>A</w:t>
            </w:r>
            <w:r>
              <w:rPr>
                <w:sz w:val="24"/>
                <w:highlight w:val="none"/>
                <w:vertAlign w:val="subscript"/>
              </w:rPr>
              <w:t>atm</w:t>
            </w:r>
            <w:r>
              <w:rPr>
                <w:sz w:val="24"/>
                <w:highlight w:val="none"/>
              </w:rPr>
              <w:t>——大气吸收引起的衰减，dB；</w:t>
            </w:r>
          </w:p>
          <w:p>
            <w:pPr>
              <w:spacing w:line="360" w:lineRule="auto"/>
              <w:ind w:firstLine="1200" w:firstLineChars="500"/>
              <w:rPr>
                <w:sz w:val="24"/>
                <w:highlight w:val="none"/>
              </w:rPr>
            </w:pPr>
            <w:r>
              <w:rPr>
                <w:sz w:val="24"/>
                <w:highlight w:val="none"/>
              </w:rPr>
              <w:t>A</w:t>
            </w:r>
            <w:r>
              <w:rPr>
                <w:sz w:val="24"/>
                <w:highlight w:val="none"/>
                <w:vertAlign w:val="subscript"/>
              </w:rPr>
              <w:t>gr</w:t>
            </w:r>
            <w:r>
              <w:rPr>
                <w:sz w:val="24"/>
                <w:highlight w:val="none"/>
              </w:rPr>
              <w:t>——地面效应引起的衰减，dB；</w:t>
            </w:r>
          </w:p>
          <w:p>
            <w:pPr>
              <w:spacing w:line="360" w:lineRule="auto"/>
              <w:ind w:firstLine="1200" w:firstLineChars="500"/>
              <w:rPr>
                <w:sz w:val="24"/>
                <w:highlight w:val="none"/>
              </w:rPr>
            </w:pPr>
            <w:r>
              <w:rPr>
                <w:sz w:val="24"/>
                <w:highlight w:val="none"/>
              </w:rPr>
              <w:t>A</w:t>
            </w:r>
            <w:r>
              <w:rPr>
                <w:sz w:val="24"/>
                <w:highlight w:val="none"/>
                <w:vertAlign w:val="subscript"/>
              </w:rPr>
              <w:t>bar</w:t>
            </w:r>
            <w:r>
              <w:rPr>
                <w:sz w:val="24"/>
                <w:highlight w:val="none"/>
              </w:rPr>
              <w:t>——障碍物屏蔽引起的衰减，dB；</w:t>
            </w:r>
          </w:p>
          <w:p>
            <w:pPr>
              <w:spacing w:line="360" w:lineRule="auto"/>
              <w:ind w:firstLine="1200" w:firstLineChars="500"/>
              <w:rPr>
                <w:sz w:val="24"/>
                <w:highlight w:val="none"/>
              </w:rPr>
            </w:pPr>
            <w:r>
              <w:rPr>
                <w:sz w:val="24"/>
                <w:highlight w:val="none"/>
              </w:rPr>
              <w:t>A</w:t>
            </w:r>
            <w:r>
              <w:rPr>
                <w:sz w:val="24"/>
                <w:highlight w:val="none"/>
                <w:vertAlign w:val="subscript"/>
              </w:rPr>
              <w:t>misc</w:t>
            </w:r>
            <w:r>
              <w:rPr>
                <w:sz w:val="24"/>
                <w:highlight w:val="none"/>
              </w:rPr>
              <w:t>——其他多方面效应引起的衰减，dB。</w:t>
            </w:r>
          </w:p>
          <w:p>
            <w:pPr>
              <w:spacing w:line="360" w:lineRule="auto"/>
              <w:ind w:firstLine="480" w:firstLineChars="200"/>
              <w:rPr>
                <w:sz w:val="24"/>
                <w:highlight w:val="none"/>
              </w:rPr>
            </w:pPr>
            <w:r>
              <w:rPr>
                <w:sz w:val="24"/>
                <w:highlight w:val="none"/>
              </w:rPr>
              <w:t>只考虑几何发散衰减</w:t>
            </w:r>
            <w:r>
              <w:rPr>
                <w:rFonts w:hint="eastAsia"/>
                <w:sz w:val="24"/>
                <w:highlight w:val="none"/>
              </w:rPr>
              <w:t>的计算公式：</w:t>
            </w:r>
          </w:p>
          <w:p>
            <w:pPr>
              <w:adjustRightInd w:val="0"/>
              <w:snapToGrid w:val="0"/>
              <w:jc w:val="center"/>
              <w:rPr>
                <w:sz w:val="24"/>
                <w:highlight w:val="none"/>
                <w:lang w:bidi="ar"/>
              </w:rPr>
            </w:pPr>
            <w:r>
              <w:rPr>
                <w:position w:val="-12"/>
                <w:sz w:val="24"/>
                <w:highlight w:val="none"/>
                <w:lang w:bidi="ar"/>
              </w:rPr>
              <w:object>
                <v:shape id="_x0000_i1026" o:spt="75" type="#_x0000_t75" style="height:18.5pt;width:96pt;" o:ole="t" filled="f" o:preferrelative="t" stroked="f" coordsize="21600,21600">
                  <v:path/>
                  <v:fill on="f" focussize="0,0"/>
                  <v:stroke on="f" joinstyle="miter"/>
                  <v:imagedata r:id="rId25" o:title=""/>
                  <o:lock v:ext="edit" aspectratio="t"/>
                  <w10:wrap type="none"/>
                  <w10:anchorlock/>
                </v:shape>
                <o:OLEObject Type="Embed" ProgID="Equation.3" ShapeID="_x0000_i1026" DrawAspect="Content" ObjectID="_1468075726" r:id="rId24">
                  <o:LockedField>false</o:LockedField>
                </o:OLEObject>
              </w:object>
            </w:r>
          </w:p>
          <w:p>
            <w:pPr>
              <w:adjustRightInd w:val="0"/>
              <w:snapToGrid w:val="0"/>
              <w:spacing w:line="360" w:lineRule="auto"/>
              <w:ind w:firstLine="480" w:firstLineChars="200"/>
              <w:rPr>
                <w:sz w:val="24"/>
                <w:highlight w:val="none"/>
                <w:lang w:bidi="ar"/>
              </w:rPr>
            </w:pPr>
            <w:r>
              <w:rPr>
                <w:sz w:val="24"/>
                <w:highlight w:val="none"/>
                <w:lang w:bidi="ar"/>
              </w:rPr>
              <w:t>式中：L</w:t>
            </w:r>
            <w:r>
              <w:rPr>
                <w:sz w:val="24"/>
                <w:highlight w:val="none"/>
                <w:vertAlign w:val="subscript"/>
                <w:lang w:bidi="ar"/>
              </w:rPr>
              <w:t>A</w:t>
            </w:r>
            <w:r>
              <w:rPr>
                <w:sz w:val="24"/>
                <w:highlight w:val="none"/>
                <w:lang w:bidi="ar"/>
              </w:rPr>
              <w:t>(r)——距声源r处的A声级，dB(A)；</w:t>
            </w:r>
          </w:p>
          <w:p>
            <w:pPr>
              <w:widowControl/>
              <w:spacing w:line="360" w:lineRule="auto"/>
              <w:ind w:firstLine="1200" w:firstLineChars="500"/>
              <w:rPr>
                <w:sz w:val="24"/>
                <w:highlight w:val="none"/>
                <w:lang w:bidi="ar"/>
              </w:rPr>
            </w:pPr>
            <w:r>
              <w:rPr>
                <w:sz w:val="24"/>
                <w:highlight w:val="none"/>
                <w:lang w:bidi="ar"/>
              </w:rPr>
              <w:t>LA(r</w:t>
            </w:r>
            <w:r>
              <w:rPr>
                <w:sz w:val="24"/>
                <w:highlight w:val="none"/>
                <w:vertAlign w:val="subscript"/>
                <w:lang w:bidi="ar"/>
              </w:rPr>
              <w:t>0</w:t>
            </w:r>
            <w:r>
              <w:rPr>
                <w:sz w:val="24"/>
                <w:highlight w:val="none"/>
                <w:lang w:bidi="ar"/>
              </w:rPr>
              <w:t>)——参考位置r</w:t>
            </w:r>
            <w:r>
              <w:rPr>
                <w:sz w:val="24"/>
                <w:highlight w:val="none"/>
                <w:vertAlign w:val="subscript"/>
                <w:lang w:bidi="ar"/>
              </w:rPr>
              <w:t>0</w:t>
            </w:r>
            <w:r>
              <w:rPr>
                <w:sz w:val="24"/>
                <w:highlight w:val="none"/>
                <w:lang w:bidi="ar"/>
              </w:rPr>
              <w:t>处的A声级，dB(A)；</w:t>
            </w:r>
          </w:p>
          <w:p>
            <w:pPr>
              <w:widowControl/>
              <w:spacing w:line="360" w:lineRule="auto"/>
              <w:ind w:firstLine="1200" w:firstLineChars="500"/>
              <w:rPr>
                <w:sz w:val="24"/>
                <w:highlight w:val="none"/>
                <w:lang w:bidi="ar"/>
              </w:rPr>
            </w:pPr>
            <w:r>
              <w:rPr>
                <w:sz w:val="24"/>
                <w:highlight w:val="none"/>
                <w:lang w:bidi="ar"/>
              </w:rPr>
              <w:t>A</w:t>
            </w:r>
            <w:r>
              <w:rPr>
                <w:sz w:val="24"/>
                <w:highlight w:val="none"/>
                <w:vertAlign w:val="subscript"/>
                <w:lang w:bidi="ar"/>
              </w:rPr>
              <w:t>div</w:t>
            </w:r>
            <w:r>
              <w:rPr>
                <w:sz w:val="24"/>
                <w:highlight w:val="none"/>
                <w:lang w:bidi="ar"/>
              </w:rPr>
              <w:t>——几何发散引起的衰减，dB。</w:t>
            </w:r>
          </w:p>
          <w:p>
            <w:pPr>
              <w:spacing w:line="360" w:lineRule="auto"/>
              <w:ind w:firstLine="720" w:firstLineChars="300"/>
              <w:rPr>
                <w:sz w:val="24"/>
                <w:highlight w:val="none"/>
              </w:rPr>
            </w:pPr>
            <w:r>
              <w:rPr>
                <w:rFonts w:hint="eastAsia"/>
                <w:sz w:val="24"/>
                <w:highlight w:val="none"/>
              </w:rPr>
              <w:t>2）</w:t>
            </w:r>
            <w:r>
              <w:rPr>
                <w:sz w:val="24"/>
                <w:highlight w:val="none"/>
              </w:rPr>
              <w:t>室内声压级计算公式：</w:t>
            </w:r>
          </w:p>
          <w:p>
            <w:pPr>
              <w:spacing w:line="360" w:lineRule="auto"/>
              <w:jc w:val="center"/>
              <w:rPr>
                <w:sz w:val="24"/>
                <w:highlight w:val="none"/>
              </w:rPr>
            </w:pPr>
            <w:r>
              <w:rPr>
                <w:position w:val="-28"/>
                <w:sz w:val="24"/>
                <w:highlight w:val="none"/>
              </w:rPr>
              <w:object>
                <v:shape id="_x0000_i1027" o:spt="75" type="#_x0000_t75" style="height:33.75pt;width:160.8pt;" o:ole="t" filled="f" o:preferrelative="t" stroked="f" coordsize="21600,21600">
                  <v:path/>
                  <v:fill on="f" focussize="0,0"/>
                  <v:stroke on="f" joinstyle="miter"/>
                  <v:imagedata r:id="rId27" o:title=""/>
                  <o:lock v:ext="edit" aspectratio="t"/>
                  <w10:wrap type="none"/>
                  <w10:anchorlock/>
                </v:shape>
                <o:OLEObject Type="Embed" ProgID="Equation.3" ShapeID="_x0000_i1027" DrawAspect="Content" ObjectID="_1468075727" r:id="rId26">
                  <o:LockedField>false</o:LockedField>
                </o:OLEObject>
              </w:object>
            </w:r>
          </w:p>
          <w:p>
            <w:pPr>
              <w:spacing w:line="360" w:lineRule="auto"/>
              <w:ind w:firstLine="480" w:firstLineChars="200"/>
              <w:rPr>
                <w:sz w:val="24"/>
                <w:highlight w:val="none"/>
              </w:rPr>
            </w:pPr>
            <w:r>
              <w:rPr>
                <w:sz w:val="24"/>
                <w:highlight w:val="none"/>
              </w:rPr>
              <w:t>式中：L</w:t>
            </w:r>
            <w:r>
              <w:rPr>
                <w:sz w:val="24"/>
                <w:highlight w:val="none"/>
                <w:vertAlign w:val="subscript"/>
              </w:rPr>
              <w:t>p1</w:t>
            </w:r>
            <w:r>
              <w:rPr>
                <w:sz w:val="24"/>
                <w:highlight w:val="none"/>
              </w:rPr>
              <w:t>—靠近开口处（或窗户）室内某倍频带的声压级或A声级，dB；</w:t>
            </w:r>
          </w:p>
          <w:p>
            <w:pPr>
              <w:widowControl/>
              <w:spacing w:line="360" w:lineRule="auto"/>
              <w:ind w:firstLine="1200" w:firstLineChars="500"/>
              <w:jc w:val="left"/>
              <w:rPr>
                <w:sz w:val="24"/>
                <w:highlight w:val="none"/>
              </w:rPr>
            </w:pPr>
            <w:r>
              <w:rPr>
                <w:sz w:val="24"/>
                <w:highlight w:val="none"/>
              </w:rPr>
              <w:t>L</w:t>
            </w:r>
            <w:r>
              <w:rPr>
                <w:sz w:val="24"/>
                <w:highlight w:val="none"/>
                <w:vertAlign w:val="subscript"/>
              </w:rPr>
              <w:t>w</w:t>
            </w:r>
            <w:r>
              <w:rPr>
                <w:sz w:val="24"/>
                <w:highlight w:val="none"/>
              </w:rPr>
              <w:t>—点声源声功率级（A计权或倍频带），dB；</w:t>
            </w:r>
          </w:p>
          <w:p>
            <w:pPr>
              <w:widowControl/>
              <w:spacing w:line="360" w:lineRule="auto"/>
              <w:ind w:firstLine="1200" w:firstLineChars="500"/>
              <w:jc w:val="left"/>
              <w:rPr>
                <w:sz w:val="24"/>
                <w:highlight w:val="none"/>
              </w:rPr>
            </w:pPr>
            <w:r>
              <w:rPr>
                <w:sz w:val="24"/>
                <w:highlight w:val="none"/>
              </w:rPr>
              <w:t>Q—指向性因数；通常对无指向性声源，当声源放在房间中心时，Q=1；当放在一面墙的中心时，Q=2；当放在两面墙夹角处时，Q=4；当放在三面墙夹角处时，Q=8；</w:t>
            </w:r>
          </w:p>
          <w:p>
            <w:pPr>
              <w:widowControl/>
              <w:spacing w:line="360" w:lineRule="auto"/>
              <w:ind w:firstLine="1200" w:firstLineChars="500"/>
              <w:jc w:val="left"/>
              <w:rPr>
                <w:sz w:val="24"/>
                <w:highlight w:val="none"/>
              </w:rPr>
            </w:pPr>
            <w:r>
              <w:rPr>
                <w:sz w:val="24"/>
                <w:highlight w:val="none"/>
              </w:rPr>
              <w:t>R—房间常数；R</w:t>
            </w:r>
            <w:r>
              <w:rPr>
                <w:rFonts w:hint="eastAsia"/>
                <w:sz w:val="24"/>
                <w:highlight w:val="none"/>
              </w:rPr>
              <w:t>=</w:t>
            </w:r>
            <w:r>
              <w:rPr>
                <w:sz w:val="24"/>
                <w:highlight w:val="none"/>
              </w:rPr>
              <w:t>Sα/</w:t>
            </w:r>
            <w:r>
              <w:rPr>
                <w:rFonts w:hint="eastAsia"/>
                <w:sz w:val="24"/>
                <w:highlight w:val="none"/>
              </w:rPr>
              <w:t>（</w:t>
            </w:r>
            <w:r>
              <w:rPr>
                <w:sz w:val="24"/>
                <w:highlight w:val="none"/>
              </w:rPr>
              <w:t>1</w:t>
            </w:r>
            <w:r>
              <w:rPr>
                <w:rFonts w:hint="eastAsia"/>
                <w:sz w:val="24"/>
                <w:highlight w:val="none"/>
              </w:rPr>
              <w:t>-</w:t>
            </w:r>
            <w:r>
              <w:rPr>
                <w:sz w:val="24"/>
                <w:highlight w:val="none"/>
              </w:rPr>
              <w:t>α</w:t>
            </w:r>
            <w:r>
              <w:rPr>
                <w:rFonts w:hint="eastAsia"/>
                <w:sz w:val="24"/>
                <w:highlight w:val="none"/>
              </w:rPr>
              <w:t>）</w:t>
            </w:r>
            <w:r>
              <w:rPr>
                <w:sz w:val="24"/>
                <w:highlight w:val="none"/>
              </w:rPr>
              <w:t>，S为房间内表面面积，m</w:t>
            </w:r>
            <w:r>
              <w:rPr>
                <w:sz w:val="24"/>
                <w:highlight w:val="none"/>
                <w:vertAlign w:val="superscript"/>
              </w:rPr>
              <w:t>2</w:t>
            </w:r>
            <w:r>
              <w:rPr>
                <w:sz w:val="24"/>
                <w:highlight w:val="none"/>
              </w:rPr>
              <w:t>；α为平均吸声系数；</w:t>
            </w:r>
          </w:p>
          <w:p>
            <w:pPr>
              <w:widowControl/>
              <w:spacing w:line="360" w:lineRule="auto"/>
              <w:ind w:firstLine="1200" w:firstLineChars="500"/>
              <w:jc w:val="left"/>
              <w:rPr>
                <w:sz w:val="24"/>
                <w:highlight w:val="none"/>
              </w:rPr>
            </w:pPr>
            <w:r>
              <w:rPr>
                <w:sz w:val="24"/>
                <w:highlight w:val="none"/>
              </w:rPr>
              <w:t>r—声源到靠近围护结构某点处的距离，m。</w:t>
            </w:r>
          </w:p>
          <w:p>
            <w:pPr>
              <w:spacing w:line="360" w:lineRule="auto"/>
              <w:ind w:firstLine="480" w:firstLineChars="200"/>
              <w:rPr>
                <w:sz w:val="24"/>
                <w:highlight w:val="none"/>
              </w:rPr>
            </w:pPr>
            <w:r>
              <w:rPr>
                <w:rFonts w:hint="eastAsia"/>
                <w:sz w:val="24"/>
                <w:highlight w:val="none"/>
              </w:rPr>
              <w:t>3）室内声源在围护结构处产生的i倍频带叠加声压级计算公式</w:t>
            </w:r>
            <w:r>
              <w:rPr>
                <w:sz w:val="24"/>
                <w:highlight w:val="none"/>
              </w:rPr>
              <w:t>：</w:t>
            </w:r>
          </w:p>
          <w:p>
            <w:pPr>
              <w:spacing w:line="360" w:lineRule="auto"/>
              <w:ind w:firstLine="199" w:firstLineChars="83"/>
              <w:jc w:val="center"/>
              <w:rPr>
                <w:sz w:val="24"/>
                <w:highlight w:val="none"/>
              </w:rPr>
            </w:pPr>
            <w:r>
              <w:rPr>
                <w:position w:val="-30"/>
                <w:sz w:val="24"/>
                <w:highlight w:val="none"/>
              </w:rPr>
              <w:object>
                <v:shape id="_x0000_i1028" o:spt="75" type="#_x0000_t75" style="height:34.5pt;width:125.65pt;" o:ole="t" filled="f" o:preferrelative="t" stroked="f" coordsize="21600,21600">
                  <v:path/>
                  <v:fill on="f" focussize="0,0"/>
                  <v:stroke on="f" joinstyle="miter"/>
                  <v:imagedata r:id="rId29" o:title=""/>
                  <o:lock v:ext="edit" aspectratio="t"/>
                  <w10:wrap type="none"/>
                  <w10:anchorlock/>
                </v:shape>
                <o:OLEObject Type="Embed" ProgID="Equation.3" ShapeID="_x0000_i1028" DrawAspect="Content" ObjectID="_1468075728" r:id="rId28">
                  <o:LockedField>false</o:LockedField>
                </o:OLEObject>
              </w:object>
            </w:r>
          </w:p>
          <w:p>
            <w:pPr>
              <w:spacing w:line="360" w:lineRule="auto"/>
              <w:ind w:firstLine="480" w:firstLineChars="200"/>
              <w:rPr>
                <w:sz w:val="24"/>
                <w:highlight w:val="none"/>
              </w:rPr>
            </w:pPr>
            <w:r>
              <w:rPr>
                <w:sz w:val="24"/>
                <w:highlight w:val="none"/>
              </w:rPr>
              <w:t>式中：L</w:t>
            </w:r>
            <w:r>
              <w:rPr>
                <w:sz w:val="24"/>
                <w:highlight w:val="none"/>
                <w:vertAlign w:val="subscript"/>
              </w:rPr>
              <w:t>p</w:t>
            </w:r>
            <w:r>
              <w:rPr>
                <w:rFonts w:hint="eastAsia"/>
                <w:sz w:val="24"/>
                <w:highlight w:val="none"/>
                <w:vertAlign w:val="subscript"/>
              </w:rPr>
              <w:t>1</w:t>
            </w:r>
            <w:r>
              <w:rPr>
                <w:sz w:val="24"/>
                <w:highlight w:val="none"/>
                <w:vertAlign w:val="subscript"/>
              </w:rPr>
              <w:t>i</w:t>
            </w:r>
            <w:r>
              <w:rPr>
                <w:rFonts w:hint="eastAsia"/>
                <w:sz w:val="24"/>
                <w:highlight w:val="none"/>
              </w:rPr>
              <w:t>（</w:t>
            </w:r>
            <w:r>
              <w:rPr>
                <w:sz w:val="24"/>
                <w:highlight w:val="none"/>
              </w:rPr>
              <w:t>T</w:t>
            </w:r>
            <w:r>
              <w:rPr>
                <w:rFonts w:hint="eastAsia"/>
                <w:sz w:val="24"/>
                <w:highlight w:val="none"/>
              </w:rPr>
              <w:t>）</w:t>
            </w:r>
            <w:r>
              <w:rPr>
                <w:sz w:val="24"/>
                <w:highlight w:val="none"/>
              </w:rPr>
              <w:t>—靠近围护结构处室内N个声源i倍频带的叠加声压级，dB；</w:t>
            </w:r>
          </w:p>
          <w:p>
            <w:pPr>
              <w:widowControl/>
              <w:spacing w:line="360" w:lineRule="auto"/>
              <w:ind w:firstLine="1200" w:firstLineChars="500"/>
              <w:jc w:val="left"/>
              <w:rPr>
                <w:sz w:val="24"/>
                <w:highlight w:val="none"/>
              </w:rPr>
            </w:pPr>
            <w:r>
              <w:rPr>
                <w:sz w:val="24"/>
                <w:highlight w:val="none"/>
              </w:rPr>
              <w:t>L</w:t>
            </w:r>
            <w:r>
              <w:rPr>
                <w:sz w:val="24"/>
                <w:highlight w:val="none"/>
                <w:vertAlign w:val="subscript"/>
              </w:rPr>
              <w:t>p</w:t>
            </w:r>
            <w:r>
              <w:rPr>
                <w:rFonts w:hint="eastAsia"/>
                <w:sz w:val="24"/>
                <w:highlight w:val="none"/>
                <w:vertAlign w:val="subscript"/>
              </w:rPr>
              <w:t>1</w:t>
            </w:r>
            <w:r>
              <w:rPr>
                <w:sz w:val="24"/>
                <w:highlight w:val="none"/>
                <w:vertAlign w:val="subscript"/>
              </w:rPr>
              <w:t>ij</w:t>
            </w:r>
            <w:r>
              <w:rPr>
                <w:sz w:val="24"/>
                <w:highlight w:val="none"/>
              </w:rPr>
              <w:t>——室内j声源i倍频带的声压级，dB；</w:t>
            </w:r>
          </w:p>
          <w:p>
            <w:pPr>
              <w:widowControl/>
              <w:spacing w:line="360" w:lineRule="auto"/>
              <w:ind w:firstLine="1200" w:firstLineChars="500"/>
              <w:jc w:val="left"/>
              <w:rPr>
                <w:sz w:val="24"/>
                <w:highlight w:val="none"/>
              </w:rPr>
            </w:pPr>
            <w:r>
              <w:rPr>
                <w:rFonts w:hint="eastAsia"/>
                <w:sz w:val="24"/>
                <w:highlight w:val="none"/>
              </w:rPr>
              <w:t>N</w:t>
            </w:r>
            <w:r>
              <w:rPr>
                <w:sz w:val="24"/>
                <w:highlight w:val="none"/>
              </w:rPr>
              <w:t>——室内声源总数。</w:t>
            </w:r>
          </w:p>
          <w:p>
            <w:pPr>
              <w:spacing w:line="360" w:lineRule="auto"/>
              <w:ind w:firstLine="480" w:firstLineChars="200"/>
              <w:rPr>
                <w:sz w:val="24"/>
                <w:highlight w:val="none"/>
              </w:rPr>
            </w:pPr>
            <w:r>
              <w:rPr>
                <w:rFonts w:hint="eastAsia"/>
                <w:sz w:val="24"/>
                <w:highlight w:val="none"/>
              </w:rPr>
              <w:t>4）靠近室外围护结构处的声压级计算公式</w:t>
            </w:r>
            <w:r>
              <w:rPr>
                <w:sz w:val="24"/>
                <w:highlight w:val="none"/>
              </w:rPr>
              <w:t>：</w:t>
            </w:r>
          </w:p>
          <w:p>
            <w:pPr>
              <w:spacing w:line="360" w:lineRule="auto"/>
              <w:jc w:val="center"/>
              <w:rPr>
                <w:position w:val="-24"/>
                <w:sz w:val="24"/>
                <w:highlight w:val="none"/>
              </w:rPr>
            </w:pPr>
            <w:r>
              <w:rPr>
                <w:position w:val="-14"/>
                <w:sz w:val="24"/>
                <w:highlight w:val="none"/>
              </w:rPr>
              <w:object>
                <v:shape id="_x0000_i1029" o:spt="75" type="#_x0000_t75" style="height:18.85pt;width:132.25pt;" o:ole="t" filled="f" o:preferrelative="t" stroked="f" coordsize="21600,21600">
                  <v:path/>
                  <v:fill on="f" focussize="0,0"/>
                  <v:stroke on="f" joinstyle="miter"/>
                  <v:imagedata r:id="rId31" o:title=""/>
                  <o:lock v:ext="edit" aspectratio="t"/>
                  <w10:wrap type="none"/>
                  <w10:anchorlock/>
                </v:shape>
                <o:OLEObject Type="Embed" ProgID="Equation.3" ShapeID="_x0000_i1029" DrawAspect="Content" ObjectID="_1468075729" r:id="rId30">
                  <o:LockedField>false</o:LockedField>
                </o:OLEObject>
              </w:object>
            </w:r>
          </w:p>
          <w:p>
            <w:pPr>
              <w:spacing w:line="360" w:lineRule="auto"/>
              <w:ind w:firstLine="480" w:firstLineChars="200"/>
              <w:rPr>
                <w:sz w:val="24"/>
                <w:highlight w:val="none"/>
              </w:rPr>
            </w:pPr>
            <w:r>
              <w:rPr>
                <w:sz w:val="24"/>
                <w:highlight w:val="none"/>
              </w:rPr>
              <w:t>式中：L</w:t>
            </w:r>
            <w:r>
              <w:rPr>
                <w:sz w:val="24"/>
                <w:highlight w:val="none"/>
                <w:vertAlign w:val="subscript"/>
              </w:rPr>
              <w:t>p</w:t>
            </w:r>
            <w:r>
              <w:rPr>
                <w:rFonts w:hint="eastAsia"/>
                <w:sz w:val="24"/>
                <w:highlight w:val="none"/>
                <w:vertAlign w:val="subscript"/>
              </w:rPr>
              <w:t>2</w:t>
            </w:r>
            <w:r>
              <w:rPr>
                <w:sz w:val="24"/>
                <w:highlight w:val="none"/>
                <w:vertAlign w:val="subscript"/>
              </w:rPr>
              <w:t>i</w:t>
            </w:r>
            <w:r>
              <w:rPr>
                <w:rFonts w:hint="eastAsia"/>
                <w:sz w:val="24"/>
                <w:highlight w:val="none"/>
              </w:rPr>
              <w:t>（T）</w:t>
            </w:r>
            <w:r>
              <w:rPr>
                <w:sz w:val="24"/>
                <w:highlight w:val="none"/>
              </w:rPr>
              <w:t>—靠近围护结构处室外N个声源i倍频带的叠加声压级，dB；</w:t>
            </w:r>
          </w:p>
          <w:p>
            <w:pPr>
              <w:widowControl/>
              <w:spacing w:line="360" w:lineRule="auto"/>
              <w:ind w:firstLine="1200" w:firstLineChars="500"/>
              <w:jc w:val="left"/>
              <w:rPr>
                <w:sz w:val="24"/>
                <w:highlight w:val="none"/>
              </w:rPr>
            </w:pPr>
            <w:r>
              <w:rPr>
                <w:sz w:val="24"/>
                <w:highlight w:val="none"/>
              </w:rPr>
              <w:t>L</w:t>
            </w:r>
            <w:r>
              <w:rPr>
                <w:sz w:val="24"/>
                <w:highlight w:val="none"/>
                <w:vertAlign w:val="subscript"/>
              </w:rPr>
              <w:t>p</w:t>
            </w:r>
            <w:r>
              <w:rPr>
                <w:rFonts w:hint="eastAsia"/>
                <w:sz w:val="24"/>
                <w:highlight w:val="none"/>
                <w:vertAlign w:val="subscript"/>
              </w:rPr>
              <w:t>1</w:t>
            </w:r>
            <w:r>
              <w:rPr>
                <w:sz w:val="24"/>
                <w:highlight w:val="none"/>
                <w:vertAlign w:val="subscript"/>
              </w:rPr>
              <w:t>i</w:t>
            </w:r>
            <w:r>
              <w:rPr>
                <w:rFonts w:hint="eastAsia"/>
                <w:sz w:val="24"/>
                <w:highlight w:val="none"/>
              </w:rPr>
              <w:t>（T）</w:t>
            </w:r>
            <w:r>
              <w:rPr>
                <w:sz w:val="24"/>
                <w:highlight w:val="none"/>
              </w:rPr>
              <w:t>—靠近围护结构处室内N个声源i倍频带的叠加声压级，dB；</w:t>
            </w:r>
          </w:p>
          <w:p>
            <w:pPr>
              <w:widowControl/>
              <w:spacing w:line="360" w:lineRule="auto"/>
              <w:ind w:firstLine="1200" w:firstLineChars="500"/>
              <w:jc w:val="left"/>
              <w:rPr>
                <w:sz w:val="24"/>
                <w:highlight w:val="none"/>
              </w:rPr>
            </w:pPr>
            <w:r>
              <w:rPr>
                <w:sz w:val="24"/>
                <w:highlight w:val="none"/>
              </w:rPr>
              <w:t>TL</w:t>
            </w:r>
            <w:r>
              <w:rPr>
                <w:sz w:val="24"/>
                <w:highlight w:val="none"/>
                <w:vertAlign w:val="subscript"/>
              </w:rPr>
              <w:t>i</w:t>
            </w:r>
            <w:r>
              <w:rPr>
                <w:sz w:val="24"/>
                <w:highlight w:val="none"/>
              </w:rPr>
              <w:t>—围护结构i倍频带的隔声量，dB。</w:t>
            </w:r>
          </w:p>
          <w:p>
            <w:pPr>
              <w:spacing w:line="360" w:lineRule="auto"/>
              <w:jc w:val="center"/>
              <w:rPr>
                <w:sz w:val="24"/>
                <w:highlight w:val="none"/>
              </w:rPr>
            </w:pPr>
            <w:r>
              <w:rPr>
                <w:position w:val="-14"/>
                <w:sz w:val="24"/>
                <w:highlight w:val="none"/>
              </w:rPr>
              <w:object>
                <v:shape id="_x0000_i1030" o:spt="75" type="#_x0000_t75" style="height:18.85pt;width:101.2pt;" o:ole="t" filled="f" o:preferrelative="t" stroked="f" coordsize="21600,21600">
                  <v:path/>
                  <v:fill on="f" focussize="0,0"/>
                  <v:stroke on="f" joinstyle="miter"/>
                  <v:imagedata r:id="rId33" o:title=""/>
                  <o:lock v:ext="edit" aspectratio="t"/>
                  <w10:wrap type="none"/>
                  <w10:anchorlock/>
                </v:shape>
                <o:OLEObject Type="Embed" ProgID="Equation.3" ShapeID="_x0000_i1030" DrawAspect="Content" ObjectID="_1468075730" r:id="rId32">
                  <o:LockedField>false</o:LockedField>
                </o:OLEObject>
              </w:object>
            </w:r>
          </w:p>
          <w:p>
            <w:pPr>
              <w:spacing w:line="360" w:lineRule="auto"/>
              <w:ind w:firstLine="480" w:firstLineChars="200"/>
              <w:rPr>
                <w:sz w:val="24"/>
                <w:highlight w:val="none"/>
              </w:rPr>
            </w:pPr>
            <w:r>
              <w:rPr>
                <w:sz w:val="24"/>
                <w:highlight w:val="none"/>
              </w:rPr>
              <w:t>式中：L</w:t>
            </w:r>
            <w:r>
              <w:rPr>
                <w:sz w:val="24"/>
                <w:highlight w:val="none"/>
                <w:vertAlign w:val="subscript"/>
              </w:rPr>
              <w:t>w</w:t>
            </w:r>
            <w:r>
              <w:rPr>
                <w:sz w:val="24"/>
                <w:highlight w:val="none"/>
              </w:rPr>
              <w:t>—中心位置位于透声面积（S）处的等效声源的倍频带声功率级，dB；</w:t>
            </w:r>
          </w:p>
          <w:p>
            <w:pPr>
              <w:widowControl/>
              <w:spacing w:line="360" w:lineRule="auto"/>
              <w:ind w:firstLine="1200" w:firstLineChars="500"/>
              <w:jc w:val="left"/>
              <w:rPr>
                <w:sz w:val="24"/>
                <w:highlight w:val="none"/>
              </w:rPr>
            </w:pPr>
            <w:r>
              <w:rPr>
                <w:sz w:val="24"/>
                <w:highlight w:val="none"/>
              </w:rPr>
              <w:t>L</w:t>
            </w:r>
            <w:r>
              <w:rPr>
                <w:sz w:val="24"/>
                <w:highlight w:val="none"/>
                <w:vertAlign w:val="subscript"/>
              </w:rPr>
              <w:t>p2</w:t>
            </w:r>
            <w:r>
              <w:rPr>
                <w:rFonts w:hint="eastAsia"/>
                <w:sz w:val="24"/>
                <w:highlight w:val="none"/>
              </w:rPr>
              <w:t>（T）</w:t>
            </w:r>
            <w:r>
              <w:rPr>
                <w:sz w:val="24"/>
                <w:highlight w:val="none"/>
              </w:rPr>
              <w:t>—靠近围护结构处室外声源的声压级，dB；</w:t>
            </w:r>
          </w:p>
          <w:p>
            <w:pPr>
              <w:widowControl/>
              <w:spacing w:line="360" w:lineRule="auto"/>
              <w:ind w:firstLine="1200" w:firstLineChars="500"/>
              <w:jc w:val="left"/>
              <w:rPr>
                <w:sz w:val="24"/>
                <w:highlight w:val="none"/>
              </w:rPr>
            </w:pPr>
            <w:r>
              <w:rPr>
                <w:sz w:val="24"/>
                <w:highlight w:val="none"/>
              </w:rPr>
              <w:t>S——透声面积，m</w:t>
            </w:r>
            <w:r>
              <w:rPr>
                <w:sz w:val="24"/>
                <w:highlight w:val="none"/>
                <w:vertAlign w:val="superscript"/>
              </w:rPr>
              <w:t>2</w:t>
            </w:r>
            <w:r>
              <w:rPr>
                <w:sz w:val="24"/>
                <w:highlight w:val="none"/>
              </w:rPr>
              <w:t>。</w:t>
            </w:r>
          </w:p>
          <w:p>
            <w:pPr>
              <w:spacing w:line="360" w:lineRule="auto"/>
              <w:ind w:firstLine="480" w:firstLineChars="200"/>
              <w:rPr>
                <w:sz w:val="24"/>
                <w:highlight w:val="none"/>
              </w:rPr>
            </w:pPr>
            <w:r>
              <w:rPr>
                <w:rFonts w:hint="eastAsia"/>
                <w:sz w:val="24"/>
                <w:highlight w:val="none"/>
              </w:rPr>
              <w:t>5）工业企业多点声源</w:t>
            </w:r>
            <w:r>
              <w:rPr>
                <w:sz w:val="24"/>
                <w:highlight w:val="none"/>
              </w:rPr>
              <w:t>叠加模式</w:t>
            </w:r>
          </w:p>
          <w:p>
            <w:pPr>
              <w:autoSpaceDE w:val="0"/>
              <w:autoSpaceDN w:val="0"/>
              <w:adjustRightInd w:val="0"/>
              <w:spacing w:line="360" w:lineRule="auto"/>
              <w:ind w:firstLine="480" w:firstLineChars="200"/>
              <w:jc w:val="left"/>
              <w:rPr>
                <w:rFonts w:cs="宋体"/>
                <w:bCs/>
                <w:sz w:val="24"/>
                <w:szCs w:val="21"/>
                <w:highlight w:val="none"/>
              </w:rPr>
            </w:pPr>
            <w:r>
              <w:rPr>
                <w:rFonts w:cs="宋体"/>
                <w:bCs/>
                <w:sz w:val="24"/>
                <w:szCs w:val="21"/>
                <w:highlight w:val="none"/>
              </w:rPr>
              <w:t>设第i个室外声源在预测点产生的A声级为L</w:t>
            </w:r>
            <w:r>
              <w:rPr>
                <w:rFonts w:cs="宋体"/>
                <w:bCs/>
                <w:sz w:val="24"/>
                <w:szCs w:val="21"/>
                <w:highlight w:val="none"/>
                <w:vertAlign w:val="subscript"/>
              </w:rPr>
              <w:t>Ai</w:t>
            </w:r>
            <w:r>
              <w:rPr>
                <w:rFonts w:cs="宋体"/>
                <w:bCs/>
                <w:sz w:val="24"/>
                <w:szCs w:val="21"/>
                <w:highlight w:val="none"/>
              </w:rPr>
              <w:t>，在T时间内该声源工作时间为t</w:t>
            </w:r>
            <w:r>
              <w:rPr>
                <w:rFonts w:cs="宋体"/>
                <w:bCs/>
                <w:sz w:val="24"/>
                <w:szCs w:val="21"/>
                <w:highlight w:val="none"/>
                <w:vertAlign w:val="subscript"/>
              </w:rPr>
              <w:t>i</w:t>
            </w:r>
            <w:r>
              <w:rPr>
                <w:rFonts w:cs="宋体"/>
                <w:bCs/>
                <w:sz w:val="24"/>
                <w:szCs w:val="21"/>
                <w:highlight w:val="none"/>
              </w:rPr>
              <w:t>；第j个等效室外声源在预测点产生的A声级为L</w:t>
            </w:r>
            <w:r>
              <w:rPr>
                <w:rFonts w:cs="宋体"/>
                <w:bCs/>
                <w:sz w:val="24"/>
                <w:szCs w:val="21"/>
                <w:highlight w:val="none"/>
                <w:vertAlign w:val="subscript"/>
              </w:rPr>
              <w:t>Aj</w:t>
            </w:r>
            <w:r>
              <w:rPr>
                <w:rFonts w:cs="宋体"/>
                <w:bCs/>
                <w:sz w:val="24"/>
                <w:szCs w:val="21"/>
                <w:highlight w:val="none"/>
              </w:rPr>
              <w:t>，在T时间内该声源工作时间为t</w:t>
            </w:r>
            <w:r>
              <w:rPr>
                <w:rFonts w:cs="宋体"/>
                <w:bCs/>
                <w:sz w:val="24"/>
                <w:szCs w:val="21"/>
                <w:highlight w:val="none"/>
                <w:vertAlign w:val="subscript"/>
              </w:rPr>
              <w:t>j</w:t>
            </w:r>
            <w:r>
              <w:rPr>
                <w:rFonts w:cs="宋体"/>
                <w:bCs/>
                <w:sz w:val="24"/>
                <w:szCs w:val="21"/>
                <w:highlight w:val="none"/>
              </w:rPr>
              <w:t>，则拟建工程声源对预测点产生的贡献值（L</w:t>
            </w:r>
            <w:r>
              <w:rPr>
                <w:rFonts w:cs="宋体"/>
                <w:bCs/>
                <w:sz w:val="24"/>
                <w:szCs w:val="21"/>
                <w:highlight w:val="none"/>
                <w:vertAlign w:val="subscript"/>
              </w:rPr>
              <w:t>eqg</w:t>
            </w:r>
            <w:r>
              <w:rPr>
                <w:rFonts w:cs="宋体"/>
                <w:bCs/>
                <w:sz w:val="24"/>
                <w:szCs w:val="21"/>
                <w:highlight w:val="none"/>
              </w:rPr>
              <w:t>）为：</w:t>
            </w:r>
          </w:p>
          <w:p>
            <w:pPr>
              <w:adjustRightInd w:val="0"/>
              <w:snapToGrid w:val="0"/>
              <w:spacing w:line="360" w:lineRule="auto"/>
              <w:jc w:val="center"/>
              <w:rPr>
                <w:sz w:val="24"/>
                <w:highlight w:val="none"/>
              </w:rPr>
            </w:pPr>
            <w:r>
              <w:rPr>
                <w:position w:val="-34"/>
                <w:sz w:val="24"/>
                <w:highlight w:val="none"/>
              </w:rPr>
              <w:object>
                <v:shape id="_x0000_i1031" o:spt="75" type="#_x0000_t75" style="height:39pt;width:242.5pt;" o:ole="t" filled="f" o:preferrelative="t" stroked="f" coordsize="21600,21600">
                  <v:path/>
                  <v:fill on="f" focussize="0,0"/>
                  <v:stroke on="f" joinstyle="miter"/>
                  <v:imagedata r:id="rId35" o:title=""/>
                  <o:lock v:ext="edit" aspectratio="t"/>
                  <w10:wrap type="none"/>
                  <w10:anchorlock/>
                </v:shape>
                <o:OLEObject Type="Embed" ProgID="Equation.3" ShapeID="_x0000_i1031" DrawAspect="Content" ObjectID="_1468075731" r:id="rId34">
                  <o:LockedField>false</o:LockedField>
                </o:OLEObject>
              </w:object>
            </w:r>
          </w:p>
          <w:p>
            <w:pPr>
              <w:spacing w:line="360" w:lineRule="auto"/>
              <w:ind w:firstLine="480" w:firstLineChars="200"/>
              <w:rPr>
                <w:sz w:val="24"/>
                <w:highlight w:val="none"/>
              </w:rPr>
            </w:pPr>
            <w:r>
              <w:rPr>
                <w:sz w:val="24"/>
                <w:highlight w:val="none"/>
              </w:rPr>
              <w:t>式中：L</w:t>
            </w:r>
            <w:r>
              <w:rPr>
                <w:sz w:val="24"/>
                <w:highlight w:val="none"/>
                <w:vertAlign w:val="subscript"/>
              </w:rPr>
              <w:t>eqg</w:t>
            </w:r>
            <w:r>
              <w:rPr>
                <w:sz w:val="24"/>
                <w:highlight w:val="none"/>
              </w:rPr>
              <w:t>—建设项目声源在预测点产生的噪声贡献值，dB；</w:t>
            </w:r>
          </w:p>
          <w:p>
            <w:pPr>
              <w:spacing w:line="360" w:lineRule="auto"/>
              <w:ind w:firstLine="1200" w:firstLineChars="500"/>
              <w:rPr>
                <w:sz w:val="24"/>
                <w:highlight w:val="none"/>
              </w:rPr>
            </w:pPr>
            <w:r>
              <w:rPr>
                <w:sz w:val="24"/>
                <w:highlight w:val="none"/>
              </w:rPr>
              <w:t>T—用于计算等效声级的时间，s；</w:t>
            </w:r>
          </w:p>
          <w:p>
            <w:pPr>
              <w:spacing w:line="360" w:lineRule="auto"/>
              <w:ind w:firstLine="1200" w:firstLineChars="500"/>
              <w:rPr>
                <w:sz w:val="24"/>
                <w:highlight w:val="none"/>
              </w:rPr>
            </w:pPr>
            <w:r>
              <w:rPr>
                <w:sz w:val="24"/>
                <w:highlight w:val="none"/>
              </w:rPr>
              <w:t>N—室外声源个数；</w:t>
            </w:r>
          </w:p>
          <w:p>
            <w:pPr>
              <w:spacing w:line="360" w:lineRule="auto"/>
              <w:ind w:firstLine="1200" w:firstLineChars="500"/>
              <w:rPr>
                <w:sz w:val="24"/>
                <w:highlight w:val="none"/>
              </w:rPr>
            </w:pPr>
            <w:r>
              <w:rPr>
                <w:sz w:val="24"/>
                <w:highlight w:val="none"/>
              </w:rPr>
              <w:t>t</w:t>
            </w:r>
            <w:r>
              <w:rPr>
                <w:sz w:val="24"/>
                <w:highlight w:val="none"/>
                <w:vertAlign w:val="subscript"/>
              </w:rPr>
              <w:t>i</w:t>
            </w:r>
            <w:r>
              <w:rPr>
                <w:sz w:val="24"/>
                <w:highlight w:val="none"/>
              </w:rPr>
              <w:t>—在T时间内i声源工作时间，s；</w:t>
            </w:r>
          </w:p>
          <w:p>
            <w:pPr>
              <w:spacing w:line="360" w:lineRule="auto"/>
              <w:ind w:firstLine="1200" w:firstLineChars="500"/>
              <w:rPr>
                <w:sz w:val="24"/>
                <w:highlight w:val="none"/>
              </w:rPr>
            </w:pPr>
            <w:r>
              <w:rPr>
                <w:sz w:val="24"/>
                <w:highlight w:val="none"/>
              </w:rPr>
              <w:t>M—等效室外声源个数；</w:t>
            </w:r>
          </w:p>
          <w:p>
            <w:pPr>
              <w:spacing w:line="360" w:lineRule="auto"/>
              <w:ind w:firstLine="1200" w:firstLineChars="500"/>
              <w:rPr>
                <w:sz w:val="24"/>
                <w:highlight w:val="none"/>
              </w:rPr>
            </w:pPr>
            <w:r>
              <w:rPr>
                <w:sz w:val="24"/>
                <w:highlight w:val="none"/>
              </w:rPr>
              <w:t>t</w:t>
            </w:r>
            <w:r>
              <w:rPr>
                <w:sz w:val="24"/>
                <w:highlight w:val="none"/>
                <w:vertAlign w:val="subscript"/>
              </w:rPr>
              <w:t>j</w:t>
            </w:r>
            <w:r>
              <w:rPr>
                <w:sz w:val="24"/>
                <w:highlight w:val="none"/>
              </w:rPr>
              <w:t>—在T时间内j声源工作时间，s。</w:t>
            </w:r>
          </w:p>
          <w:p>
            <w:pPr>
              <w:spacing w:line="360" w:lineRule="auto"/>
              <w:ind w:firstLine="480" w:firstLineChars="200"/>
              <w:rPr>
                <w:sz w:val="24"/>
                <w:highlight w:val="none"/>
              </w:rPr>
            </w:pPr>
            <w:r>
              <w:rPr>
                <w:sz w:val="24"/>
                <w:highlight w:val="none"/>
              </w:rPr>
              <w:t>经过计算，本项目生产噪声对厂界的影响预测结果见表4-</w:t>
            </w:r>
            <w:r>
              <w:rPr>
                <w:rFonts w:hint="eastAsia"/>
                <w:sz w:val="24"/>
                <w:highlight w:val="none"/>
              </w:rPr>
              <w:t>14</w:t>
            </w:r>
            <w:r>
              <w:rPr>
                <w:sz w:val="24"/>
                <w:highlight w:val="none"/>
              </w:rPr>
              <w:t>。</w:t>
            </w:r>
          </w:p>
          <w:p>
            <w:pPr>
              <w:adjustRightInd w:val="0"/>
              <w:jc w:val="center"/>
              <w:textAlignment w:val="baseline"/>
              <w:rPr>
                <w:b/>
                <w:bCs/>
                <w:szCs w:val="21"/>
                <w:highlight w:val="none"/>
              </w:rPr>
            </w:pPr>
            <w:r>
              <w:rPr>
                <w:b/>
                <w:bCs/>
                <w:szCs w:val="21"/>
                <w:highlight w:val="none"/>
                <w:lang w:val="en-GB"/>
              </w:rPr>
              <w:t>表</w:t>
            </w:r>
            <w:r>
              <w:rPr>
                <w:rFonts w:hint="eastAsia"/>
                <w:b/>
                <w:bCs/>
                <w:szCs w:val="21"/>
                <w:highlight w:val="none"/>
                <w:lang w:val="en-GB"/>
              </w:rPr>
              <w:t>4-</w:t>
            </w:r>
            <w:r>
              <w:rPr>
                <w:rFonts w:hint="eastAsia"/>
                <w:b/>
                <w:bCs/>
                <w:szCs w:val="21"/>
                <w:highlight w:val="none"/>
              </w:rPr>
              <w:t xml:space="preserve">14  </w:t>
            </w:r>
            <w:r>
              <w:rPr>
                <w:b/>
                <w:bCs/>
                <w:szCs w:val="21"/>
                <w:highlight w:val="none"/>
                <w:lang w:val="en-GB"/>
              </w:rPr>
              <w:t xml:space="preserve"> 项目厂界噪声预测结果一览表</w:t>
            </w:r>
            <w:r>
              <w:rPr>
                <w:rFonts w:hint="eastAsia"/>
                <w:b/>
                <w:bCs/>
                <w:szCs w:val="21"/>
                <w:highlight w:val="none"/>
              </w:rPr>
              <w:t xml:space="preserve">  </w:t>
            </w:r>
            <w:r>
              <w:rPr>
                <w:rFonts w:hint="eastAsia"/>
                <w:b/>
                <w:szCs w:val="21"/>
                <w:highlight w:val="none"/>
              </w:rPr>
              <w:t>单位</w:t>
            </w:r>
            <w:r>
              <w:rPr>
                <w:b/>
                <w:szCs w:val="21"/>
                <w:highlight w:val="none"/>
              </w:rPr>
              <w:t>：dB(A)</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40"/>
              <w:gridCol w:w="835"/>
              <w:gridCol w:w="931"/>
              <w:gridCol w:w="1134"/>
              <w:gridCol w:w="1228"/>
              <w:gridCol w:w="106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restart"/>
                  <w:tcBorders>
                    <w:left w:val="nil"/>
                  </w:tcBorders>
                  <w:vAlign w:val="center"/>
                </w:tcPr>
                <w:p>
                  <w:pPr>
                    <w:widowControl/>
                    <w:snapToGrid w:val="0"/>
                    <w:jc w:val="center"/>
                    <w:rPr>
                      <w:color w:val="0000FF"/>
                      <w:kern w:val="0"/>
                      <w:szCs w:val="21"/>
                      <w:highlight w:val="none"/>
                    </w:rPr>
                  </w:pPr>
                  <w:r>
                    <w:rPr>
                      <w:b/>
                      <w:bCs/>
                      <w:color w:val="0000FF"/>
                      <w:kern w:val="0"/>
                      <w:szCs w:val="21"/>
                      <w:highlight w:val="none"/>
                    </w:rPr>
                    <w:t>序号</w:t>
                  </w:r>
                </w:p>
              </w:tc>
              <w:tc>
                <w:tcPr>
                  <w:tcW w:w="890" w:type="dxa"/>
                  <w:vMerge w:val="restart"/>
                  <w:vAlign w:val="center"/>
                </w:tcPr>
                <w:p>
                  <w:pPr>
                    <w:widowControl/>
                    <w:snapToGrid w:val="0"/>
                    <w:jc w:val="center"/>
                    <w:rPr>
                      <w:rFonts w:hint="default" w:eastAsia="宋体"/>
                      <w:color w:val="0000FF"/>
                      <w:kern w:val="0"/>
                      <w:szCs w:val="21"/>
                      <w:highlight w:val="none"/>
                      <w:lang w:val="en-US" w:eastAsia="zh-CN"/>
                    </w:rPr>
                  </w:pPr>
                  <w:r>
                    <w:rPr>
                      <w:rFonts w:hint="eastAsia"/>
                      <w:b/>
                      <w:bCs/>
                      <w:color w:val="0000FF"/>
                      <w:kern w:val="0"/>
                      <w:szCs w:val="21"/>
                      <w:highlight w:val="none"/>
                      <w:lang w:val="en-US" w:eastAsia="zh-CN"/>
                    </w:rPr>
                    <w:t>预测方位</w:t>
                  </w:r>
                </w:p>
              </w:tc>
              <w:tc>
                <w:tcPr>
                  <w:tcW w:w="958" w:type="dxa"/>
                  <w:gridSpan w:val="2"/>
                  <w:vAlign w:val="center"/>
                </w:tcPr>
                <w:p>
                  <w:pPr>
                    <w:widowControl/>
                    <w:snapToGrid w:val="0"/>
                    <w:jc w:val="center"/>
                    <w:rPr>
                      <w:b/>
                      <w:bCs/>
                      <w:color w:val="0000FF"/>
                      <w:kern w:val="0"/>
                      <w:szCs w:val="21"/>
                      <w:highlight w:val="none"/>
                    </w:rPr>
                  </w:pPr>
                  <w:r>
                    <w:rPr>
                      <w:b/>
                      <w:bCs/>
                      <w:color w:val="0000FF"/>
                      <w:kern w:val="0"/>
                      <w:szCs w:val="21"/>
                      <w:highlight w:val="none"/>
                    </w:rPr>
                    <w:t>噪声标准</w:t>
                  </w:r>
                </w:p>
              </w:tc>
              <w:tc>
                <w:tcPr>
                  <w:tcW w:w="1281" w:type="dxa"/>
                  <w:gridSpan w:val="2"/>
                  <w:vAlign w:val="center"/>
                </w:tcPr>
                <w:p>
                  <w:pPr>
                    <w:widowControl/>
                    <w:snapToGrid w:val="0"/>
                    <w:jc w:val="center"/>
                    <w:rPr>
                      <w:b/>
                      <w:bCs/>
                      <w:color w:val="0000FF"/>
                      <w:kern w:val="0"/>
                      <w:szCs w:val="21"/>
                      <w:highlight w:val="none"/>
                    </w:rPr>
                  </w:pPr>
                  <w:r>
                    <w:rPr>
                      <w:b/>
                      <w:bCs/>
                      <w:color w:val="0000FF"/>
                      <w:kern w:val="0"/>
                      <w:szCs w:val="21"/>
                      <w:highlight w:val="none"/>
                    </w:rPr>
                    <w:t>噪声贡献值</w:t>
                  </w:r>
                </w:p>
              </w:tc>
              <w:tc>
                <w:tcPr>
                  <w:tcW w:w="1105" w:type="dxa"/>
                  <w:gridSpan w:val="2"/>
                  <w:tcBorders>
                    <w:right w:val="nil"/>
                  </w:tcBorders>
                  <w:vAlign w:val="center"/>
                </w:tcPr>
                <w:p>
                  <w:pPr>
                    <w:widowControl/>
                    <w:snapToGrid w:val="0"/>
                    <w:jc w:val="center"/>
                    <w:rPr>
                      <w:b/>
                      <w:bCs/>
                      <w:color w:val="0000FF"/>
                      <w:kern w:val="0"/>
                      <w:szCs w:val="21"/>
                      <w:highlight w:val="none"/>
                    </w:rPr>
                  </w:pPr>
                  <w:r>
                    <w:rPr>
                      <w:b/>
                      <w:bCs/>
                      <w:color w:val="0000FF"/>
                      <w:kern w:val="0"/>
                      <w:szCs w:val="21"/>
                      <w:highlight w:val="none"/>
                    </w:rPr>
                    <w:t>达标和超标情况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vMerge w:val="continue"/>
                  <w:tcBorders>
                    <w:left w:val="nil"/>
                  </w:tcBorders>
                  <w:vAlign w:val="center"/>
                </w:tcPr>
                <w:p>
                  <w:pPr>
                    <w:widowControl/>
                    <w:snapToGrid w:val="0"/>
                    <w:jc w:val="center"/>
                    <w:rPr>
                      <w:color w:val="0000FF"/>
                      <w:kern w:val="0"/>
                      <w:szCs w:val="21"/>
                      <w:highlight w:val="none"/>
                    </w:rPr>
                  </w:pPr>
                </w:p>
              </w:tc>
              <w:tc>
                <w:tcPr>
                  <w:tcW w:w="890" w:type="dxa"/>
                  <w:vMerge w:val="continue"/>
                  <w:vAlign w:val="center"/>
                </w:tcPr>
                <w:p>
                  <w:pPr>
                    <w:widowControl/>
                    <w:snapToGrid w:val="0"/>
                    <w:jc w:val="center"/>
                    <w:rPr>
                      <w:color w:val="0000FF"/>
                      <w:kern w:val="0"/>
                      <w:szCs w:val="21"/>
                      <w:highlight w:val="none"/>
                    </w:rPr>
                  </w:pPr>
                </w:p>
              </w:tc>
              <w:tc>
                <w:tcPr>
                  <w:tcW w:w="453" w:type="dxa"/>
                  <w:vAlign w:val="center"/>
                </w:tcPr>
                <w:p>
                  <w:pPr>
                    <w:widowControl/>
                    <w:snapToGrid w:val="0"/>
                    <w:jc w:val="center"/>
                    <w:rPr>
                      <w:color w:val="0000FF"/>
                      <w:kern w:val="0"/>
                      <w:szCs w:val="21"/>
                      <w:highlight w:val="none"/>
                    </w:rPr>
                  </w:pPr>
                  <w:r>
                    <w:rPr>
                      <w:b/>
                      <w:bCs/>
                      <w:color w:val="0000FF"/>
                      <w:kern w:val="0"/>
                      <w:szCs w:val="21"/>
                      <w:highlight w:val="none"/>
                    </w:rPr>
                    <w:t>昼间</w:t>
                  </w:r>
                </w:p>
              </w:tc>
              <w:tc>
                <w:tcPr>
                  <w:tcW w:w="505" w:type="dxa"/>
                  <w:vAlign w:val="center"/>
                </w:tcPr>
                <w:p>
                  <w:pPr>
                    <w:widowControl/>
                    <w:snapToGrid w:val="0"/>
                    <w:jc w:val="center"/>
                    <w:rPr>
                      <w:color w:val="0000FF"/>
                      <w:kern w:val="0"/>
                      <w:szCs w:val="21"/>
                      <w:highlight w:val="none"/>
                    </w:rPr>
                  </w:pPr>
                  <w:r>
                    <w:rPr>
                      <w:b/>
                      <w:bCs/>
                      <w:color w:val="0000FF"/>
                      <w:kern w:val="0"/>
                      <w:szCs w:val="21"/>
                      <w:highlight w:val="none"/>
                    </w:rPr>
                    <w:t>夜间</w:t>
                  </w:r>
                </w:p>
              </w:tc>
              <w:tc>
                <w:tcPr>
                  <w:tcW w:w="615" w:type="dxa"/>
                  <w:vAlign w:val="center"/>
                </w:tcPr>
                <w:p>
                  <w:pPr>
                    <w:widowControl/>
                    <w:snapToGrid w:val="0"/>
                    <w:jc w:val="center"/>
                    <w:rPr>
                      <w:color w:val="0000FF"/>
                      <w:szCs w:val="21"/>
                      <w:highlight w:val="none"/>
                    </w:rPr>
                  </w:pPr>
                  <w:r>
                    <w:rPr>
                      <w:b/>
                      <w:bCs/>
                      <w:color w:val="0000FF"/>
                      <w:kern w:val="0"/>
                      <w:szCs w:val="21"/>
                      <w:highlight w:val="none"/>
                    </w:rPr>
                    <w:t>昼间</w:t>
                  </w:r>
                </w:p>
              </w:tc>
              <w:tc>
                <w:tcPr>
                  <w:tcW w:w="666" w:type="dxa"/>
                  <w:vAlign w:val="center"/>
                </w:tcPr>
                <w:p>
                  <w:pPr>
                    <w:widowControl/>
                    <w:snapToGrid w:val="0"/>
                    <w:jc w:val="center"/>
                    <w:rPr>
                      <w:color w:val="0000FF"/>
                      <w:szCs w:val="21"/>
                      <w:highlight w:val="none"/>
                    </w:rPr>
                  </w:pPr>
                  <w:r>
                    <w:rPr>
                      <w:b/>
                      <w:bCs/>
                      <w:color w:val="0000FF"/>
                      <w:kern w:val="0"/>
                      <w:szCs w:val="21"/>
                      <w:highlight w:val="none"/>
                    </w:rPr>
                    <w:t>夜间</w:t>
                  </w:r>
                </w:p>
              </w:tc>
              <w:tc>
                <w:tcPr>
                  <w:tcW w:w="577" w:type="dxa"/>
                  <w:vAlign w:val="center"/>
                </w:tcPr>
                <w:p>
                  <w:pPr>
                    <w:widowControl/>
                    <w:snapToGrid w:val="0"/>
                    <w:jc w:val="center"/>
                    <w:rPr>
                      <w:color w:val="0000FF"/>
                      <w:kern w:val="0"/>
                      <w:szCs w:val="21"/>
                      <w:highlight w:val="none"/>
                    </w:rPr>
                  </w:pPr>
                  <w:r>
                    <w:rPr>
                      <w:b/>
                      <w:bCs/>
                      <w:color w:val="0000FF"/>
                      <w:kern w:val="0"/>
                      <w:szCs w:val="21"/>
                      <w:highlight w:val="none"/>
                    </w:rPr>
                    <w:t>昼间</w:t>
                  </w:r>
                </w:p>
              </w:tc>
              <w:tc>
                <w:tcPr>
                  <w:tcW w:w="528" w:type="dxa"/>
                  <w:tcBorders>
                    <w:right w:val="nil"/>
                  </w:tcBorders>
                  <w:vAlign w:val="center"/>
                </w:tcPr>
                <w:p>
                  <w:pPr>
                    <w:widowControl/>
                    <w:snapToGrid w:val="0"/>
                    <w:jc w:val="center"/>
                    <w:rPr>
                      <w:color w:val="0000FF"/>
                      <w:kern w:val="0"/>
                      <w:szCs w:val="21"/>
                      <w:highlight w:val="none"/>
                    </w:rPr>
                  </w:pPr>
                  <w:r>
                    <w:rPr>
                      <w:b/>
                      <w:bCs/>
                      <w:color w:val="0000FF"/>
                      <w:kern w:val="0"/>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tcBorders>
                    <w:left w:val="nil"/>
                  </w:tcBorders>
                  <w:vAlign w:val="center"/>
                </w:tcPr>
                <w:p>
                  <w:pPr>
                    <w:widowControl/>
                    <w:snapToGrid w:val="0"/>
                    <w:jc w:val="center"/>
                    <w:rPr>
                      <w:color w:val="0000FF"/>
                      <w:kern w:val="0"/>
                      <w:szCs w:val="21"/>
                      <w:highlight w:val="none"/>
                    </w:rPr>
                  </w:pPr>
                  <w:r>
                    <w:rPr>
                      <w:color w:val="0000FF"/>
                      <w:kern w:val="0"/>
                      <w:szCs w:val="21"/>
                      <w:highlight w:val="none"/>
                    </w:rPr>
                    <w:t>1</w:t>
                  </w:r>
                </w:p>
              </w:tc>
              <w:tc>
                <w:tcPr>
                  <w:tcW w:w="890" w:type="dxa"/>
                  <w:vAlign w:val="center"/>
                </w:tcPr>
                <w:p>
                  <w:pPr>
                    <w:widowControl/>
                    <w:snapToGrid w:val="0"/>
                    <w:jc w:val="center"/>
                    <w:rPr>
                      <w:color w:val="0000FF"/>
                      <w:kern w:val="0"/>
                      <w:szCs w:val="21"/>
                      <w:highlight w:val="none"/>
                    </w:rPr>
                  </w:pPr>
                  <w:r>
                    <w:rPr>
                      <w:color w:val="0000FF"/>
                      <w:kern w:val="0"/>
                      <w:szCs w:val="21"/>
                      <w:highlight w:val="none"/>
                    </w:rPr>
                    <w:t>厂界东</w:t>
                  </w:r>
                </w:p>
              </w:tc>
              <w:tc>
                <w:tcPr>
                  <w:tcW w:w="453" w:type="dxa"/>
                  <w:vAlign w:val="center"/>
                </w:tcPr>
                <w:p>
                  <w:pPr>
                    <w:widowControl/>
                    <w:snapToGrid w:val="0"/>
                    <w:jc w:val="center"/>
                    <w:rPr>
                      <w:color w:val="0000FF"/>
                      <w:kern w:val="0"/>
                      <w:szCs w:val="21"/>
                      <w:highlight w:val="none"/>
                    </w:rPr>
                  </w:pPr>
                  <w:r>
                    <w:rPr>
                      <w:rFonts w:hint="eastAsia"/>
                      <w:color w:val="0000FF"/>
                      <w:kern w:val="0"/>
                      <w:szCs w:val="21"/>
                      <w:highlight w:val="none"/>
                    </w:rPr>
                    <w:t>65</w:t>
                  </w:r>
                </w:p>
              </w:tc>
              <w:tc>
                <w:tcPr>
                  <w:tcW w:w="505" w:type="dxa"/>
                  <w:vAlign w:val="center"/>
                </w:tcPr>
                <w:p>
                  <w:pPr>
                    <w:widowControl/>
                    <w:snapToGrid w:val="0"/>
                    <w:jc w:val="center"/>
                    <w:rPr>
                      <w:color w:val="0000FF"/>
                      <w:kern w:val="0"/>
                      <w:szCs w:val="21"/>
                      <w:highlight w:val="none"/>
                    </w:rPr>
                  </w:pPr>
                  <w:r>
                    <w:rPr>
                      <w:rFonts w:hint="eastAsia"/>
                      <w:color w:val="0000FF"/>
                      <w:kern w:val="0"/>
                      <w:szCs w:val="21"/>
                      <w:highlight w:val="none"/>
                    </w:rPr>
                    <w:t>55</w:t>
                  </w:r>
                </w:p>
              </w:tc>
              <w:tc>
                <w:tcPr>
                  <w:tcW w:w="615" w:type="dxa"/>
                  <w:vAlign w:val="center"/>
                </w:tcPr>
                <w:p>
                  <w:pPr>
                    <w:adjustRightInd w:val="0"/>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54.69</w:t>
                  </w:r>
                </w:p>
              </w:tc>
              <w:tc>
                <w:tcPr>
                  <w:tcW w:w="666" w:type="dxa"/>
                  <w:vAlign w:val="center"/>
                </w:tcPr>
                <w:p>
                  <w:pPr>
                    <w:adjustRightInd w:val="0"/>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52.41</w:t>
                  </w:r>
                </w:p>
              </w:tc>
              <w:tc>
                <w:tcPr>
                  <w:tcW w:w="577" w:type="dxa"/>
                  <w:vAlign w:val="center"/>
                </w:tcPr>
                <w:p>
                  <w:pPr>
                    <w:widowControl/>
                    <w:snapToGrid w:val="0"/>
                    <w:jc w:val="center"/>
                    <w:rPr>
                      <w:color w:val="0000FF"/>
                      <w:kern w:val="0"/>
                      <w:szCs w:val="21"/>
                      <w:highlight w:val="none"/>
                    </w:rPr>
                  </w:pPr>
                  <w:r>
                    <w:rPr>
                      <w:color w:val="0000FF"/>
                      <w:kern w:val="0"/>
                      <w:szCs w:val="21"/>
                      <w:highlight w:val="none"/>
                    </w:rPr>
                    <w:t>达标</w:t>
                  </w:r>
                </w:p>
              </w:tc>
              <w:tc>
                <w:tcPr>
                  <w:tcW w:w="528" w:type="dxa"/>
                  <w:tcBorders>
                    <w:right w:val="nil"/>
                  </w:tcBorders>
                  <w:vAlign w:val="center"/>
                </w:tcPr>
                <w:p>
                  <w:pPr>
                    <w:widowControl/>
                    <w:snapToGrid w:val="0"/>
                    <w:jc w:val="center"/>
                    <w:rPr>
                      <w:color w:val="0000FF"/>
                      <w:kern w:val="0"/>
                      <w:szCs w:val="21"/>
                      <w:highlight w:val="none"/>
                    </w:rPr>
                  </w:pPr>
                  <w:r>
                    <w:rPr>
                      <w:color w:val="0000FF"/>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tcBorders>
                    <w:left w:val="nil"/>
                  </w:tcBorders>
                  <w:vAlign w:val="center"/>
                </w:tcPr>
                <w:p>
                  <w:pPr>
                    <w:widowControl/>
                    <w:snapToGrid w:val="0"/>
                    <w:jc w:val="center"/>
                    <w:rPr>
                      <w:color w:val="0000FF"/>
                      <w:kern w:val="0"/>
                      <w:szCs w:val="21"/>
                      <w:highlight w:val="none"/>
                    </w:rPr>
                  </w:pPr>
                  <w:r>
                    <w:rPr>
                      <w:color w:val="0000FF"/>
                      <w:kern w:val="0"/>
                      <w:szCs w:val="21"/>
                      <w:highlight w:val="none"/>
                    </w:rPr>
                    <w:t>2</w:t>
                  </w:r>
                </w:p>
              </w:tc>
              <w:tc>
                <w:tcPr>
                  <w:tcW w:w="890" w:type="dxa"/>
                  <w:vAlign w:val="center"/>
                </w:tcPr>
                <w:p>
                  <w:pPr>
                    <w:widowControl/>
                    <w:snapToGrid w:val="0"/>
                    <w:jc w:val="center"/>
                    <w:rPr>
                      <w:color w:val="0000FF"/>
                      <w:kern w:val="0"/>
                      <w:szCs w:val="21"/>
                      <w:highlight w:val="none"/>
                    </w:rPr>
                  </w:pPr>
                  <w:r>
                    <w:rPr>
                      <w:color w:val="0000FF"/>
                      <w:kern w:val="0"/>
                      <w:szCs w:val="21"/>
                      <w:highlight w:val="none"/>
                    </w:rPr>
                    <w:t>厂界南</w:t>
                  </w:r>
                </w:p>
              </w:tc>
              <w:tc>
                <w:tcPr>
                  <w:tcW w:w="453" w:type="dxa"/>
                  <w:vAlign w:val="center"/>
                </w:tcPr>
                <w:p>
                  <w:pPr>
                    <w:widowControl/>
                    <w:snapToGrid w:val="0"/>
                    <w:jc w:val="center"/>
                    <w:rPr>
                      <w:color w:val="0000FF"/>
                      <w:kern w:val="0"/>
                      <w:szCs w:val="21"/>
                      <w:highlight w:val="none"/>
                    </w:rPr>
                  </w:pPr>
                  <w:r>
                    <w:rPr>
                      <w:rFonts w:hint="eastAsia"/>
                      <w:color w:val="0000FF"/>
                      <w:kern w:val="0"/>
                      <w:szCs w:val="21"/>
                      <w:highlight w:val="none"/>
                    </w:rPr>
                    <w:t>65</w:t>
                  </w:r>
                </w:p>
              </w:tc>
              <w:tc>
                <w:tcPr>
                  <w:tcW w:w="505" w:type="dxa"/>
                  <w:vAlign w:val="center"/>
                </w:tcPr>
                <w:p>
                  <w:pPr>
                    <w:widowControl/>
                    <w:snapToGrid w:val="0"/>
                    <w:jc w:val="center"/>
                    <w:rPr>
                      <w:color w:val="0000FF"/>
                      <w:kern w:val="0"/>
                      <w:szCs w:val="21"/>
                      <w:highlight w:val="none"/>
                    </w:rPr>
                  </w:pPr>
                  <w:r>
                    <w:rPr>
                      <w:rFonts w:hint="eastAsia"/>
                      <w:color w:val="0000FF"/>
                      <w:kern w:val="0"/>
                      <w:szCs w:val="21"/>
                      <w:highlight w:val="none"/>
                    </w:rPr>
                    <w:t>55</w:t>
                  </w:r>
                </w:p>
              </w:tc>
              <w:tc>
                <w:tcPr>
                  <w:tcW w:w="615" w:type="dxa"/>
                  <w:vAlign w:val="center"/>
                </w:tcPr>
                <w:p>
                  <w:pPr>
                    <w:widowControl/>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52.90</w:t>
                  </w:r>
                </w:p>
              </w:tc>
              <w:tc>
                <w:tcPr>
                  <w:tcW w:w="666" w:type="dxa"/>
                  <w:vAlign w:val="center"/>
                </w:tcPr>
                <w:p>
                  <w:pPr>
                    <w:widowControl/>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49.79</w:t>
                  </w:r>
                </w:p>
              </w:tc>
              <w:tc>
                <w:tcPr>
                  <w:tcW w:w="577" w:type="dxa"/>
                  <w:vAlign w:val="center"/>
                </w:tcPr>
                <w:p>
                  <w:pPr>
                    <w:widowControl/>
                    <w:snapToGrid w:val="0"/>
                    <w:jc w:val="center"/>
                    <w:rPr>
                      <w:color w:val="0000FF"/>
                      <w:kern w:val="0"/>
                      <w:szCs w:val="21"/>
                      <w:highlight w:val="none"/>
                    </w:rPr>
                  </w:pPr>
                  <w:r>
                    <w:rPr>
                      <w:color w:val="0000FF"/>
                      <w:kern w:val="0"/>
                      <w:szCs w:val="21"/>
                      <w:highlight w:val="none"/>
                    </w:rPr>
                    <w:t>达标</w:t>
                  </w:r>
                </w:p>
              </w:tc>
              <w:tc>
                <w:tcPr>
                  <w:tcW w:w="528" w:type="dxa"/>
                  <w:tcBorders>
                    <w:right w:val="nil"/>
                  </w:tcBorders>
                  <w:vAlign w:val="center"/>
                </w:tcPr>
                <w:p>
                  <w:pPr>
                    <w:widowControl/>
                    <w:snapToGrid w:val="0"/>
                    <w:jc w:val="center"/>
                    <w:rPr>
                      <w:color w:val="0000FF"/>
                      <w:kern w:val="0"/>
                      <w:szCs w:val="21"/>
                      <w:highlight w:val="none"/>
                    </w:rPr>
                  </w:pPr>
                  <w:r>
                    <w:rPr>
                      <w:color w:val="0000FF"/>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tcBorders>
                    <w:left w:val="nil"/>
                  </w:tcBorders>
                  <w:vAlign w:val="center"/>
                </w:tcPr>
                <w:p>
                  <w:pPr>
                    <w:widowControl/>
                    <w:snapToGrid w:val="0"/>
                    <w:jc w:val="center"/>
                    <w:rPr>
                      <w:color w:val="0000FF"/>
                      <w:kern w:val="0"/>
                      <w:szCs w:val="21"/>
                      <w:highlight w:val="none"/>
                    </w:rPr>
                  </w:pPr>
                  <w:r>
                    <w:rPr>
                      <w:color w:val="0000FF"/>
                      <w:kern w:val="0"/>
                      <w:szCs w:val="21"/>
                      <w:highlight w:val="none"/>
                    </w:rPr>
                    <w:t>3</w:t>
                  </w:r>
                </w:p>
              </w:tc>
              <w:tc>
                <w:tcPr>
                  <w:tcW w:w="890" w:type="dxa"/>
                  <w:vAlign w:val="center"/>
                </w:tcPr>
                <w:p>
                  <w:pPr>
                    <w:widowControl/>
                    <w:snapToGrid w:val="0"/>
                    <w:jc w:val="center"/>
                    <w:rPr>
                      <w:color w:val="0000FF"/>
                      <w:kern w:val="0"/>
                      <w:szCs w:val="21"/>
                      <w:highlight w:val="none"/>
                    </w:rPr>
                  </w:pPr>
                  <w:r>
                    <w:rPr>
                      <w:color w:val="0000FF"/>
                      <w:kern w:val="0"/>
                      <w:szCs w:val="21"/>
                      <w:highlight w:val="none"/>
                    </w:rPr>
                    <w:t>厂界西</w:t>
                  </w:r>
                </w:p>
              </w:tc>
              <w:tc>
                <w:tcPr>
                  <w:tcW w:w="453" w:type="dxa"/>
                  <w:vAlign w:val="center"/>
                </w:tcPr>
                <w:p>
                  <w:pPr>
                    <w:widowControl/>
                    <w:snapToGrid w:val="0"/>
                    <w:jc w:val="center"/>
                    <w:rPr>
                      <w:color w:val="0000FF"/>
                      <w:kern w:val="0"/>
                      <w:szCs w:val="21"/>
                      <w:highlight w:val="none"/>
                    </w:rPr>
                  </w:pPr>
                  <w:r>
                    <w:rPr>
                      <w:rFonts w:hint="eastAsia"/>
                      <w:color w:val="0000FF"/>
                      <w:kern w:val="0"/>
                      <w:szCs w:val="21"/>
                      <w:highlight w:val="none"/>
                    </w:rPr>
                    <w:t>65</w:t>
                  </w:r>
                </w:p>
              </w:tc>
              <w:tc>
                <w:tcPr>
                  <w:tcW w:w="505" w:type="dxa"/>
                  <w:vAlign w:val="center"/>
                </w:tcPr>
                <w:p>
                  <w:pPr>
                    <w:widowControl/>
                    <w:snapToGrid w:val="0"/>
                    <w:jc w:val="center"/>
                    <w:rPr>
                      <w:color w:val="0000FF"/>
                      <w:kern w:val="0"/>
                      <w:szCs w:val="21"/>
                      <w:highlight w:val="none"/>
                    </w:rPr>
                  </w:pPr>
                  <w:r>
                    <w:rPr>
                      <w:rFonts w:hint="eastAsia"/>
                      <w:color w:val="0000FF"/>
                      <w:kern w:val="0"/>
                      <w:szCs w:val="21"/>
                      <w:highlight w:val="none"/>
                    </w:rPr>
                    <w:t>55</w:t>
                  </w:r>
                </w:p>
              </w:tc>
              <w:tc>
                <w:tcPr>
                  <w:tcW w:w="615" w:type="dxa"/>
                  <w:vAlign w:val="center"/>
                </w:tcPr>
                <w:p>
                  <w:pPr>
                    <w:widowControl/>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57.48</w:t>
                  </w:r>
                </w:p>
              </w:tc>
              <w:tc>
                <w:tcPr>
                  <w:tcW w:w="666" w:type="dxa"/>
                  <w:vAlign w:val="center"/>
                </w:tcPr>
                <w:p>
                  <w:pPr>
                    <w:widowControl/>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50.30</w:t>
                  </w:r>
                </w:p>
              </w:tc>
              <w:tc>
                <w:tcPr>
                  <w:tcW w:w="577" w:type="dxa"/>
                  <w:vAlign w:val="center"/>
                </w:tcPr>
                <w:p>
                  <w:pPr>
                    <w:widowControl/>
                    <w:snapToGrid w:val="0"/>
                    <w:jc w:val="center"/>
                    <w:rPr>
                      <w:color w:val="0000FF"/>
                      <w:kern w:val="0"/>
                      <w:szCs w:val="21"/>
                      <w:highlight w:val="none"/>
                    </w:rPr>
                  </w:pPr>
                  <w:r>
                    <w:rPr>
                      <w:color w:val="0000FF"/>
                      <w:kern w:val="0"/>
                      <w:szCs w:val="21"/>
                      <w:highlight w:val="none"/>
                    </w:rPr>
                    <w:t>达标</w:t>
                  </w:r>
                </w:p>
              </w:tc>
              <w:tc>
                <w:tcPr>
                  <w:tcW w:w="528" w:type="dxa"/>
                  <w:tcBorders>
                    <w:right w:val="nil"/>
                  </w:tcBorders>
                  <w:vAlign w:val="center"/>
                </w:tcPr>
                <w:p>
                  <w:pPr>
                    <w:widowControl/>
                    <w:snapToGrid w:val="0"/>
                    <w:jc w:val="center"/>
                    <w:rPr>
                      <w:color w:val="0000FF"/>
                      <w:kern w:val="0"/>
                      <w:szCs w:val="21"/>
                      <w:highlight w:val="none"/>
                    </w:rPr>
                  </w:pPr>
                  <w:r>
                    <w:rPr>
                      <w:color w:val="0000FF"/>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dxa"/>
                  <w:tcBorders>
                    <w:left w:val="nil"/>
                  </w:tcBorders>
                  <w:vAlign w:val="center"/>
                </w:tcPr>
                <w:p>
                  <w:pPr>
                    <w:widowControl/>
                    <w:snapToGrid w:val="0"/>
                    <w:jc w:val="center"/>
                    <w:rPr>
                      <w:color w:val="0000FF"/>
                      <w:kern w:val="0"/>
                      <w:szCs w:val="21"/>
                      <w:highlight w:val="none"/>
                    </w:rPr>
                  </w:pPr>
                  <w:r>
                    <w:rPr>
                      <w:color w:val="0000FF"/>
                      <w:kern w:val="0"/>
                      <w:szCs w:val="21"/>
                      <w:highlight w:val="none"/>
                    </w:rPr>
                    <w:t>4</w:t>
                  </w:r>
                </w:p>
              </w:tc>
              <w:tc>
                <w:tcPr>
                  <w:tcW w:w="890" w:type="dxa"/>
                  <w:vAlign w:val="center"/>
                </w:tcPr>
                <w:p>
                  <w:pPr>
                    <w:widowControl/>
                    <w:snapToGrid w:val="0"/>
                    <w:jc w:val="center"/>
                    <w:rPr>
                      <w:color w:val="0000FF"/>
                      <w:kern w:val="0"/>
                      <w:szCs w:val="21"/>
                      <w:highlight w:val="none"/>
                    </w:rPr>
                  </w:pPr>
                  <w:r>
                    <w:rPr>
                      <w:color w:val="0000FF"/>
                      <w:kern w:val="0"/>
                      <w:szCs w:val="21"/>
                      <w:highlight w:val="none"/>
                    </w:rPr>
                    <w:t>厂界北</w:t>
                  </w:r>
                </w:p>
              </w:tc>
              <w:tc>
                <w:tcPr>
                  <w:tcW w:w="453" w:type="dxa"/>
                  <w:vAlign w:val="center"/>
                </w:tcPr>
                <w:p>
                  <w:pPr>
                    <w:widowControl/>
                    <w:snapToGrid w:val="0"/>
                    <w:jc w:val="center"/>
                    <w:rPr>
                      <w:color w:val="0000FF"/>
                      <w:kern w:val="0"/>
                      <w:szCs w:val="21"/>
                      <w:highlight w:val="none"/>
                    </w:rPr>
                  </w:pPr>
                  <w:r>
                    <w:rPr>
                      <w:rFonts w:hint="eastAsia"/>
                      <w:color w:val="0000FF"/>
                      <w:kern w:val="0"/>
                      <w:szCs w:val="21"/>
                      <w:highlight w:val="none"/>
                    </w:rPr>
                    <w:t>65</w:t>
                  </w:r>
                </w:p>
              </w:tc>
              <w:tc>
                <w:tcPr>
                  <w:tcW w:w="505" w:type="dxa"/>
                  <w:vAlign w:val="center"/>
                </w:tcPr>
                <w:p>
                  <w:pPr>
                    <w:widowControl/>
                    <w:snapToGrid w:val="0"/>
                    <w:jc w:val="center"/>
                    <w:rPr>
                      <w:color w:val="0000FF"/>
                      <w:kern w:val="0"/>
                      <w:szCs w:val="21"/>
                      <w:highlight w:val="none"/>
                    </w:rPr>
                  </w:pPr>
                  <w:r>
                    <w:rPr>
                      <w:rFonts w:hint="eastAsia"/>
                      <w:color w:val="0000FF"/>
                      <w:kern w:val="0"/>
                      <w:szCs w:val="21"/>
                      <w:highlight w:val="none"/>
                    </w:rPr>
                    <w:t>55</w:t>
                  </w:r>
                </w:p>
              </w:tc>
              <w:tc>
                <w:tcPr>
                  <w:tcW w:w="615" w:type="dxa"/>
                  <w:vAlign w:val="center"/>
                </w:tcPr>
                <w:p>
                  <w:pPr>
                    <w:widowControl/>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54.76</w:t>
                  </w:r>
                </w:p>
              </w:tc>
              <w:tc>
                <w:tcPr>
                  <w:tcW w:w="666" w:type="dxa"/>
                  <w:vAlign w:val="center"/>
                </w:tcPr>
                <w:p>
                  <w:pPr>
                    <w:widowControl/>
                    <w:snapToGrid w:val="0"/>
                    <w:jc w:val="center"/>
                    <w:rPr>
                      <w:rFonts w:hint="default" w:eastAsia="宋体"/>
                      <w:color w:val="0000FF"/>
                      <w:kern w:val="0"/>
                      <w:szCs w:val="21"/>
                      <w:highlight w:val="none"/>
                      <w:lang w:val="en-US" w:eastAsia="zh-CN"/>
                    </w:rPr>
                  </w:pPr>
                  <w:r>
                    <w:rPr>
                      <w:rFonts w:hint="eastAsia"/>
                      <w:color w:val="0000FF"/>
                      <w:szCs w:val="21"/>
                      <w:highlight w:val="none"/>
                      <w:lang w:val="en-US" w:eastAsia="zh-CN"/>
                    </w:rPr>
                    <w:t>51.60</w:t>
                  </w:r>
                </w:p>
              </w:tc>
              <w:tc>
                <w:tcPr>
                  <w:tcW w:w="577" w:type="dxa"/>
                  <w:vAlign w:val="center"/>
                </w:tcPr>
                <w:p>
                  <w:pPr>
                    <w:widowControl/>
                    <w:snapToGrid w:val="0"/>
                    <w:jc w:val="center"/>
                    <w:rPr>
                      <w:color w:val="0000FF"/>
                      <w:kern w:val="0"/>
                      <w:szCs w:val="21"/>
                      <w:highlight w:val="none"/>
                    </w:rPr>
                  </w:pPr>
                  <w:r>
                    <w:rPr>
                      <w:color w:val="0000FF"/>
                      <w:kern w:val="0"/>
                      <w:szCs w:val="21"/>
                      <w:highlight w:val="none"/>
                    </w:rPr>
                    <w:t>达标</w:t>
                  </w:r>
                </w:p>
              </w:tc>
              <w:tc>
                <w:tcPr>
                  <w:tcW w:w="528" w:type="dxa"/>
                  <w:tcBorders>
                    <w:right w:val="nil"/>
                  </w:tcBorders>
                  <w:vAlign w:val="center"/>
                </w:tcPr>
                <w:p>
                  <w:pPr>
                    <w:widowControl/>
                    <w:snapToGrid w:val="0"/>
                    <w:jc w:val="center"/>
                    <w:rPr>
                      <w:color w:val="0000FF"/>
                      <w:kern w:val="0"/>
                      <w:szCs w:val="21"/>
                      <w:highlight w:val="none"/>
                    </w:rPr>
                  </w:pPr>
                  <w:r>
                    <w:rPr>
                      <w:color w:val="0000FF"/>
                      <w:kern w:val="0"/>
                      <w:szCs w:val="21"/>
                      <w:highlight w:val="none"/>
                    </w:rPr>
                    <w:t>达标</w:t>
                  </w:r>
                </w:p>
              </w:tc>
            </w:tr>
          </w:tbl>
          <w:p>
            <w:pPr>
              <w:spacing w:line="360" w:lineRule="auto"/>
              <w:ind w:firstLine="480" w:firstLineChars="200"/>
              <w:rPr>
                <w:sz w:val="24"/>
                <w:highlight w:val="none"/>
              </w:rPr>
            </w:pPr>
            <w:r>
              <w:rPr>
                <w:sz w:val="24"/>
                <w:highlight w:val="none"/>
              </w:rPr>
              <w:t>本项目</w:t>
            </w:r>
            <w:r>
              <w:rPr>
                <w:rFonts w:hint="eastAsia"/>
                <w:sz w:val="24"/>
                <w:highlight w:val="none"/>
              </w:rPr>
              <w:t>夜间不生产，仅有车间中央空调系统</w:t>
            </w:r>
            <w:r>
              <w:rPr>
                <w:rFonts w:hint="eastAsia"/>
                <w:sz w:val="24"/>
                <w:highlight w:val="none"/>
                <w:lang w:val="en-US" w:eastAsia="zh-CN"/>
              </w:rPr>
              <w:t>及污水处理站</w:t>
            </w:r>
            <w:r>
              <w:rPr>
                <w:rFonts w:hint="eastAsia"/>
                <w:sz w:val="24"/>
                <w:highlight w:val="none"/>
              </w:rPr>
              <w:t>运行，</w:t>
            </w:r>
            <w:r>
              <w:rPr>
                <w:sz w:val="24"/>
                <w:highlight w:val="none"/>
              </w:rPr>
              <w:t>从表</w:t>
            </w:r>
            <w:r>
              <w:rPr>
                <w:rFonts w:hint="eastAsia"/>
                <w:sz w:val="24"/>
                <w:highlight w:val="none"/>
              </w:rPr>
              <w:t>4-14预测</w:t>
            </w:r>
            <w:r>
              <w:rPr>
                <w:sz w:val="24"/>
                <w:highlight w:val="none"/>
              </w:rPr>
              <w:t>可知，</w:t>
            </w:r>
            <w:r>
              <w:rPr>
                <w:rFonts w:hint="eastAsia"/>
                <w:sz w:val="24"/>
                <w:highlight w:val="none"/>
              </w:rPr>
              <w:t>评价区域厂界噪声均可达到《工业企业厂界环境噪声排放标准》（GB12348-2008）中3类区要求。</w:t>
            </w:r>
            <w:r>
              <w:rPr>
                <w:sz w:val="24"/>
                <w:highlight w:val="none"/>
              </w:rPr>
              <w:t>本项目周边 50m 内无声环境敏感目标且项目只在昼间生产，故项目运行期间产生的噪声对周围声环境影响较小。</w:t>
            </w:r>
          </w:p>
          <w:p>
            <w:pPr>
              <w:spacing w:line="360" w:lineRule="auto"/>
              <w:ind w:firstLine="480" w:firstLineChars="200"/>
              <w:rPr>
                <w:sz w:val="24"/>
                <w:highlight w:val="none"/>
              </w:rPr>
            </w:pPr>
            <w:r>
              <w:rPr>
                <w:rFonts w:hint="eastAsia"/>
                <w:sz w:val="24"/>
                <w:highlight w:val="none"/>
              </w:rPr>
              <w:t>（3）噪声监测要求</w:t>
            </w:r>
          </w:p>
          <w:p>
            <w:pPr>
              <w:spacing w:line="360" w:lineRule="auto"/>
              <w:ind w:firstLine="480" w:firstLineChars="200"/>
              <w:rPr>
                <w:sz w:val="24"/>
                <w:highlight w:val="none"/>
              </w:rPr>
            </w:pPr>
            <w:r>
              <w:rPr>
                <w:rFonts w:hint="eastAsia"/>
                <w:sz w:val="24"/>
                <w:highlight w:val="none"/>
              </w:rPr>
              <w:t>按照《排污许可证申请与核发技术规范 工业噪声》（HJ1301-2023）的要求对项目噪声污染源情况以及污染治理设施的运转情况进行定期检查，监测可委托有资质的单位实施，监测方法按环境监测技术规范进行。本项目噪声监测计划见表4-15。</w:t>
            </w:r>
          </w:p>
          <w:p>
            <w:pPr>
              <w:jc w:val="center"/>
              <w:rPr>
                <w:b/>
                <w:bCs/>
                <w:highlight w:val="none"/>
              </w:rPr>
            </w:pPr>
            <w:r>
              <w:rPr>
                <w:rFonts w:hint="eastAsia"/>
                <w:b/>
                <w:bCs/>
                <w:highlight w:val="none"/>
              </w:rPr>
              <w:t>表4-15  噪声监测计划一览表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222"/>
              <w:gridCol w:w="2369"/>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pct"/>
                  <w:tcBorders>
                    <w:left w:val="nil"/>
                  </w:tcBorders>
                  <w:shd w:val="clear" w:color="auto" w:fill="auto"/>
                  <w:vAlign w:val="center"/>
                </w:tcPr>
                <w:p>
                  <w:pPr>
                    <w:jc w:val="center"/>
                    <w:rPr>
                      <w:b/>
                      <w:bCs/>
                      <w:highlight w:val="none"/>
                    </w:rPr>
                  </w:pPr>
                  <w:r>
                    <w:rPr>
                      <w:b/>
                      <w:bCs/>
                      <w:highlight w:val="none"/>
                    </w:rPr>
                    <w:t>监测点位</w:t>
                  </w:r>
                </w:p>
              </w:tc>
              <w:tc>
                <w:tcPr>
                  <w:tcW w:w="720" w:type="pct"/>
                  <w:shd w:val="clear" w:color="auto" w:fill="auto"/>
                  <w:vAlign w:val="center"/>
                </w:tcPr>
                <w:p>
                  <w:pPr>
                    <w:jc w:val="center"/>
                    <w:rPr>
                      <w:b/>
                      <w:bCs/>
                      <w:highlight w:val="none"/>
                    </w:rPr>
                  </w:pPr>
                  <w:r>
                    <w:rPr>
                      <w:b/>
                      <w:bCs/>
                      <w:highlight w:val="none"/>
                    </w:rPr>
                    <w:t>监测指标</w:t>
                  </w:r>
                </w:p>
              </w:tc>
              <w:tc>
                <w:tcPr>
                  <w:tcW w:w="1397" w:type="pct"/>
                  <w:shd w:val="clear" w:color="auto" w:fill="auto"/>
                  <w:vAlign w:val="center"/>
                </w:tcPr>
                <w:p>
                  <w:pPr>
                    <w:jc w:val="center"/>
                    <w:rPr>
                      <w:b/>
                      <w:bCs/>
                      <w:highlight w:val="none"/>
                    </w:rPr>
                  </w:pPr>
                  <w:r>
                    <w:rPr>
                      <w:b/>
                      <w:bCs/>
                      <w:highlight w:val="none"/>
                    </w:rPr>
                    <w:t>监测频次</w:t>
                  </w:r>
                </w:p>
              </w:tc>
              <w:tc>
                <w:tcPr>
                  <w:tcW w:w="2146" w:type="pct"/>
                  <w:tcBorders>
                    <w:right w:val="nil"/>
                  </w:tcBorders>
                  <w:shd w:val="clear" w:color="auto" w:fill="auto"/>
                  <w:vAlign w:val="center"/>
                </w:tcPr>
                <w:p>
                  <w:pPr>
                    <w:jc w:val="center"/>
                    <w:rPr>
                      <w:b/>
                      <w:bCs/>
                      <w:highlight w:val="none"/>
                    </w:rPr>
                  </w:pPr>
                  <w:r>
                    <w:rPr>
                      <w:b/>
                      <w:bCs/>
                      <w:highlight w:val="none"/>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pct"/>
                  <w:tcBorders>
                    <w:left w:val="nil"/>
                  </w:tcBorders>
                  <w:vAlign w:val="center"/>
                </w:tcPr>
                <w:p>
                  <w:pPr>
                    <w:jc w:val="center"/>
                    <w:rPr>
                      <w:highlight w:val="none"/>
                    </w:rPr>
                  </w:pPr>
                  <w:r>
                    <w:rPr>
                      <w:rFonts w:hint="eastAsia"/>
                      <w:highlight w:val="none"/>
                    </w:rPr>
                    <w:t>四周</w:t>
                  </w:r>
                  <w:r>
                    <w:rPr>
                      <w:highlight w:val="none"/>
                    </w:rPr>
                    <w:t>厂界外1m</w:t>
                  </w:r>
                </w:p>
              </w:tc>
              <w:tc>
                <w:tcPr>
                  <w:tcW w:w="720" w:type="pct"/>
                  <w:vAlign w:val="center"/>
                </w:tcPr>
                <w:p>
                  <w:pPr>
                    <w:jc w:val="center"/>
                    <w:rPr>
                      <w:highlight w:val="none"/>
                    </w:rPr>
                  </w:pPr>
                  <w:r>
                    <w:rPr>
                      <w:highlight w:val="none"/>
                    </w:rPr>
                    <w:t>噪声</w:t>
                  </w:r>
                </w:p>
              </w:tc>
              <w:tc>
                <w:tcPr>
                  <w:tcW w:w="1397" w:type="pct"/>
                  <w:vAlign w:val="center"/>
                </w:tcPr>
                <w:p>
                  <w:pPr>
                    <w:jc w:val="center"/>
                    <w:rPr>
                      <w:highlight w:val="none"/>
                    </w:rPr>
                  </w:pPr>
                  <w:r>
                    <w:rPr>
                      <w:highlight w:val="none"/>
                    </w:rPr>
                    <w:t>1次/季，昼夜各1次</w:t>
                  </w:r>
                </w:p>
              </w:tc>
              <w:tc>
                <w:tcPr>
                  <w:tcW w:w="2146" w:type="pct"/>
                  <w:tcBorders>
                    <w:right w:val="nil"/>
                  </w:tcBorders>
                  <w:vAlign w:val="center"/>
                </w:tcPr>
                <w:p>
                  <w:pPr>
                    <w:jc w:val="center"/>
                    <w:rPr>
                      <w:highlight w:val="none"/>
                    </w:rPr>
                  </w:pPr>
                  <w:r>
                    <w:rPr>
                      <w:highlight w:val="none"/>
                    </w:rPr>
                    <w:t>《工业企业厂界环境噪声排放标准》（GB12348-2008）</w:t>
                  </w:r>
                  <w:r>
                    <w:rPr>
                      <w:rFonts w:hint="eastAsia"/>
                      <w:highlight w:val="none"/>
                    </w:rPr>
                    <w:t>3</w:t>
                  </w:r>
                  <w:r>
                    <w:rPr>
                      <w:highlight w:val="none"/>
                    </w:rPr>
                    <w:t>类标准</w:t>
                  </w:r>
                </w:p>
              </w:tc>
            </w:tr>
          </w:tbl>
          <w:p>
            <w:pPr>
              <w:spacing w:line="360" w:lineRule="auto"/>
              <w:rPr>
                <w:sz w:val="24"/>
                <w:highlight w:val="none"/>
              </w:rPr>
            </w:pPr>
          </w:p>
        </w:tc>
      </w:tr>
    </w:tbl>
    <w:p>
      <w:pPr>
        <w:rPr>
          <w:highlight w:val="none"/>
        </w:rPr>
        <w:sectPr>
          <w:pgSz w:w="11907" w:h="16840"/>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39"/>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34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4" w:hRule="atLeast"/>
          <w:jc w:val="center"/>
        </w:trPr>
        <w:tc>
          <w:tcPr>
            <w:tcW w:w="165" w:type="pct"/>
            <w:tcMar>
              <w:left w:w="28" w:type="dxa"/>
              <w:right w:w="28" w:type="dxa"/>
            </w:tcMar>
          </w:tcPr>
          <w:p>
            <w:pPr>
              <w:widowControl/>
              <w:jc w:val="center"/>
              <w:rPr>
                <w:b/>
                <w:bCs/>
                <w:kern w:val="0"/>
                <w:sz w:val="24"/>
                <w:szCs w:val="20"/>
                <w:highlight w:val="none"/>
              </w:rPr>
            </w:pPr>
            <w:r>
              <w:rPr>
                <w:rFonts w:hint="eastAsia"/>
                <w:b/>
                <w:bCs/>
                <w:kern w:val="0"/>
                <w:sz w:val="24"/>
                <w:szCs w:val="20"/>
                <w:highlight w:val="none"/>
              </w:rPr>
              <w:t>运营</w:t>
            </w: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4834" w:type="pct"/>
          </w:tcPr>
          <w:p>
            <w:pPr>
              <w:spacing w:line="360" w:lineRule="auto"/>
              <w:ind w:firstLine="481" w:firstLineChars="200"/>
              <w:rPr>
                <w:b/>
                <w:bCs/>
                <w:sz w:val="24"/>
                <w:highlight w:val="none"/>
              </w:rPr>
            </w:pPr>
            <w:r>
              <w:rPr>
                <w:b/>
                <w:bCs/>
                <w:sz w:val="24"/>
                <w:highlight w:val="none"/>
              </w:rPr>
              <w:t>4、固体废物</w:t>
            </w:r>
          </w:p>
          <w:p>
            <w:pPr>
              <w:spacing w:line="360" w:lineRule="auto"/>
              <w:ind w:firstLine="480" w:firstLineChars="200"/>
              <w:rPr>
                <w:sz w:val="24"/>
                <w:highlight w:val="none"/>
              </w:rPr>
            </w:pPr>
            <w:r>
              <w:rPr>
                <w:rFonts w:hint="eastAsia"/>
                <w:sz w:val="24"/>
                <w:highlight w:val="none"/>
              </w:rPr>
              <w:t>（1）固体废物污染源情况</w:t>
            </w:r>
          </w:p>
          <w:p>
            <w:pPr>
              <w:spacing w:line="360" w:lineRule="auto"/>
              <w:ind w:firstLine="480" w:firstLineChars="200"/>
              <w:rPr>
                <w:sz w:val="24"/>
                <w:highlight w:val="none"/>
              </w:rPr>
            </w:pPr>
            <w:r>
              <w:rPr>
                <w:color w:val="000000"/>
                <w:kern w:val="0"/>
                <w:sz w:val="24"/>
                <w:highlight w:val="none"/>
                <w:lang w:bidi="ar"/>
              </w:rPr>
              <w:t>按《固体废物鉴别标准</w:t>
            </w:r>
            <w:r>
              <w:rPr>
                <w:rFonts w:hint="eastAsia"/>
                <w:color w:val="000000"/>
                <w:kern w:val="0"/>
                <w:sz w:val="24"/>
                <w:highlight w:val="none"/>
                <w:lang w:bidi="ar"/>
              </w:rPr>
              <w:t xml:space="preserve"> </w:t>
            </w:r>
            <w:r>
              <w:rPr>
                <w:color w:val="000000"/>
                <w:kern w:val="0"/>
                <w:sz w:val="24"/>
                <w:highlight w:val="none"/>
                <w:lang w:bidi="ar"/>
              </w:rPr>
              <w:t>通则》（GB 34330-</w:t>
            </w:r>
            <w:r>
              <w:rPr>
                <w:rFonts w:hint="eastAsia"/>
                <w:color w:val="0000FF"/>
                <w:kern w:val="0"/>
                <w:sz w:val="24"/>
                <w:highlight w:val="none"/>
                <w:lang w:val="en-US" w:eastAsia="zh-CN" w:bidi="ar"/>
              </w:rPr>
              <w:t>2025</w:t>
            </w:r>
            <w:r>
              <w:rPr>
                <w:color w:val="0000FF"/>
                <w:kern w:val="0"/>
                <w:sz w:val="24"/>
                <w:highlight w:val="none"/>
                <w:lang w:bidi="ar"/>
              </w:rPr>
              <w:t>）</w:t>
            </w:r>
            <w:r>
              <w:rPr>
                <w:rFonts w:hint="eastAsia"/>
                <w:color w:val="000000"/>
                <w:kern w:val="0"/>
                <w:sz w:val="24"/>
                <w:highlight w:val="none"/>
                <w:lang w:bidi="ar"/>
              </w:rPr>
              <w:t>、</w:t>
            </w:r>
            <w:r>
              <w:rPr>
                <w:color w:val="000000"/>
                <w:kern w:val="0"/>
                <w:sz w:val="24"/>
                <w:highlight w:val="none"/>
                <w:lang w:bidi="ar"/>
              </w:rPr>
              <w:t>《危险废物鉴别标准</w:t>
            </w:r>
            <w:r>
              <w:rPr>
                <w:rFonts w:hint="eastAsia"/>
                <w:color w:val="000000"/>
                <w:kern w:val="0"/>
                <w:sz w:val="24"/>
                <w:highlight w:val="none"/>
                <w:lang w:bidi="ar"/>
              </w:rPr>
              <w:t xml:space="preserve"> </w:t>
            </w:r>
            <w:r>
              <w:rPr>
                <w:color w:val="000000"/>
                <w:kern w:val="0"/>
                <w:sz w:val="24"/>
                <w:highlight w:val="none"/>
                <w:lang w:bidi="ar"/>
              </w:rPr>
              <w:t>通则》（GB</w:t>
            </w:r>
            <w:r>
              <w:rPr>
                <w:rFonts w:hint="eastAsia"/>
                <w:color w:val="000000"/>
                <w:kern w:val="0"/>
                <w:sz w:val="24"/>
                <w:highlight w:val="none"/>
                <w:lang w:bidi="ar"/>
              </w:rPr>
              <w:t xml:space="preserve"> </w:t>
            </w:r>
            <w:r>
              <w:rPr>
                <w:color w:val="000000"/>
                <w:kern w:val="0"/>
                <w:sz w:val="24"/>
                <w:highlight w:val="none"/>
                <w:lang w:bidi="ar"/>
              </w:rPr>
              <w:t>5085.7-2019）的有关要求，对项目</w:t>
            </w:r>
            <w:r>
              <w:rPr>
                <w:rFonts w:hint="eastAsia"/>
                <w:color w:val="000000"/>
                <w:kern w:val="0"/>
                <w:sz w:val="24"/>
                <w:highlight w:val="none"/>
                <w:lang w:bidi="ar"/>
              </w:rPr>
              <w:t>固</w:t>
            </w:r>
            <w:r>
              <w:rPr>
                <w:color w:val="000000"/>
                <w:kern w:val="0"/>
                <w:sz w:val="24"/>
                <w:highlight w:val="none"/>
                <w:lang w:bidi="ar"/>
              </w:rPr>
              <w:t>废进行分类，</w:t>
            </w:r>
            <w:r>
              <w:rPr>
                <w:sz w:val="24"/>
                <w:highlight w:val="none"/>
              </w:rPr>
              <w:t>本项目固</w:t>
            </w:r>
            <w:r>
              <w:rPr>
                <w:color w:val="000000"/>
                <w:kern w:val="0"/>
                <w:sz w:val="24"/>
                <w:highlight w:val="none"/>
                <w:lang w:bidi="ar"/>
              </w:rPr>
              <w:t>体废物</w:t>
            </w:r>
            <w:r>
              <w:rPr>
                <w:rFonts w:hint="eastAsia"/>
                <w:color w:val="000000"/>
                <w:kern w:val="0"/>
                <w:sz w:val="24"/>
                <w:highlight w:val="none"/>
                <w:lang w:bidi="ar"/>
              </w:rPr>
              <w:t>类别</w:t>
            </w:r>
            <w:r>
              <w:rPr>
                <w:color w:val="000000"/>
                <w:kern w:val="0"/>
                <w:sz w:val="24"/>
                <w:highlight w:val="none"/>
                <w:lang w:bidi="ar"/>
              </w:rPr>
              <w:t>主要为</w:t>
            </w:r>
            <w:r>
              <w:rPr>
                <w:rFonts w:hint="eastAsia"/>
                <w:color w:val="000000"/>
                <w:kern w:val="0"/>
                <w:sz w:val="24"/>
                <w:highlight w:val="none"/>
                <w:lang w:bidi="ar"/>
              </w:rPr>
              <w:t>一般工业固体废物、危险废物和生活垃圾。</w:t>
            </w:r>
            <w:r>
              <w:rPr>
                <w:sz w:val="24"/>
                <w:highlight w:val="none"/>
              </w:rPr>
              <w:t>一般固体废物主要有</w:t>
            </w:r>
            <w:r>
              <w:rPr>
                <w:rFonts w:hint="eastAsia"/>
                <w:sz w:val="24"/>
                <w:highlight w:val="none"/>
              </w:rPr>
              <w:t>不合格蛋、废蛋液、蛋壳、过滤废弃物、不合格品、废包装材料、污水处理站污泥、废布袋、除尘灰</w:t>
            </w:r>
            <w:r>
              <w:rPr>
                <w:sz w:val="24"/>
                <w:highlight w:val="none"/>
              </w:rPr>
              <w:t>等；危险废物为废酸碱包装桶</w:t>
            </w:r>
            <w:r>
              <w:rPr>
                <w:rFonts w:hint="eastAsia"/>
                <w:sz w:val="24"/>
                <w:highlight w:val="none"/>
              </w:rPr>
              <w:t>、</w:t>
            </w:r>
            <w:r>
              <w:rPr>
                <w:rFonts w:hint="eastAsia"/>
                <w:sz w:val="24"/>
                <w:highlight w:val="none"/>
                <w:lang w:val="en-US" w:eastAsia="zh-CN"/>
              </w:rPr>
              <w:t>检验固废</w:t>
            </w:r>
            <w:r>
              <w:rPr>
                <w:rFonts w:hint="eastAsia"/>
                <w:sz w:val="24"/>
                <w:highlight w:val="none"/>
              </w:rPr>
              <w:t>、含油沾染废物和</w:t>
            </w:r>
            <w:r>
              <w:rPr>
                <w:rFonts w:hint="eastAsia"/>
                <w:color w:val="000000"/>
                <w:kern w:val="0"/>
                <w:sz w:val="24"/>
                <w:highlight w:val="none"/>
                <w:lang w:bidi="ar"/>
              </w:rPr>
              <w:t>废机油</w:t>
            </w:r>
            <w:r>
              <w:rPr>
                <w:sz w:val="24"/>
                <w:highlight w:val="none"/>
              </w:rPr>
              <w:t>等</w:t>
            </w:r>
            <w:r>
              <w:rPr>
                <w:rFonts w:hint="eastAsia"/>
                <w:sz w:val="24"/>
                <w:highlight w:val="none"/>
              </w:rPr>
              <w:t>，</w:t>
            </w:r>
            <w:r>
              <w:rPr>
                <w:rFonts w:hint="eastAsia"/>
                <w:color w:val="000000"/>
                <w:kern w:val="0"/>
                <w:sz w:val="24"/>
                <w:highlight w:val="none"/>
                <w:lang w:bidi="ar"/>
              </w:rPr>
              <w:t>按照</w:t>
            </w:r>
            <w:r>
              <w:rPr>
                <w:color w:val="000000"/>
                <w:kern w:val="0"/>
                <w:sz w:val="24"/>
                <w:highlight w:val="none"/>
                <w:lang w:bidi="ar"/>
              </w:rPr>
              <w:t>《国家危险废物名录》（2025年版）和《固体废物分类与代码目录》（生态环境部公告 2024年第4号），本项目运营期产生的固体废物的名称、属性、编码和数量等情况</w:t>
            </w:r>
            <w:r>
              <w:rPr>
                <w:rFonts w:hint="eastAsia"/>
                <w:sz w:val="24"/>
                <w:highlight w:val="none"/>
              </w:rPr>
              <w:t>见表4-16。</w:t>
            </w:r>
          </w:p>
          <w:p>
            <w:pPr>
              <w:tabs>
                <w:tab w:val="left" w:pos="0"/>
              </w:tabs>
              <w:jc w:val="center"/>
              <w:rPr>
                <w:b/>
                <w:bCs/>
                <w:highlight w:val="none"/>
              </w:rPr>
            </w:pPr>
            <w:r>
              <w:rPr>
                <w:b/>
                <w:bCs/>
                <w:highlight w:val="none"/>
              </w:rPr>
              <w:t>表</w:t>
            </w:r>
            <w:r>
              <w:rPr>
                <w:rFonts w:hint="eastAsia"/>
                <w:b/>
                <w:bCs/>
                <w:highlight w:val="none"/>
              </w:rPr>
              <w:t>4-16</w:t>
            </w:r>
            <w:r>
              <w:rPr>
                <w:b/>
                <w:kern w:val="21"/>
                <w:szCs w:val="21"/>
                <w:highlight w:val="none"/>
              </w:rPr>
              <w:t xml:space="preserve"> </w:t>
            </w:r>
            <w:r>
              <w:rPr>
                <w:rFonts w:hint="eastAsia"/>
                <w:b/>
                <w:kern w:val="21"/>
                <w:szCs w:val="21"/>
                <w:highlight w:val="none"/>
              </w:rPr>
              <w:t xml:space="preserve"> </w:t>
            </w:r>
            <w:r>
              <w:rPr>
                <w:b/>
                <w:bCs/>
                <w:highlight w:val="none"/>
              </w:rPr>
              <w:t>固体废物污染源产生、排放汇总表</w:t>
            </w:r>
          </w:p>
          <w:tbl>
            <w:tblPr>
              <w:tblStyle w:val="39"/>
              <w:tblW w:w="4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752"/>
              <w:gridCol w:w="1125"/>
              <w:gridCol w:w="1410"/>
              <w:gridCol w:w="1183"/>
              <w:gridCol w:w="1240"/>
              <w:gridCol w:w="1196"/>
              <w:gridCol w:w="22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b/>
                      <w:bCs/>
                      <w:highlight w:val="none"/>
                    </w:rPr>
                  </w:pPr>
                  <w:r>
                    <w:rPr>
                      <w:b/>
                      <w:bCs/>
                      <w:highlight w:val="none"/>
                    </w:rPr>
                    <w:t>固废产生</w:t>
                  </w:r>
                </w:p>
                <w:p>
                  <w:pPr>
                    <w:jc w:val="center"/>
                    <w:rPr>
                      <w:b/>
                      <w:bCs/>
                      <w:highlight w:val="none"/>
                    </w:rPr>
                  </w:pPr>
                  <w:r>
                    <w:rPr>
                      <w:b/>
                      <w:bCs/>
                      <w:highlight w:val="none"/>
                    </w:rPr>
                    <w:t>环节</w:t>
                  </w:r>
                </w:p>
              </w:tc>
              <w:tc>
                <w:tcPr>
                  <w:tcW w:w="671" w:type="pct"/>
                  <w:vAlign w:val="center"/>
                </w:tcPr>
                <w:p>
                  <w:pPr>
                    <w:jc w:val="center"/>
                    <w:rPr>
                      <w:b/>
                      <w:bCs/>
                      <w:highlight w:val="none"/>
                    </w:rPr>
                  </w:pPr>
                  <w:r>
                    <w:rPr>
                      <w:b/>
                      <w:bCs/>
                      <w:highlight w:val="none"/>
                    </w:rPr>
                    <w:t>固废名称</w:t>
                  </w:r>
                </w:p>
              </w:tc>
              <w:tc>
                <w:tcPr>
                  <w:tcW w:w="431" w:type="pct"/>
                  <w:vAlign w:val="center"/>
                </w:tcPr>
                <w:p>
                  <w:pPr>
                    <w:jc w:val="center"/>
                    <w:rPr>
                      <w:b/>
                      <w:bCs/>
                      <w:highlight w:val="none"/>
                    </w:rPr>
                  </w:pPr>
                  <w:r>
                    <w:rPr>
                      <w:b/>
                      <w:bCs/>
                      <w:highlight w:val="none"/>
                    </w:rPr>
                    <w:t>固废属性</w:t>
                  </w:r>
                </w:p>
              </w:tc>
              <w:tc>
                <w:tcPr>
                  <w:tcW w:w="540" w:type="pct"/>
                  <w:vAlign w:val="center"/>
                </w:tcPr>
                <w:p>
                  <w:pPr>
                    <w:jc w:val="center"/>
                    <w:rPr>
                      <w:b/>
                      <w:bCs/>
                      <w:highlight w:val="none"/>
                    </w:rPr>
                  </w:pPr>
                  <w:r>
                    <w:rPr>
                      <w:rFonts w:hint="eastAsia"/>
                      <w:b/>
                      <w:bCs/>
                      <w:highlight w:val="none"/>
                    </w:rPr>
                    <w:t>代码</w:t>
                  </w:r>
                </w:p>
              </w:tc>
              <w:tc>
                <w:tcPr>
                  <w:tcW w:w="453" w:type="pct"/>
                  <w:vAlign w:val="center"/>
                </w:tcPr>
                <w:p>
                  <w:pPr>
                    <w:jc w:val="center"/>
                    <w:rPr>
                      <w:b/>
                      <w:bCs/>
                      <w:highlight w:val="none"/>
                    </w:rPr>
                  </w:pPr>
                  <w:r>
                    <w:rPr>
                      <w:b/>
                      <w:bCs/>
                      <w:highlight w:val="none"/>
                    </w:rPr>
                    <w:t>物理性状</w:t>
                  </w:r>
                </w:p>
              </w:tc>
              <w:tc>
                <w:tcPr>
                  <w:tcW w:w="475" w:type="pct"/>
                  <w:vAlign w:val="center"/>
                </w:tcPr>
                <w:p>
                  <w:pPr>
                    <w:jc w:val="center"/>
                    <w:rPr>
                      <w:b/>
                      <w:bCs/>
                      <w:highlight w:val="none"/>
                    </w:rPr>
                  </w:pPr>
                  <w:r>
                    <w:rPr>
                      <w:b/>
                      <w:bCs/>
                      <w:highlight w:val="none"/>
                    </w:rPr>
                    <w:t>产生量t/a</w:t>
                  </w:r>
                </w:p>
              </w:tc>
              <w:tc>
                <w:tcPr>
                  <w:tcW w:w="458" w:type="pct"/>
                  <w:vAlign w:val="center"/>
                </w:tcPr>
                <w:p>
                  <w:pPr>
                    <w:jc w:val="center"/>
                    <w:rPr>
                      <w:b/>
                      <w:bCs/>
                      <w:highlight w:val="none"/>
                    </w:rPr>
                  </w:pPr>
                  <w:r>
                    <w:rPr>
                      <w:b/>
                      <w:bCs/>
                      <w:highlight w:val="none"/>
                    </w:rPr>
                    <w:t>贮存方式</w:t>
                  </w:r>
                </w:p>
              </w:tc>
              <w:tc>
                <w:tcPr>
                  <w:tcW w:w="863" w:type="pct"/>
                  <w:vAlign w:val="center"/>
                </w:tcPr>
                <w:p>
                  <w:pPr>
                    <w:jc w:val="center"/>
                    <w:rPr>
                      <w:b/>
                      <w:bCs/>
                      <w:highlight w:val="none"/>
                    </w:rPr>
                  </w:pPr>
                  <w:r>
                    <w:rPr>
                      <w:b/>
                      <w:bCs/>
                      <w:highlight w:val="none"/>
                    </w:rPr>
                    <w:t>利用处置方式和去向</w:t>
                  </w:r>
                </w:p>
              </w:tc>
              <w:tc>
                <w:tcPr>
                  <w:tcW w:w="528" w:type="pct"/>
                  <w:tcBorders>
                    <w:right w:val="nil"/>
                  </w:tcBorders>
                  <w:vAlign w:val="center"/>
                </w:tcPr>
                <w:p>
                  <w:pPr>
                    <w:jc w:val="center"/>
                    <w:rPr>
                      <w:b/>
                      <w:bCs/>
                      <w:highlight w:val="none"/>
                    </w:rPr>
                  </w:pPr>
                  <w:r>
                    <w:rPr>
                      <w:b/>
                      <w:bCs/>
                      <w:highlight w:val="none"/>
                    </w:rPr>
                    <w:t>利用或处置量</w:t>
                  </w:r>
                  <w:r>
                    <w:rPr>
                      <w:rFonts w:hint="eastAsia"/>
                      <w:b/>
                      <w:bCs/>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highlight w:val="none"/>
                    </w:rPr>
                  </w:pPr>
                  <w:r>
                    <w:rPr>
                      <w:rFonts w:hint="eastAsia"/>
                      <w:highlight w:val="none"/>
                    </w:rPr>
                    <w:t>员工生活</w:t>
                  </w:r>
                </w:p>
              </w:tc>
              <w:tc>
                <w:tcPr>
                  <w:tcW w:w="671" w:type="pct"/>
                  <w:vAlign w:val="center"/>
                </w:tcPr>
                <w:p>
                  <w:pPr>
                    <w:jc w:val="center"/>
                    <w:rPr>
                      <w:highlight w:val="none"/>
                    </w:rPr>
                  </w:pPr>
                  <w:r>
                    <w:rPr>
                      <w:rFonts w:hint="eastAsia"/>
                      <w:highlight w:val="none"/>
                    </w:rPr>
                    <w:t>生活垃圾</w:t>
                  </w:r>
                </w:p>
              </w:tc>
              <w:tc>
                <w:tcPr>
                  <w:tcW w:w="431" w:type="pct"/>
                  <w:vAlign w:val="center"/>
                </w:tcPr>
                <w:p>
                  <w:pPr>
                    <w:jc w:val="center"/>
                    <w:rPr>
                      <w:highlight w:val="none"/>
                    </w:rPr>
                  </w:pPr>
                  <w:r>
                    <w:rPr>
                      <w:rFonts w:hint="eastAsia"/>
                      <w:highlight w:val="none"/>
                    </w:rPr>
                    <w:t>生活垃圾</w:t>
                  </w:r>
                </w:p>
              </w:tc>
              <w:tc>
                <w:tcPr>
                  <w:tcW w:w="540" w:type="pct"/>
                  <w:vAlign w:val="center"/>
                </w:tcPr>
                <w:p>
                  <w:pPr>
                    <w:jc w:val="center"/>
                    <w:rPr>
                      <w:highlight w:val="none"/>
                    </w:rPr>
                  </w:pPr>
                  <w:r>
                    <w:rPr>
                      <w:highlight w:val="none"/>
                    </w:rPr>
                    <w:t>900-002-S61</w:t>
                  </w:r>
                </w:p>
              </w:tc>
              <w:tc>
                <w:tcPr>
                  <w:tcW w:w="453" w:type="pct"/>
                  <w:vAlign w:val="center"/>
                </w:tcPr>
                <w:p>
                  <w:pPr>
                    <w:jc w:val="center"/>
                    <w:rPr>
                      <w:highlight w:val="none"/>
                    </w:rPr>
                  </w:pPr>
                  <w:r>
                    <w:rPr>
                      <w:rFonts w:hint="eastAsia"/>
                      <w:highlight w:val="none"/>
                    </w:rPr>
                    <w:t>固态</w:t>
                  </w:r>
                </w:p>
              </w:tc>
              <w:tc>
                <w:tcPr>
                  <w:tcW w:w="475" w:type="pct"/>
                  <w:vAlign w:val="center"/>
                </w:tcPr>
                <w:p>
                  <w:pPr>
                    <w:jc w:val="center"/>
                    <w:rPr>
                      <w:highlight w:val="none"/>
                    </w:rPr>
                  </w:pPr>
                  <w:r>
                    <w:rPr>
                      <w:rFonts w:hint="eastAsia"/>
                      <w:highlight w:val="none"/>
                    </w:rPr>
                    <w:t>6</w:t>
                  </w:r>
                </w:p>
              </w:tc>
              <w:tc>
                <w:tcPr>
                  <w:tcW w:w="458" w:type="pct"/>
                  <w:vAlign w:val="center"/>
                </w:tcPr>
                <w:p>
                  <w:pPr>
                    <w:jc w:val="center"/>
                    <w:rPr>
                      <w:highlight w:val="none"/>
                    </w:rPr>
                  </w:pPr>
                  <w:r>
                    <w:rPr>
                      <w:rFonts w:hint="eastAsia"/>
                      <w:highlight w:val="none"/>
                    </w:rPr>
                    <w:t>垃圾桶</w:t>
                  </w:r>
                </w:p>
              </w:tc>
              <w:tc>
                <w:tcPr>
                  <w:tcW w:w="863" w:type="pct"/>
                  <w:vAlign w:val="center"/>
                </w:tcPr>
                <w:p>
                  <w:pPr>
                    <w:jc w:val="center"/>
                    <w:rPr>
                      <w:highlight w:val="none"/>
                    </w:rPr>
                  </w:pPr>
                  <w:r>
                    <w:rPr>
                      <w:rFonts w:hint="eastAsia"/>
                      <w:szCs w:val="21"/>
                      <w:highlight w:val="none"/>
                    </w:rPr>
                    <w:t>环卫部门清运</w:t>
                  </w:r>
                </w:p>
              </w:tc>
              <w:tc>
                <w:tcPr>
                  <w:tcW w:w="528" w:type="pct"/>
                  <w:tcBorders>
                    <w:right w:val="nil"/>
                  </w:tcBorders>
                  <w:vAlign w:val="center"/>
                </w:tcPr>
                <w:p>
                  <w:pPr>
                    <w:jc w:val="center"/>
                    <w:rPr>
                      <w:highlight w:val="none"/>
                    </w:rPr>
                  </w:pPr>
                  <w:r>
                    <w:rPr>
                      <w:rFonts w:hint="eastAsia"/>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highlight w:val="none"/>
                    </w:rPr>
                  </w:pPr>
                  <w:r>
                    <w:rPr>
                      <w:rFonts w:hint="eastAsia"/>
                      <w:highlight w:val="none"/>
                    </w:rPr>
                    <w:t>分选</w:t>
                  </w:r>
                </w:p>
              </w:tc>
              <w:tc>
                <w:tcPr>
                  <w:tcW w:w="671" w:type="pct"/>
                  <w:vAlign w:val="center"/>
                </w:tcPr>
                <w:p>
                  <w:pPr>
                    <w:wordWrap w:val="0"/>
                    <w:jc w:val="center"/>
                    <w:rPr>
                      <w:highlight w:val="none"/>
                    </w:rPr>
                  </w:pPr>
                  <w:r>
                    <w:rPr>
                      <w:rFonts w:hint="eastAsia"/>
                      <w:highlight w:val="none"/>
                    </w:rPr>
                    <w:t>不合格蛋</w:t>
                  </w:r>
                </w:p>
              </w:tc>
              <w:tc>
                <w:tcPr>
                  <w:tcW w:w="431" w:type="pct"/>
                  <w:vMerge w:val="restart"/>
                  <w:vAlign w:val="center"/>
                </w:tcPr>
                <w:p>
                  <w:pPr>
                    <w:jc w:val="center"/>
                    <w:rPr>
                      <w:highlight w:val="none"/>
                    </w:rPr>
                  </w:pPr>
                  <w:r>
                    <w:rPr>
                      <w:rFonts w:hint="eastAsia"/>
                      <w:highlight w:val="none"/>
                    </w:rPr>
                    <w:t>一般工业固废</w:t>
                  </w:r>
                </w:p>
              </w:tc>
              <w:tc>
                <w:tcPr>
                  <w:tcW w:w="540" w:type="pct"/>
                  <w:vAlign w:val="center"/>
                </w:tcPr>
                <w:p>
                  <w:pPr>
                    <w:jc w:val="center"/>
                    <w:rPr>
                      <w:highlight w:val="none"/>
                    </w:rPr>
                  </w:pPr>
                  <w:r>
                    <w:rPr>
                      <w:rFonts w:hint="eastAsia"/>
                      <w:highlight w:val="none"/>
                    </w:rPr>
                    <w:t>900-099-S13</w:t>
                  </w:r>
                </w:p>
              </w:tc>
              <w:tc>
                <w:tcPr>
                  <w:tcW w:w="453" w:type="pct"/>
                  <w:vAlign w:val="center"/>
                </w:tcPr>
                <w:p>
                  <w:pPr>
                    <w:jc w:val="center"/>
                    <w:rPr>
                      <w:highlight w:val="none"/>
                    </w:rPr>
                  </w:pPr>
                  <w:r>
                    <w:rPr>
                      <w:rFonts w:hint="eastAsia"/>
                      <w:highlight w:val="none"/>
                    </w:rPr>
                    <w:t>固态</w:t>
                  </w:r>
                </w:p>
              </w:tc>
              <w:tc>
                <w:tcPr>
                  <w:tcW w:w="475" w:type="pct"/>
                  <w:vAlign w:val="center"/>
                </w:tcPr>
                <w:p>
                  <w:pPr>
                    <w:jc w:val="center"/>
                    <w:rPr>
                      <w:rFonts w:hint="default" w:eastAsia="宋体"/>
                      <w:highlight w:val="none"/>
                      <w:lang w:val="en-US" w:eastAsia="zh-CN"/>
                    </w:rPr>
                  </w:pPr>
                  <w:r>
                    <w:rPr>
                      <w:rFonts w:hint="eastAsia"/>
                      <w:highlight w:val="none"/>
                      <w:lang w:val="en-US" w:eastAsia="zh-CN"/>
                    </w:rPr>
                    <w:t>140</w:t>
                  </w:r>
                </w:p>
              </w:tc>
              <w:tc>
                <w:tcPr>
                  <w:tcW w:w="458" w:type="pct"/>
                  <w:vAlign w:val="center"/>
                </w:tcPr>
                <w:p>
                  <w:pPr>
                    <w:jc w:val="center"/>
                    <w:rPr>
                      <w:highlight w:val="none"/>
                    </w:rPr>
                  </w:pPr>
                  <w:r>
                    <w:rPr>
                      <w:rFonts w:hint="eastAsia"/>
                      <w:highlight w:val="none"/>
                    </w:rPr>
                    <w:t>桶装</w:t>
                  </w:r>
                </w:p>
              </w:tc>
              <w:tc>
                <w:tcPr>
                  <w:tcW w:w="863" w:type="pct"/>
                  <w:vMerge w:val="restart"/>
                  <w:vAlign w:val="center"/>
                </w:tcPr>
                <w:p>
                  <w:pPr>
                    <w:jc w:val="center"/>
                    <w:rPr>
                      <w:highlight w:val="none"/>
                    </w:rPr>
                  </w:pPr>
                  <w:r>
                    <w:rPr>
                      <w:rFonts w:hint="eastAsia"/>
                      <w:highlight w:val="none"/>
                    </w:rPr>
                    <w:t>一般工业固废暂存区暂存，</w:t>
                  </w:r>
                  <w:r>
                    <w:rPr>
                      <w:rFonts w:hint="eastAsia"/>
                      <w:szCs w:val="21"/>
                      <w:highlight w:val="none"/>
                    </w:rPr>
                    <w:t>收集后外售综合利用。</w:t>
                  </w:r>
                </w:p>
              </w:tc>
              <w:tc>
                <w:tcPr>
                  <w:tcW w:w="528" w:type="pct"/>
                  <w:tcBorders>
                    <w:right w:val="nil"/>
                  </w:tcBorders>
                  <w:vAlign w:val="center"/>
                </w:tcPr>
                <w:p>
                  <w:pPr>
                    <w:jc w:val="center"/>
                    <w:rPr>
                      <w:rFonts w:hint="default" w:eastAsia="宋体"/>
                      <w:highlight w:val="none"/>
                      <w:lang w:val="en-US" w:eastAsia="zh-CN"/>
                    </w:rPr>
                  </w:pPr>
                  <w:r>
                    <w:rPr>
                      <w:rFonts w:hint="eastAsia"/>
                      <w:highlight w:val="no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7" w:type="pct"/>
                  <w:tcBorders>
                    <w:left w:val="nil"/>
                  </w:tcBorders>
                  <w:vAlign w:val="center"/>
                </w:tcPr>
                <w:p>
                  <w:pPr>
                    <w:jc w:val="center"/>
                    <w:rPr>
                      <w:highlight w:val="none"/>
                    </w:rPr>
                  </w:pPr>
                  <w:r>
                    <w:rPr>
                      <w:rFonts w:hint="eastAsia"/>
                      <w:highlight w:val="none"/>
                    </w:rPr>
                    <w:t>打蛋</w:t>
                  </w:r>
                </w:p>
              </w:tc>
              <w:tc>
                <w:tcPr>
                  <w:tcW w:w="671" w:type="pct"/>
                  <w:vAlign w:val="center"/>
                </w:tcPr>
                <w:p>
                  <w:pPr>
                    <w:wordWrap w:val="0"/>
                    <w:jc w:val="center"/>
                    <w:rPr>
                      <w:highlight w:val="none"/>
                    </w:rPr>
                  </w:pPr>
                  <w:r>
                    <w:rPr>
                      <w:rFonts w:hint="eastAsia"/>
                      <w:highlight w:val="none"/>
                    </w:rPr>
                    <w:t>废蛋液</w:t>
                  </w:r>
                </w:p>
              </w:tc>
              <w:tc>
                <w:tcPr>
                  <w:tcW w:w="431" w:type="pct"/>
                  <w:vMerge w:val="continue"/>
                  <w:vAlign w:val="center"/>
                </w:tcPr>
                <w:p>
                  <w:pPr>
                    <w:jc w:val="center"/>
                    <w:rPr>
                      <w:highlight w:val="none"/>
                    </w:rPr>
                  </w:pPr>
                </w:p>
              </w:tc>
              <w:tc>
                <w:tcPr>
                  <w:tcW w:w="540" w:type="pct"/>
                  <w:vAlign w:val="center"/>
                </w:tcPr>
                <w:p>
                  <w:pPr>
                    <w:jc w:val="center"/>
                    <w:rPr>
                      <w:bCs/>
                      <w:szCs w:val="21"/>
                      <w:highlight w:val="none"/>
                    </w:rPr>
                  </w:pPr>
                  <w:r>
                    <w:rPr>
                      <w:rFonts w:hint="eastAsia"/>
                      <w:highlight w:val="none"/>
                    </w:rPr>
                    <w:t>900-099-S13</w:t>
                  </w:r>
                </w:p>
              </w:tc>
              <w:tc>
                <w:tcPr>
                  <w:tcW w:w="453" w:type="pct"/>
                  <w:vAlign w:val="center"/>
                </w:tcPr>
                <w:p>
                  <w:pPr>
                    <w:jc w:val="center"/>
                    <w:rPr>
                      <w:highlight w:val="none"/>
                    </w:rPr>
                  </w:pPr>
                  <w:r>
                    <w:rPr>
                      <w:rFonts w:hint="eastAsia"/>
                      <w:highlight w:val="none"/>
                    </w:rPr>
                    <w:t>液态</w:t>
                  </w:r>
                </w:p>
              </w:tc>
              <w:tc>
                <w:tcPr>
                  <w:tcW w:w="475" w:type="pct"/>
                  <w:vAlign w:val="center"/>
                </w:tcPr>
                <w:p>
                  <w:pPr>
                    <w:jc w:val="center"/>
                    <w:rPr>
                      <w:highlight w:val="none"/>
                    </w:rPr>
                  </w:pPr>
                  <w:r>
                    <w:rPr>
                      <w:rFonts w:hint="eastAsia"/>
                      <w:highlight w:val="none"/>
                    </w:rPr>
                    <w:t>22</w:t>
                  </w:r>
                </w:p>
              </w:tc>
              <w:tc>
                <w:tcPr>
                  <w:tcW w:w="458" w:type="pct"/>
                  <w:vAlign w:val="center"/>
                </w:tcPr>
                <w:p>
                  <w:pPr>
                    <w:jc w:val="center"/>
                    <w:rPr>
                      <w:highlight w:val="none"/>
                    </w:rPr>
                  </w:pPr>
                  <w:r>
                    <w:rPr>
                      <w:rFonts w:hint="eastAsia"/>
                      <w:highlight w:val="none"/>
                    </w:rPr>
                    <w:t>桶装</w:t>
                  </w:r>
                </w:p>
              </w:tc>
              <w:tc>
                <w:tcPr>
                  <w:tcW w:w="863" w:type="pct"/>
                  <w:vMerge w:val="continue"/>
                  <w:vAlign w:val="center"/>
                </w:tcPr>
                <w:p>
                  <w:pPr>
                    <w:jc w:val="center"/>
                    <w:rPr>
                      <w:szCs w:val="21"/>
                      <w:highlight w:val="none"/>
                    </w:rPr>
                  </w:pPr>
                </w:p>
              </w:tc>
              <w:tc>
                <w:tcPr>
                  <w:tcW w:w="528" w:type="pct"/>
                  <w:tcBorders>
                    <w:right w:val="nil"/>
                  </w:tcBorders>
                  <w:vAlign w:val="center"/>
                </w:tcPr>
                <w:p>
                  <w:pPr>
                    <w:jc w:val="center"/>
                    <w:rPr>
                      <w:highlight w:val="none"/>
                    </w:rPr>
                  </w:pPr>
                  <w:r>
                    <w:rPr>
                      <w:rFonts w:hint="eastAsia"/>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highlight w:val="none"/>
                    </w:rPr>
                  </w:pPr>
                  <w:r>
                    <w:rPr>
                      <w:rFonts w:hint="eastAsia"/>
                      <w:highlight w:val="none"/>
                    </w:rPr>
                    <w:t>打蛋</w:t>
                  </w:r>
                </w:p>
              </w:tc>
              <w:tc>
                <w:tcPr>
                  <w:tcW w:w="671" w:type="pct"/>
                  <w:vAlign w:val="center"/>
                </w:tcPr>
                <w:p>
                  <w:pPr>
                    <w:wordWrap w:val="0"/>
                    <w:jc w:val="center"/>
                    <w:rPr>
                      <w:highlight w:val="none"/>
                    </w:rPr>
                  </w:pPr>
                  <w:r>
                    <w:rPr>
                      <w:rFonts w:hint="eastAsia"/>
                      <w:highlight w:val="none"/>
                    </w:rPr>
                    <w:t>蛋壳</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900-099-S13</w:t>
                  </w:r>
                </w:p>
              </w:tc>
              <w:tc>
                <w:tcPr>
                  <w:tcW w:w="453" w:type="pct"/>
                  <w:vAlign w:val="center"/>
                </w:tcPr>
                <w:p>
                  <w:pPr>
                    <w:jc w:val="center"/>
                    <w:rPr>
                      <w:highlight w:val="none"/>
                    </w:rPr>
                  </w:pPr>
                  <w:r>
                    <w:rPr>
                      <w:rFonts w:hint="eastAsia"/>
                      <w:highlight w:val="none"/>
                    </w:rPr>
                    <w:t>固态</w:t>
                  </w:r>
                </w:p>
              </w:tc>
              <w:tc>
                <w:tcPr>
                  <w:tcW w:w="475" w:type="pct"/>
                  <w:vAlign w:val="center"/>
                </w:tcPr>
                <w:p>
                  <w:pPr>
                    <w:pStyle w:val="58"/>
                    <w:jc w:val="center"/>
                    <w:rPr>
                      <w:rFonts w:hint="default" w:eastAsia="宋体"/>
                      <w:kern w:val="2"/>
                      <w:sz w:val="21"/>
                      <w:szCs w:val="24"/>
                      <w:highlight w:val="none"/>
                      <w:lang w:val="en-US" w:eastAsia="zh-CN"/>
                    </w:rPr>
                  </w:pPr>
                  <w:r>
                    <w:rPr>
                      <w:rFonts w:hint="eastAsia"/>
                      <w:kern w:val="2"/>
                      <w:sz w:val="21"/>
                      <w:szCs w:val="24"/>
                      <w:highlight w:val="none"/>
                      <w:lang w:val="en-US" w:eastAsia="zh-CN"/>
                    </w:rPr>
                    <w:t>2788</w:t>
                  </w:r>
                </w:p>
              </w:tc>
              <w:tc>
                <w:tcPr>
                  <w:tcW w:w="458" w:type="pct"/>
                  <w:vAlign w:val="center"/>
                </w:tcPr>
                <w:p>
                  <w:pPr>
                    <w:jc w:val="center"/>
                    <w:rPr>
                      <w:highlight w:val="none"/>
                    </w:rPr>
                  </w:pPr>
                  <w:r>
                    <w:rPr>
                      <w:rFonts w:hint="eastAsia"/>
                      <w:highlight w:val="none"/>
                    </w:rPr>
                    <w:t>桶装</w:t>
                  </w:r>
                </w:p>
              </w:tc>
              <w:tc>
                <w:tcPr>
                  <w:tcW w:w="863" w:type="pct"/>
                  <w:vAlign w:val="center"/>
                </w:tcPr>
                <w:p>
                  <w:pPr>
                    <w:jc w:val="center"/>
                    <w:rPr>
                      <w:highlight w:val="none"/>
                    </w:rPr>
                  </w:pPr>
                  <w:r>
                    <w:rPr>
                      <w:rFonts w:hint="eastAsia"/>
                      <w:highlight w:val="none"/>
                    </w:rPr>
                    <w:t>蛋壳暂存间暂存，日产日清，</w:t>
                  </w:r>
                  <w:r>
                    <w:rPr>
                      <w:rFonts w:hint="eastAsia"/>
                      <w:szCs w:val="21"/>
                      <w:highlight w:val="none"/>
                    </w:rPr>
                    <w:t>收集后外售综合利用。</w:t>
                  </w:r>
                </w:p>
              </w:tc>
              <w:tc>
                <w:tcPr>
                  <w:tcW w:w="528" w:type="pct"/>
                  <w:tcBorders>
                    <w:right w:val="nil"/>
                  </w:tcBorders>
                  <w:vAlign w:val="center"/>
                </w:tcPr>
                <w:p>
                  <w:pPr>
                    <w:pStyle w:val="58"/>
                    <w:jc w:val="center"/>
                    <w:rPr>
                      <w:rFonts w:hint="default" w:eastAsia="宋体"/>
                      <w:kern w:val="2"/>
                      <w:sz w:val="21"/>
                      <w:szCs w:val="24"/>
                      <w:highlight w:val="none"/>
                      <w:lang w:val="en-US" w:eastAsia="zh-CN"/>
                    </w:rPr>
                  </w:pPr>
                  <w:r>
                    <w:rPr>
                      <w:rFonts w:hint="eastAsia"/>
                      <w:kern w:val="2"/>
                      <w:sz w:val="21"/>
                      <w:szCs w:val="24"/>
                      <w:highlight w:val="none"/>
                      <w:lang w:val="en-US" w:eastAsia="zh-CN"/>
                    </w:rPr>
                    <w:t>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widowControl/>
                    <w:jc w:val="center"/>
                    <w:rPr>
                      <w:highlight w:val="none"/>
                    </w:rPr>
                  </w:pPr>
                  <w:r>
                    <w:rPr>
                      <w:rFonts w:hint="eastAsia"/>
                      <w:highlight w:val="none"/>
                    </w:rPr>
                    <w:t>过滤</w:t>
                  </w:r>
                </w:p>
              </w:tc>
              <w:tc>
                <w:tcPr>
                  <w:tcW w:w="671" w:type="pct"/>
                  <w:vAlign w:val="center"/>
                </w:tcPr>
                <w:p>
                  <w:pPr>
                    <w:wordWrap w:val="0"/>
                    <w:jc w:val="center"/>
                    <w:rPr>
                      <w:highlight w:val="none"/>
                    </w:rPr>
                  </w:pPr>
                  <w:r>
                    <w:rPr>
                      <w:rFonts w:hint="eastAsia"/>
                      <w:highlight w:val="none"/>
                    </w:rPr>
                    <w:t>过滤废弃物</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900-099-S13</w:t>
                  </w:r>
                </w:p>
              </w:tc>
              <w:tc>
                <w:tcPr>
                  <w:tcW w:w="453" w:type="pct"/>
                  <w:vAlign w:val="center"/>
                </w:tcPr>
                <w:p>
                  <w:pPr>
                    <w:jc w:val="center"/>
                    <w:rPr>
                      <w:highlight w:val="none"/>
                    </w:rPr>
                  </w:pPr>
                  <w:r>
                    <w:rPr>
                      <w:rFonts w:hint="eastAsia"/>
                      <w:highlight w:val="none"/>
                    </w:rPr>
                    <w:t>液态</w:t>
                  </w:r>
                </w:p>
              </w:tc>
              <w:tc>
                <w:tcPr>
                  <w:tcW w:w="475" w:type="pct"/>
                  <w:vAlign w:val="center"/>
                </w:tcPr>
                <w:p>
                  <w:pPr>
                    <w:pStyle w:val="58"/>
                    <w:jc w:val="center"/>
                    <w:rPr>
                      <w:kern w:val="2"/>
                      <w:sz w:val="21"/>
                      <w:szCs w:val="24"/>
                      <w:highlight w:val="none"/>
                    </w:rPr>
                  </w:pPr>
                  <w:r>
                    <w:rPr>
                      <w:rFonts w:hint="eastAsia"/>
                      <w:kern w:val="2"/>
                      <w:sz w:val="21"/>
                      <w:szCs w:val="24"/>
                      <w:highlight w:val="none"/>
                    </w:rPr>
                    <w:t>25</w:t>
                  </w:r>
                </w:p>
              </w:tc>
              <w:tc>
                <w:tcPr>
                  <w:tcW w:w="458" w:type="pct"/>
                  <w:vAlign w:val="center"/>
                </w:tcPr>
                <w:p>
                  <w:pPr>
                    <w:jc w:val="center"/>
                    <w:rPr>
                      <w:highlight w:val="none"/>
                    </w:rPr>
                  </w:pPr>
                  <w:r>
                    <w:rPr>
                      <w:rFonts w:hint="eastAsia"/>
                      <w:highlight w:val="none"/>
                    </w:rPr>
                    <w:t>桶装</w:t>
                  </w:r>
                </w:p>
              </w:tc>
              <w:tc>
                <w:tcPr>
                  <w:tcW w:w="863" w:type="pct"/>
                  <w:vMerge w:val="restart"/>
                  <w:vAlign w:val="center"/>
                </w:tcPr>
                <w:p>
                  <w:pPr>
                    <w:jc w:val="center"/>
                    <w:rPr>
                      <w:highlight w:val="none"/>
                    </w:rPr>
                  </w:pPr>
                  <w:r>
                    <w:rPr>
                      <w:rFonts w:hint="eastAsia"/>
                      <w:highlight w:val="none"/>
                    </w:rPr>
                    <w:t>一般工业固废暂存区暂存，</w:t>
                  </w:r>
                  <w:r>
                    <w:rPr>
                      <w:rFonts w:hint="eastAsia"/>
                      <w:szCs w:val="21"/>
                      <w:highlight w:val="none"/>
                    </w:rPr>
                    <w:t>收集后外售综合利用。</w:t>
                  </w:r>
                </w:p>
              </w:tc>
              <w:tc>
                <w:tcPr>
                  <w:tcW w:w="528" w:type="pct"/>
                  <w:tcBorders>
                    <w:right w:val="nil"/>
                  </w:tcBorders>
                  <w:vAlign w:val="center"/>
                </w:tcPr>
                <w:p>
                  <w:pPr>
                    <w:pStyle w:val="58"/>
                    <w:jc w:val="center"/>
                    <w:rPr>
                      <w:kern w:val="2"/>
                      <w:sz w:val="21"/>
                      <w:szCs w:val="24"/>
                      <w:highlight w:val="none"/>
                    </w:rPr>
                  </w:pPr>
                  <w:r>
                    <w:rPr>
                      <w:rFonts w:hint="eastAsia"/>
                      <w:kern w:val="2"/>
                      <w:sz w:val="21"/>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widowControl/>
                    <w:jc w:val="center"/>
                    <w:rPr>
                      <w:highlight w:val="none"/>
                    </w:rPr>
                  </w:pPr>
                  <w:r>
                    <w:rPr>
                      <w:rFonts w:hint="eastAsia"/>
                      <w:highlight w:val="none"/>
                    </w:rPr>
                    <w:t>检验</w:t>
                  </w:r>
                </w:p>
              </w:tc>
              <w:tc>
                <w:tcPr>
                  <w:tcW w:w="671" w:type="pct"/>
                  <w:vAlign w:val="center"/>
                </w:tcPr>
                <w:p>
                  <w:pPr>
                    <w:wordWrap w:val="0"/>
                    <w:jc w:val="center"/>
                    <w:rPr>
                      <w:highlight w:val="none"/>
                    </w:rPr>
                  </w:pPr>
                  <w:r>
                    <w:rPr>
                      <w:rFonts w:hint="eastAsia"/>
                      <w:highlight w:val="none"/>
                    </w:rPr>
                    <w:t>不合格品</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900-099-S13</w:t>
                  </w:r>
                </w:p>
              </w:tc>
              <w:tc>
                <w:tcPr>
                  <w:tcW w:w="453" w:type="pct"/>
                  <w:vAlign w:val="center"/>
                </w:tcPr>
                <w:p>
                  <w:pPr>
                    <w:jc w:val="center"/>
                    <w:rPr>
                      <w:highlight w:val="none"/>
                    </w:rPr>
                  </w:pPr>
                  <w:r>
                    <w:rPr>
                      <w:rFonts w:hint="eastAsia"/>
                      <w:highlight w:val="none"/>
                    </w:rPr>
                    <w:t>液态</w:t>
                  </w:r>
                </w:p>
              </w:tc>
              <w:tc>
                <w:tcPr>
                  <w:tcW w:w="475" w:type="pct"/>
                  <w:vAlign w:val="center"/>
                </w:tcPr>
                <w:p>
                  <w:pPr>
                    <w:pStyle w:val="58"/>
                    <w:jc w:val="center"/>
                    <w:rPr>
                      <w:kern w:val="2"/>
                      <w:sz w:val="21"/>
                      <w:szCs w:val="24"/>
                      <w:highlight w:val="none"/>
                    </w:rPr>
                  </w:pPr>
                  <w:r>
                    <w:rPr>
                      <w:rFonts w:hint="eastAsia"/>
                      <w:kern w:val="2"/>
                      <w:sz w:val="21"/>
                      <w:szCs w:val="24"/>
                      <w:highlight w:val="none"/>
                    </w:rPr>
                    <w:t>25</w:t>
                  </w:r>
                </w:p>
              </w:tc>
              <w:tc>
                <w:tcPr>
                  <w:tcW w:w="458" w:type="pct"/>
                  <w:vAlign w:val="center"/>
                </w:tcPr>
                <w:p>
                  <w:pPr>
                    <w:jc w:val="center"/>
                    <w:rPr>
                      <w:highlight w:val="none"/>
                    </w:rPr>
                  </w:pPr>
                  <w:r>
                    <w:rPr>
                      <w:rFonts w:hint="eastAsia"/>
                      <w:highlight w:val="none"/>
                    </w:rPr>
                    <w:t>桶装</w:t>
                  </w:r>
                </w:p>
              </w:tc>
              <w:tc>
                <w:tcPr>
                  <w:tcW w:w="863" w:type="pct"/>
                  <w:vMerge w:val="continue"/>
                  <w:vAlign w:val="center"/>
                </w:tcPr>
                <w:p>
                  <w:pPr>
                    <w:jc w:val="center"/>
                    <w:rPr>
                      <w:highlight w:val="none"/>
                    </w:rPr>
                  </w:pPr>
                </w:p>
              </w:tc>
              <w:tc>
                <w:tcPr>
                  <w:tcW w:w="528" w:type="pct"/>
                  <w:tcBorders>
                    <w:right w:val="nil"/>
                  </w:tcBorders>
                  <w:vAlign w:val="center"/>
                </w:tcPr>
                <w:p>
                  <w:pPr>
                    <w:pStyle w:val="58"/>
                    <w:jc w:val="center"/>
                    <w:rPr>
                      <w:kern w:val="2"/>
                      <w:sz w:val="21"/>
                      <w:szCs w:val="24"/>
                      <w:highlight w:val="none"/>
                    </w:rPr>
                  </w:pPr>
                  <w:r>
                    <w:rPr>
                      <w:rFonts w:hint="eastAsia"/>
                      <w:kern w:val="2"/>
                      <w:sz w:val="21"/>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7" w:type="pct"/>
                  <w:tcBorders>
                    <w:left w:val="nil"/>
                  </w:tcBorders>
                  <w:vAlign w:val="center"/>
                </w:tcPr>
                <w:p>
                  <w:pPr>
                    <w:widowControl/>
                    <w:jc w:val="center"/>
                    <w:rPr>
                      <w:highlight w:val="none"/>
                    </w:rPr>
                  </w:pPr>
                  <w:r>
                    <w:rPr>
                      <w:rFonts w:hint="eastAsia"/>
                      <w:highlight w:val="none"/>
                    </w:rPr>
                    <w:t>包装</w:t>
                  </w:r>
                </w:p>
              </w:tc>
              <w:tc>
                <w:tcPr>
                  <w:tcW w:w="671" w:type="pct"/>
                  <w:vAlign w:val="center"/>
                </w:tcPr>
                <w:p>
                  <w:pPr>
                    <w:wordWrap w:val="0"/>
                    <w:jc w:val="center"/>
                    <w:rPr>
                      <w:highlight w:val="none"/>
                    </w:rPr>
                  </w:pPr>
                  <w:r>
                    <w:rPr>
                      <w:rFonts w:hint="eastAsia"/>
                      <w:highlight w:val="none"/>
                    </w:rPr>
                    <w:t>废包装材料</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900-003-S17</w:t>
                  </w:r>
                </w:p>
              </w:tc>
              <w:tc>
                <w:tcPr>
                  <w:tcW w:w="453" w:type="pct"/>
                  <w:vAlign w:val="center"/>
                </w:tcPr>
                <w:p>
                  <w:pPr>
                    <w:jc w:val="center"/>
                    <w:rPr>
                      <w:highlight w:val="none"/>
                    </w:rPr>
                  </w:pPr>
                  <w:r>
                    <w:rPr>
                      <w:rFonts w:hint="eastAsia"/>
                      <w:highlight w:val="none"/>
                    </w:rPr>
                    <w:t>固态</w:t>
                  </w:r>
                </w:p>
              </w:tc>
              <w:tc>
                <w:tcPr>
                  <w:tcW w:w="475" w:type="pct"/>
                  <w:vAlign w:val="center"/>
                </w:tcPr>
                <w:p>
                  <w:pPr>
                    <w:pStyle w:val="58"/>
                    <w:jc w:val="center"/>
                    <w:rPr>
                      <w:kern w:val="2"/>
                      <w:sz w:val="21"/>
                      <w:szCs w:val="24"/>
                      <w:highlight w:val="none"/>
                    </w:rPr>
                  </w:pPr>
                  <w:r>
                    <w:rPr>
                      <w:rFonts w:hint="eastAsia"/>
                      <w:kern w:val="2"/>
                      <w:sz w:val="21"/>
                      <w:szCs w:val="24"/>
                      <w:highlight w:val="none"/>
                    </w:rPr>
                    <w:t>0.5</w:t>
                  </w:r>
                </w:p>
              </w:tc>
              <w:tc>
                <w:tcPr>
                  <w:tcW w:w="458" w:type="pct"/>
                  <w:vAlign w:val="center"/>
                </w:tcPr>
                <w:p>
                  <w:pPr>
                    <w:jc w:val="center"/>
                    <w:rPr>
                      <w:highlight w:val="none"/>
                    </w:rPr>
                  </w:pPr>
                  <w:r>
                    <w:rPr>
                      <w:rFonts w:hint="eastAsia"/>
                      <w:highlight w:val="none"/>
                    </w:rPr>
                    <w:t>袋装</w:t>
                  </w:r>
                </w:p>
              </w:tc>
              <w:tc>
                <w:tcPr>
                  <w:tcW w:w="863" w:type="pct"/>
                  <w:vMerge w:val="continue"/>
                  <w:vAlign w:val="center"/>
                </w:tcPr>
                <w:p>
                  <w:pPr>
                    <w:jc w:val="center"/>
                    <w:rPr>
                      <w:highlight w:val="none"/>
                    </w:rPr>
                  </w:pPr>
                </w:p>
              </w:tc>
              <w:tc>
                <w:tcPr>
                  <w:tcW w:w="528" w:type="pct"/>
                  <w:tcBorders>
                    <w:right w:val="nil"/>
                  </w:tcBorders>
                  <w:vAlign w:val="center"/>
                </w:tcPr>
                <w:p>
                  <w:pPr>
                    <w:pStyle w:val="58"/>
                    <w:jc w:val="center"/>
                    <w:rPr>
                      <w:kern w:val="2"/>
                      <w:sz w:val="21"/>
                      <w:szCs w:val="24"/>
                      <w:highlight w:val="none"/>
                    </w:rPr>
                  </w:pPr>
                  <w:r>
                    <w:rPr>
                      <w:rFonts w:hint="eastAsia"/>
                      <w:kern w:val="2"/>
                      <w:sz w:val="21"/>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color w:val="0000FF"/>
                      <w:highlight w:val="none"/>
                    </w:rPr>
                  </w:pPr>
                  <w:r>
                    <w:rPr>
                      <w:rFonts w:hint="eastAsia"/>
                      <w:color w:val="0000FF"/>
                      <w:highlight w:val="none"/>
                    </w:rPr>
                    <w:t>污水处理</w:t>
                  </w:r>
                </w:p>
              </w:tc>
              <w:tc>
                <w:tcPr>
                  <w:tcW w:w="671" w:type="pct"/>
                  <w:vAlign w:val="center"/>
                </w:tcPr>
                <w:p>
                  <w:pPr>
                    <w:wordWrap w:val="0"/>
                    <w:jc w:val="center"/>
                    <w:rPr>
                      <w:color w:val="0000FF"/>
                      <w:szCs w:val="21"/>
                      <w:highlight w:val="none"/>
                    </w:rPr>
                  </w:pPr>
                  <w:r>
                    <w:rPr>
                      <w:color w:val="0000FF"/>
                      <w:szCs w:val="21"/>
                      <w:highlight w:val="none"/>
                    </w:rPr>
                    <w:t>污水处理站污泥</w:t>
                  </w:r>
                </w:p>
              </w:tc>
              <w:tc>
                <w:tcPr>
                  <w:tcW w:w="431" w:type="pct"/>
                  <w:vMerge w:val="continue"/>
                  <w:vAlign w:val="center"/>
                </w:tcPr>
                <w:p>
                  <w:pPr>
                    <w:jc w:val="center"/>
                    <w:rPr>
                      <w:color w:val="0000FF"/>
                      <w:highlight w:val="none"/>
                    </w:rPr>
                  </w:pPr>
                </w:p>
              </w:tc>
              <w:tc>
                <w:tcPr>
                  <w:tcW w:w="540" w:type="pct"/>
                  <w:vAlign w:val="center"/>
                </w:tcPr>
                <w:p>
                  <w:pPr>
                    <w:jc w:val="center"/>
                    <w:rPr>
                      <w:color w:val="0000FF"/>
                      <w:highlight w:val="none"/>
                    </w:rPr>
                  </w:pPr>
                  <w:r>
                    <w:rPr>
                      <w:rFonts w:hint="eastAsia"/>
                      <w:color w:val="0000FF"/>
                      <w:highlight w:val="none"/>
                    </w:rPr>
                    <w:t>140-001-S07</w:t>
                  </w:r>
                </w:p>
              </w:tc>
              <w:tc>
                <w:tcPr>
                  <w:tcW w:w="453" w:type="pct"/>
                  <w:vAlign w:val="center"/>
                </w:tcPr>
                <w:p>
                  <w:pPr>
                    <w:jc w:val="center"/>
                    <w:rPr>
                      <w:color w:val="0000FF"/>
                      <w:highlight w:val="none"/>
                    </w:rPr>
                  </w:pPr>
                  <w:r>
                    <w:rPr>
                      <w:rFonts w:hint="eastAsia"/>
                      <w:color w:val="0000FF"/>
                      <w:highlight w:val="none"/>
                    </w:rPr>
                    <w:t>固态</w:t>
                  </w:r>
                </w:p>
              </w:tc>
              <w:tc>
                <w:tcPr>
                  <w:tcW w:w="475" w:type="pct"/>
                  <w:vAlign w:val="center"/>
                </w:tcPr>
                <w:p>
                  <w:pPr>
                    <w:pStyle w:val="58"/>
                    <w:jc w:val="center"/>
                    <w:rPr>
                      <w:rFonts w:hint="default" w:eastAsia="宋体"/>
                      <w:color w:val="0000FF"/>
                      <w:kern w:val="2"/>
                      <w:sz w:val="21"/>
                      <w:szCs w:val="24"/>
                      <w:highlight w:val="none"/>
                      <w:lang w:val="en-US" w:eastAsia="zh-CN"/>
                    </w:rPr>
                  </w:pPr>
                  <w:r>
                    <w:rPr>
                      <w:rFonts w:hint="eastAsia"/>
                      <w:color w:val="0000FF"/>
                      <w:kern w:val="2"/>
                      <w:sz w:val="21"/>
                      <w:szCs w:val="24"/>
                      <w:highlight w:val="none"/>
                      <w:lang w:val="en-US" w:eastAsia="zh-CN"/>
                    </w:rPr>
                    <w:t>17.05</w:t>
                  </w:r>
                </w:p>
              </w:tc>
              <w:tc>
                <w:tcPr>
                  <w:tcW w:w="458" w:type="pct"/>
                  <w:vAlign w:val="center"/>
                </w:tcPr>
                <w:p>
                  <w:pPr>
                    <w:jc w:val="center"/>
                    <w:rPr>
                      <w:color w:val="0000FF"/>
                      <w:highlight w:val="none"/>
                    </w:rPr>
                  </w:pPr>
                  <w:r>
                    <w:rPr>
                      <w:rFonts w:hint="eastAsia"/>
                      <w:color w:val="0000FF"/>
                      <w:highlight w:val="none"/>
                    </w:rPr>
                    <w:t>袋装</w:t>
                  </w:r>
                </w:p>
              </w:tc>
              <w:tc>
                <w:tcPr>
                  <w:tcW w:w="863" w:type="pct"/>
                  <w:vAlign w:val="center"/>
                </w:tcPr>
                <w:p>
                  <w:pPr>
                    <w:jc w:val="center"/>
                    <w:rPr>
                      <w:color w:val="0000FF"/>
                      <w:highlight w:val="none"/>
                    </w:rPr>
                  </w:pPr>
                  <w:r>
                    <w:rPr>
                      <w:rFonts w:hint="eastAsia"/>
                      <w:color w:val="0000FF"/>
                      <w:highlight w:val="none"/>
                    </w:rPr>
                    <w:t>一般工业固废暂存区暂存，交有关单位进行无害化处理</w:t>
                  </w:r>
                </w:p>
              </w:tc>
              <w:tc>
                <w:tcPr>
                  <w:tcW w:w="528" w:type="pct"/>
                  <w:tcBorders>
                    <w:right w:val="nil"/>
                  </w:tcBorders>
                  <w:vAlign w:val="center"/>
                </w:tcPr>
                <w:p>
                  <w:pPr>
                    <w:pStyle w:val="58"/>
                    <w:jc w:val="center"/>
                    <w:rPr>
                      <w:rFonts w:hint="default" w:eastAsia="宋体"/>
                      <w:color w:val="0000FF"/>
                      <w:kern w:val="2"/>
                      <w:sz w:val="21"/>
                      <w:szCs w:val="24"/>
                      <w:highlight w:val="none"/>
                      <w:lang w:val="en-US" w:eastAsia="zh-CN"/>
                    </w:rPr>
                  </w:pPr>
                  <w:r>
                    <w:rPr>
                      <w:rFonts w:hint="eastAsia"/>
                      <w:color w:val="0000FF"/>
                      <w:kern w:val="2"/>
                      <w:sz w:val="21"/>
                      <w:szCs w:val="24"/>
                      <w:highlight w:val="none"/>
                      <w:lang w:val="en-US" w:eastAsia="zh-CN"/>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vMerge w:val="restart"/>
                  <w:tcBorders>
                    <w:left w:val="nil"/>
                  </w:tcBorders>
                  <w:vAlign w:val="center"/>
                </w:tcPr>
                <w:p>
                  <w:pPr>
                    <w:jc w:val="center"/>
                    <w:rPr>
                      <w:highlight w:val="none"/>
                    </w:rPr>
                  </w:pPr>
                  <w:r>
                    <w:rPr>
                      <w:rFonts w:hint="eastAsia"/>
                      <w:highlight w:val="none"/>
                    </w:rPr>
                    <w:t>废气处理</w:t>
                  </w:r>
                </w:p>
              </w:tc>
              <w:tc>
                <w:tcPr>
                  <w:tcW w:w="671" w:type="pct"/>
                  <w:vAlign w:val="center"/>
                </w:tcPr>
                <w:p>
                  <w:pPr>
                    <w:wordWrap w:val="0"/>
                    <w:jc w:val="center"/>
                    <w:rPr>
                      <w:szCs w:val="21"/>
                      <w:highlight w:val="none"/>
                    </w:rPr>
                  </w:pPr>
                  <w:r>
                    <w:rPr>
                      <w:rFonts w:hint="eastAsia"/>
                      <w:szCs w:val="21"/>
                      <w:highlight w:val="none"/>
                    </w:rPr>
                    <w:t>废布袋</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900-009-S59</w:t>
                  </w:r>
                </w:p>
              </w:tc>
              <w:tc>
                <w:tcPr>
                  <w:tcW w:w="453" w:type="pct"/>
                  <w:vAlign w:val="center"/>
                </w:tcPr>
                <w:p>
                  <w:pPr>
                    <w:jc w:val="center"/>
                    <w:rPr>
                      <w:highlight w:val="none"/>
                    </w:rPr>
                  </w:pPr>
                  <w:r>
                    <w:rPr>
                      <w:rFonts w:hint="eastAsia"/>
                      <w:highlight w:val="none"/>
                    </w:rPr>
                    <w:t>固态</w:t>
                  </w:r>
                </w:p>
              </w:tc>
              <w:tc>
                <w:tcPr>
                  <w:tcW w:w="475" w:type="pct"/>
                  <w:vAlign w:val="center"/>
                </w:tcPr>
                <w:p>
                  <w:pPr>
                    <w:pStyle w:val="58"/>
                    <w:jc w:val="center"/>
                    <w:rPr>
                      <w:kern w:val="2"/>
                      <w:sz w:val="21"/>
                      <w:szCs w:val="24"/>
                      <w:highlight w:val="none"/>
                    </w:rPr>
                  </w:pPr>
                  <w:r>
                    <w:rPr>
                      <w:rFonts w:hint="eastAsia"/>
                      <w:kern w:val="2"/>
                      <w:sz w:val="21"/>
                      <w:szCs w:val="24"/>
                      <w:highlight w:val="none"/>
                    </w:rPr>
                    <w:t>0.2</w:t>
                  </w:r>
                </w:p>
              </w:tc>
              <w:tc>
                <w:tcPr>
                  <w:tcW w:w="458" w:type="pct"/>
                  <w:vAlign w:val="center"/>
                </w:tcPr>
                <w:p>
                  <w:pPr>
                    <w:jc w:val="center"/>
                    <w:rPr>
                      <w:highlight w:val="none"/>
                    </w:rPr>
                  </w:pPr>
                  <w:r>
                    <w:rPr>
                      <w:rFonts w:hint="eastAsia"/>
                      <w:highlight w:val="none"/>
                    </w:rPr>
                    <w:t>袋装</w:t>
                  </w:r>
                </w:p>
              </w:tc>
              <w:tc>
                <w:tcPr>
                  <w:tcW w:w="863" w:type="pct"/>
                  <w:vMerge w:val="restart"/>
                  <w:vAlign w:val="center"/>
                </w:tcPr>
                <w:p>
                  <w:pPr>
                    <w:jc w:val="center"/>
                    <w:rPr>
                      <w:highlight w:val="none"/>
                    </w:rPr>
                  </w:pPr>
                  <w:r>
                    <w:rPr>
                      <w:rFonts w:hint="eastAsia"/>
                      <w:highlight w:val="none"/>
                    </w:rPr>
                    <w:t>一般工业固废暂存区暂存，</w:t>
                  </w:r>
                  <w:r>
                    <w:rPr>
                      <w:rFonts w:hint="eastAsia"/>
                      <w:szCs w:val="21"/>
                      <w:highlight w:val="none"/>
                    </w:rPr>
                    <w:t>收集后外售综合利用。</w:t>
                  </w:r>
                </w:p>
              </w:tc>
              <w:tc>
                <w:tcPr>
                  <w:tcW w:w="528" w:type="pct"/>
                  <w:tcBorders>
                    <w:right w:val="nil"/>
                  </w:tcBorders>
                  <w:vAlign w:val="center"/>
                </w:tcPr>
                <w:p>
                  <w:pPr>
                    <w:pStyle w:val="58"/>
                    <w:jc w:val="center"/>
                    <w:rPr>
                      <w:kern w:val="2"/>
                      <w:sz w:val="21"/>
                      <w:szCs w:val="24"/>
                      <w:highlight w:val="none"/>
                    </w:rPr>
                  </w:pPr>
                  <w:r>
                    <w:rPr>
                      <w:rFonts w:hint="eastAsia"/>
                      <w:kern w:val="2"/>
                      <w:sz w:val="21"/>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vMerge w:val="continue"/>
                  <w:tcBorders>
                    <w:left w:val="nil"/>
                  </w:tcBorders>
                  <w:vAlign w:val="center"/>
                </w:tcPr>
                <w:p>
                  <w:pPr>
                    <w:jc w:val="center"/>
                    <w:rPr>
                      <w:highlight w:val="none"/>
                    </w:rPr>
                  </w:pPr>
                </w:p>
              </w:tc>
              <w:tc>
                <w:tcPr>
                  <w:tcW w:w="671" w:type="pct"/>
                  <w:vAlign w:val="center"/>
                </w:tcPr>
                <w:p>
                  <w:pPr>
                    <w:wordWrap w:val="0"/>
                    <w:jc w:val="center"/>
                    <w:rPr>
                      <w:szCs w:val="21"/>
                      <w:highlight w:val="none"/>
                    </w:rPr>
                  </w:pPr>
                  <w:r>
                    <w:rPr>
                      <w:rFonts w:hint="eastAsia"/>
                      <w:szCs w:val="21"/>
                      <w:highlight w:val="none"/>
                    </w:rPr>
                    <w:t>除尘灰</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900-099-S59</w:t>
                  </w:r>
                </w:p>
              </w:tc>
              <w:tc>
                <w:tcPr>
                  <w:tcW w:w="453" w:type="pct"/>
                  <w:vAlign w:val="center"/>
                </w:tcPr>
                <w:p>
                  <w:pPr>
                    <w:jc w:val="center"/>
                    <w:rPr>
                      <w:highlight w:val="none"/>
                    </w:rPr>
                  </w:pPr>
                  <w:r>
                    <w:rPr>
                      <w:rFonts w:hint="eastAsia"/>
                      <w:highlight w:val="none"/>
                    </w:rPr>
                    <w:t>固态</w:t>
                  </w:r>
                </w:p>
              </w:tc>
              <w:tc>
                <w:tcPr>
                  <w:tcW w:w="475" w:type="pct"/>
                  <w:vAlign w:val="center"/>
                </w:tcPr>
                <w:p>
                  <w:pPr>
                    <w:pStyle w:val="58"/>
                    <w:jc w:val="center"/>
                    <w:rPr>
                      <w:rFonts w:hint="default" w:eastAsia="宋体"/>
                      <w:kern w:val="2"/>
                      <w:sz w:val="21"/>
                      <w:szCs w:val="24"/>
                      <w:highlight w:val="none"/>
                      <w:lang w:val="en-US" w:eastAsia="zh-CN"/>
                    </w:rPr>
                  </w:pPr>
                  <w:r>
                    <w:rPr>
                      <w:rFonts w:hint="eastAsia"/>
                      <w:kern w:val="2"/>
                      <w:sz w:val="21"/>
                      <w:szCs w:val="24"/>
                      <w:highlight w:val="none"/>
                      <w:lang w:val="en-US" w:eastAsia="zh-CN"/>
                    </w:rPr>
                    <w:t>0.8</w:t>
                  </w:r>
                </w:p>
              </w:tc>
              <w:tc>
                <w:tcPr>
                  <w:tcW w:w="458" w:type="pct"/>
                  <w:vAlign w:val="center"/>
                </w:tcPr>
                <w:p>
                  <w:pPr>
                    <w:jc w:val="center"/>
                    <w:rPr>
                      <w:highlight w:val="none"/>
                    </w:rPr>
                  </w:pPr>
                  <w:r>
                    <w:rPr>
                      <w:rFonts w:hint="eastAsia"/>
                      <w:highlight w:val="none"/>
                    </w:rPr>
                    <w:t>袋装</w:t>
                  </w:r>
                </w:p>
              </w:tc>
              <w:tc>
                <w:tcPr>
                  <w:tcW w:w="863" w:type="pct"/>
                  <w:vMerge w:val="continue"/>
                  <w:vAlign w:val="center"/>
                </w:tcPr>
                <w:p>
                  <w:pPr>
                    <w:jc w:val="center"/>
                    <w:rPr>
                      <w:highlight w:val="none"/>
                    </w:rPr>
                  </w:pPr>
                </w:p>
              </w:tc>
              <w:tc>
                <w:tcPr>
                  <w:tcW w:w="528" w:type="pct"/>
                  <w:tcBorders>
                    <w:right w:val="nil"/>
                  </w:tcBorders>
                  <w:vAlign w:val="center"/>
                </w:tcPr>
                <w:p>
                  <w:pPr>
                    <w:pStyle w:val="58"/>
                    <w:jc w:val="center"/>
                    <w:rPr>
                      <w:kern w:val="2"/>
                      <w:sz w:val="21"/>
                      <w:szCs w:val="24"/>
                      <w:highlight w:val="none"/>
                    </w:rPr>
                  </w:pPr>
                  <w:r>
                    <w:rPr>
                      <w:rFonts w:hint="eastAsia"/>
                      <w:kern w:val="2"/>
                      <w:sz w:val="21"/>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7" w:type="pct"/>
                  <w:vMerge w:val="restart"/>
                  <w:tcBorders>
                    <w:left w:val="nil"/>
                  </w:tcBorders>
                  <w:vAlign w:val="center"/>
                </w:tcPr>
                <w:p>
                  <w:pPr>
                    <w:jc w:val="center"/>
                    <w:rPr>
                      <w:rFonts w:hint="eastAsia" w:eastAsia="宋体"/>
                      <w:color w:val="0000FF"/>
                      <w:highlight w:val="none"/>
                      <w:lang w:val="en-US" w:eastAsia="zh-CN"/>
                    </w:rPr>
                  </w:pPr>
                  <w:r>
                    <w:rPr>
                      <w:rFonts w:hint="eastAsia"/>
                      <w:color w:val="0000FF"/>
                      <w:highlight w:val="none"/>
                      <w:lang w:val="en-US" w:eastAsia="zh-CN"/>
                    </w:rPr>
                    <w:t>锅炉</w:t>
                  </w:r>
                </w:p>
              </w:tc>
              <w:tc>
                <w:tcPr>
                  <w:tcW w:w="671" w:type="pct"/>
                  <w:vAlign w:val="center"/>
                </w:tcPr>
                <w:p>
                  <w:pPr>
                    <w:wordWrap w:val="0"/>
                    <w:jc w:val="center"/>
                    <w:rPr>
                      <w:rFonts w:hint="eastAsia" w:eastAsia="宋体"/>
                      <w:color w:val="0000FF"/>
                      <w:szCs w:val="21"/>
                      <w:highlight w:val="none"/>
                      <w:lang w:val="en-US" w:eastAsia="zh-CN"/>
                    </w:rPr>
                  </w:pPr>
                  <w:r>
                    <w:rPr>
                      <w:rFonts w:hint="eastAsia"/>
                      <w:color w:val="0000FF"/>
                      <w:szCs w:val="21"/>
                      <w:highlight w:val="none"/>
                      <w:lang w:val="en-US" w:eastAsia="zh-CN"/>
                    </w:rPr>
                    <w:t>炉渣</w:t>
                  </w:r>
                </w:p>
              </w:tc>
              <w:tc>
                <w:tcPr>
                  <w:tcW w:w="431" w:type="pct"/>
                  <w:vMerge w:val="restart"/>
                  <w:vAlign w:val="center"/>
                </w:tcPr>
                <w:p>
                  <w:pPr>
                    <w:jc w:val="center"/>
                    <w:rPr>
                      <w:color w:val="0000FF"/>
                      <w:highlight w:val="none"/>
                    </w:rPr>
                  </w:pPr>
                  <w:r>
                    <w:rPr>
                      <w:rFonts w:hint="eastAsia"/>
                      <w:color w:val="0000FF"/>
                      <w:highlight w:val="none"/>
                    </w:rPr>
                    <w:t>一般工业固废</w:t>
                  </w:r>
                </w:p>
              </w:tc>
              <w:tc>
                <w:tcPr>
                  <w:tcW w:w="540" w:type="pct"/>
                  <w:vAlign w:val="center"/>
                </w:tcPr>
                <w:p>
                  <w:pPr>
                    <w:jc w:val="center"/>
                    <w:rPr>
                      <w:rFonts w:hint="eastAsia"/>
                      <w:color w:val="0000FF"/>
                      <w:highlight w:val="none"/>
                    </w:rPr>
                  </w:pPr>
                  <w:r>
                    <w:rPr>
                      <w:rFonts w:hint="default"/>
                      <w:color w:val="0000FF"/>
                      <w:highlight w:val="none"/>
                      <w:lang w:val="en-US" w:eastAsia="zh-CN"/>
                    </w:rPr>
                    <w:t>900-099-S</w:t>
                  </w:r>
                  <w:r>
                    <w:rPr>
                      <w:rFonts w:hint="eastAsia"/>
                      <w:color w:val="0000FF"/>
                      <w:highlight w:val="none"/>
                      <w:lang w:val="en-US" w:eastAsia="zh-CN"/>
                    </w:rPr>
                    <w:t>03</w:t>
                  </w:r>
                </w:p>
              </w:tc>
              <w:tc>
                <w:tcPr>
                  <w:tcW w:w="453" w:type="pct"/>
                  <w:vAlign w:val="center"/>
                </w:tcPr>
                <w:p>
                  <w:pPr>
                    <w:jc w:val="center"/>
                    <w:rPr>
                      <w:rFonts w:hint="eastAsia"/>
                      <w:color w:val="0000FF"/>
                      <w:highlight w:val="none"/>
                    </w:rPr>
                  </w:pPr>
                  <w:r>
                    <w:rPr>
                      <w:rFonts w:hint="eastAsia"/>
                      <w:color w:val="0000FF"/>
                      <w:highlight w:val="none"/>
                    </w:rPr>
                    <w:t>固态</w:t>
                  </w:r>
                </w:p>
              </w:tc>
              <w:tc>
                <w:tcPr>
                  <w:tcW w:w="475" w:type="pct"/>
                  <w:vAlign w:val="center"/>
                </w:tcPr>
                <w:p>
                  <w:pPr>
                    <w:pStyle w:val="58"/>
                    <w:jc w:val="center"/>
                    <w:rPr>
                      <w:rFonts w:hint="default" w:eastAsia="宋体"/>
                      <w:color w:val="0000FF"/>
                      <w:kern w:val="2"/>
                      <w:sz w:val="21"/>
                      <w:szCs w:val="24"/>
                      <w:highlight w:val="none"/>
                      <w:lang w:val="en-US" w:eastAsia="zh-CN"/>
                    </w:rPr>
                  </w:pPr>
                  <w:r>
                    <w:rPr>
                      <w:rFonts w:hint="eastAsia"/>
                      <w:color w:val="0000FF"/>
                      <w:kern w:val="2"/>
                      <w:sz w:val="21"/>
                      <w:szCs w:val="24"/>
                      <w:highlight w:val="none"/>
                      <w:lang w:val="en-US" w:eastAsia="zh-CN"/>
                    </w:rPr>
                    <w:t>28.4</w:t>
                  </w:r>
                </w:p>
              </w:tc>
              <w:tc>
                <w:tcPr>
                  <w:tcW w:w="458" w:type="pct"/>
                  <w:vAlign w:val="center"/>
                </w:tcPr>
                <w:p>
                  <w:pPr>
                    <w:jc w:val="center"/>
                    <w:rPr>
                      <w:rFonts w:hint="eastAsia"/>
                      <w:color w:val="0000FF"/>
                      <w:highlight w:val="none"/>
                    </w:rPr>
                  </w:pPr>
                  <w:r>
                    <w:rPr>
                      <w:rFonts w:hint="eastAsia"/>
                      <w:color w:val="0000FF"/>
                      <w:highlight w:val="none"/>
                    </w:rPr>
                    <w:t>袋装</w:t>
                  </w:r>
                </w:p>
              </w:tc>
              <w:tc>
                <w:tcPr>
                  <w:tcW w:w="863" w:type="pct"/>
                  <w:vAlign w:val="center"/>
                </w:tcPr>
                <w:p>
                  <w:pPr>
                    <w:jc w:val="center"/>
                    <w:rPr>
                      <w:rFonts w:hint="default"/>
                      <w:highlight w:val="none"/>
                      <w:lang w:val="en-US" w:eastAsia="zh-CN"/>
                    </w:rPr>
                  </w:pPr>
                  <w:r>
                    <w:rPr>
                      <w:rFonts w:hint="eastAsia"/>
                      <w:highlight w:val="none"/>
                      <w:lang w:val="en-US" w:eastAsia="zh-CN"/>
                    </w:rPr>
                    <w:t>生物质燃料仓库暂存，收集后外售综合利用</w:t>
                  </w:r>
                </w:p>
              </w:tc>
              <w:tc>
                <w:tcPr>
                  <w:tcW w:w="528" w:type="pct"/>
                  <w:tcBorders>
                    <w:right w:val="nil"/>
                  </w:tcBorders>
                  <w:vAlign w:val="center"/>
                </w:tcPr>
                <w:p>
                  <w:pPr>
                    <w:pStyle w:val="58"/>
                    <w:jc w:val="center"/>
                    <w:rPr>
                      <w:rFonts w:hint="default" w:eastAsia="宋体"/>
                      <w:kern w:val="2"/>
                      <w:sz w:val="21"/>
                      <w:szCs w:val="24"/>
                      <w:highlight w:val="none"/>
                      <w:lang w:val="en-US" w:eastAsia="zh-CN"/>
                    </w:rPr>
                  </w:pPr>
                  <w:r>
                    <w:rPr>
                      <w:rFonts w:hint="eastAsia"/>
                      <w:kern w:val="2"/>
                      <w:sz w:val="21"/>
                      <w:szCs w:val="24"/>
                      <w:highlight w:val="none"/>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vMerge w:val="continue"/>
                  <w:tcBorders>
                    <w:left w:val="nil"/>
                  </w:tcBorders>
                  <w:vAlign w:val="center"/>
                </w:tcPr>
                <w:p>
                  <w:pPr>
                    <w:jc w:val="center"/>
                    <w:rPr>
                      <w:rFonts w:hint="eastAsia"/>
                      <w:color w:val="0000FF"/>
                      <w:highlight w:val="none"/>
                      <w:lang w:val="en-US" w:eastAsia="zh-CN"/>
                    </w:rPr>
                  </w:pPr>
                </w:p>
              </w:tc>
              <w:tc>
                <w:tcPr>
                  <w:tcW w:w="671" w:type="pct"/>
                  <w:vAlign w:val="center"/>
                </w:tcPr>
                <w:p>
                  <w:pPr>
                    <w:wordWrap w:val="0"/>
                    <w:jc w:val="center"/>
                    <w:rPr>
                      <w:rFonts w:hint="default"/>
                      <w:color w:val="0000FF"/>
                      <w:szCs w:val="21"/>
                      <w:highlight w:val="none"/>
                      <w:lang w:val="en-US" w:eastAsia="zh-CN"/>
                    </w:rPr>
                  </w:pPr>
                  <w:r>
                    <w:rPr>
                      <w:rFonts w:hint="eastAsia"/>
                      <w:color w:val="0000FF"/>
                      <w:szCs w:val="21"/>
                      <w:highlight w:val="none"/>
                      <w:lang w:val="en-US" w:eastAsia="zh-CN"/>
                    </w:rPr>
                    <w:t>废离子交换树脂</w:t>
                  </w:r>
                </w:p>
              </w:tc>
              <w:tc>
                <w:tcPr>
                  <w:tcW w:w="431" w:type="pct"/>
                  <w:vMerge w:val="continue"/>
                  <w:vAlign w:val="center"/>
                </w:tcPr>
                <w:p>
                  <w:pPr>
                    <w:jc w:val="center"/>
                    <w:rPr>
                      <w:color w:val="0000FF"/>
                      <w:highlight w:val="none"/>
                    </w:rPr>
                  </w:pPr>
                </w:p>
              </w:tc>
              <w:tc>
                <w:tcPr>
                  <w:tcW w:w="540" w:type="pct"/>
                  <w:vAlign w:val="center"/>
                </w:tcPr>
                <w:p>
                  <w:pPr>
                    <w:jc w:val="center"/>
                    <w:rPr>
                      <w:rFonts w:hint="eastAsia"/>
                      <w:color w:val="0000FF"/>
                      <w:highlight w:val="none"/>
                    </w:rPr>
                  </w:pPr>
                  <w:r>
                    <w:rPr>
                      <w:rFonts w:hint="eastAsia"/>
                      <w:color w:val="0000FF"/>
                      <w:highlight w:val="none"/>
                    </w:rPr>
                    <w:t>900-099-S59</w:t>
                  </w:r>
                </w:p>
              </w:tc>
              <w:tc>
                <w:tcPr>
                  <w:tcW w:w="453" w:type="pct"/>
                  <w:vAlign w:val="center"/>
                </w:tcPr>
                <w:p>
                  <w:pPr>
                    <w:jc w:val="center"/>
                    <w:rPr>
                      <w:rFonts w:hint="eastAsia"/>
                      <w:color w:val="0000FF"/>
                      <w:highlight w:val="none"/>
                    </w:rPr>
                  </w:pPr>
                  <w:r>
                    <w:rPr>
                      <w:rFonts w:hint="eastAsia"/>
                      <w:color w:val="0000FF"/>
                      <w:highlight w:val="none"/>
                    </w:rPr>
                    <w:t>固态</w:t>
                  </w:r>
                </w:p>
              </w:tc>
              <w:tc>
                <w:tcPr>
                  <w:tcW w:w="475" w:type="pct"/>
                  <w:vAlign w:val="center"/>
                </w:tcPr>
                <w:p>
                  <w:pPr>
                    <w:pStyle w:val="58"/>
                    <w:jc w:val="center"/>
                    <w:rPr>
                      <w:rFonts w:hint="default" w:eastAsia="宋体"/>
                      <w:color w:val="0000FF"/>
                      <w:kern w:val="2"/>
                      <w:sz w:val="21"/>
                      <w:szCs w:val="24"/>
                      <w:highlight w:val="none"/>
                      <w:lang w:val="en-US" w:eastAsia="zh-CN"/>
                    </w:rPr>
                  </w:pPr>
                  <w:r>
                    <w:rPr>
                      <w:rFonts w:hint="eastAsia"/>
                      <w:color w:val="0000FF"/>
                      <w:kern w:val="2"/>
                      <w:sz w:val="21"/>
                      <w:szCs w:val="24"/>
                      <w:highlight w:val="none"/>
                      <w:lang w:val="en-US" w:eastAsia="zh-CN"/>
                    </w:rPr>
                    <w:t>0.3</w:t>
                  </w:r>
                </w:p>
              </w:tc>
              <w:tc>
                <w:tcPr>
                  <w:tcW w:w="458" w:type="pct"/>
                  <w:vAlign w:val="center"/>
                </w:tcPr>
                <w:p>
                  <w:pPr>
                    <w:jc w:val="center"/>
                    <w:rPr>
                      <w:rFonts w:hint="eastAsia"/>
                      <w:color w:val="0000FF"/>
                      <w:highlight w:val="none"/>
                    </w:rPr>
                  </w:pPr>
                  <w:r>
                    <w:rPr>
                      <w:rFonts w:hint="eastAsia"/>
                      <w:color w:val="0000FF"/>
                      <w:highlight w:val="none"/>
                    </w:rPr>
                    <w:t>袋装</w:t>
                  </w:r>
                </w:p>
              </w:tc>
              <w:tc>
                <w:tcPr>
                  <w:tcW w:w="863" w:type="pct"/>
                  <w:vAlign w:val="center"/>
                </w:tcPr>
                <w:p>
                  <w:pPr>
                    <w:jc w:val="center"/>
                    <w:rPr>
                      <w:rFonts w:hint="eastAsia"/>
                      <w:highlight w:val="none"/>
                      <w:lang w:val="en-US" w:eastAsia="zh-CN"/>
                    </w:rPr>
                  </w:pPr>
                  <w:r>
                    <w:rPr>
                      <w:rFonts w:hint="eastAsia"/>
                      <w:highlight w:val="none"/>
                      <w:lang w:val="en-US" w:eastAsia="zh-CN"/>
                    </w:rPr>
                    <w:t>供货商更换回收，场区内不暂存</w:t>
                  </w:r>
                </w:p>
              </w:tc>
              <w:tc>
                <w:tcPr>
                  <w:tcW w:w="528" w:type="pct"/>
                  <w:tcBorders>
                    <w:right w:val="nil"/>
                  </w:tcBorders>
                  <w:vAlign w:val="center"/>
                </w:tcPr>
                <w:p>
                  <w:pPr>
                    <w:pStyle w:val="58"/>
                    <w:jc w:val="center"/>
                    <w:rPr>
                      <w:rFonts w:hint="default" w:eastAsia="宋体"/>
                      <w:kern w:val="2"/>
                      <w:sz w:val="21"/>
                      <w:szCs w:val="24"/>
                      <w:highlight w:val="none"/>
                      <w:lang w:val="en-US" w:eastAsia="zh-CN"/>
                    </w:rPr>
                  </w:pPr>
                  <w:r>
                    <w:rPr>
                      <w:rFonts w:hint="eastAsia"/>
                      <w:kern w:val="2"/>
                      <w:sz w:val="21"/>
                      <w:szCs w:val="24"/>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highlight w:val="none"/>
                    </w:rPr>
                  </w:pPr>
                  <w:r>
                    <w:rPr>
                      <w:rFonts w:hint="eastAsia"/>
                      <w:highlight w:val="none"/>
                    </w:rPr>
                    <w:t>CIP清洗</w:t>
                  </w:r>
                </w:p>
              </w:tc>
              <w:tc>
                <w:tcPr>
                  <w:tcW w:w="671" w:type="pct"/>
                  <w:vAlign w:val="center"/>
                </w:tcPr>
                <w:p>
                  <w:pPr>
                    <w:wordWrap w:val="0"/>
                    <w:jc w:val="center"/>
                    <w:rPr>
                      <w:highlight w:val="none"/>
                    </w:rPr>
                  </w:pPr>
                  <w:r>
                    <w:rPr>
                      <w:rFonts w:hint="eastAsia"/>
                      <w:szCs w:val="21"/>
                      <w:highlight w:val="none"/>
                    </w:rPr>
                    <w:t>废酸碱包装桶</w:t>
                  </w:r>
                </w:p>
              </w:tc>
              <w:tc>
                <w:tcPr>
                  <w:tcW w:w="431" w:type="pct"/>
                  <w:vMerge w:val="restart"/>
                  <w:vAlign w:val="center"/>
                </w:tcPr>
                <w:p>
                  <w:pPr>
                    <w:jc w:val="center"/>
                    <w:rPr>
                      <w:highlight w:val="none"/>
                    </w:rPr>
                  </w:pPr>
                  <w:r>
                    <w:rPr>
                      <w:rFonts w:hint="eastAsia"/>
                      <w:highlight w:val="none"/>
                    </w:rPr>
                    <w:t>危险废物</w:t>
                  </w:r>
                </w:p>
              </w:tc>
              <w:tc>
                <w:tcPr>
                  <w:tcW w:w="540" w:type="pct"/>
                  <w:vAlign w:val="center"/>
                </w:tcPr>
                <w:p>
                  <w:pPr>
                    <w:jc w:val="center"/>
                    <w:rPr>
                      <w:highlight w:val="none"/>
                    </w:rPr>
                  </w:pPr>
                  <w:r>
                    <w:rPr>
                      <w:rFonts w:hint="eastAsia"/>
                      <w:highlight w:val="none"/>
                    </w:rPr>
                    <w:t>900-041-49</w:t>
                  </w:r>
                </w:p>
              </w:tc>
              <w:tc>
                <w:tcPr>
                  <w:tcW w:w="453" w:type="pct"/>
                  <w:vAlign w:val="center"/>
                </w:tcPr>
                <w:p>
                  <w:pPr>
                    <w:jc w:val="center"/>
                    <w:rPr>
                      <w:highlight w:val="none"/>
                    </w:rPr>
                  </w:pPr>
                  <w:r>
                    <w:rPr>
                      <w:rFonts w:hint="eastAsia"/>
                      <w:highlight w:val="none"/>
                    </w:rPr>
                    <w:t>固态</w:t>
                  </w:r>
                </w:p>
              </w:tc>
              <w:tc>
                <w:tcPr>
                  <w:tcW w:w="475" w:type="pct"/>
                  <w:vAlign w:val="center"/>
                </w:tcPr>
                <w:p>
                  <w:pPr>
                    <w:pStyle w:val="58"/>
                    <w:jc w:val="center"/>
                    <w:rPr>
                      <w:bCs/>
                      <w:snapToGrid w:val="0"/>
                      <w:kern w:val="21"/>
                      <w:sz w:val="21"/>
                      <w:highlight w:val="none"/>
                    </w:rPr>
                  </w:pPr>
                  <w:r>
                    <w:rPr>
                      <w:rFonts w:hint="eastAsia"/>
                      <w:bCs/>
                      <w:snapToGrid w:val="0"/>
                      <w:kern w:val="21"/>
                      <w:sz w:val="21"/>
                      <w:highlight w:val="none"/>
                    </w:rPr>
                    <w:t>0.5</w:t>
                  </w:r>
                </w:p>
              </w:tc>
              <w:tc>
                <w:tcPr>
                  <w:tcW w:w="458" w:type="pct"/>
                  <w:vAlign w:val="center"/>
                </w:tcPr>
                <w:p>
                  <w:pPr>
                    <w:pStyle w:val="58"/>
                    <w:jc w:val="center"/>
                    <w:rPr>
                      <w:bCs/>
                      <w:snapToGrid w:val="0"/>
                      <w:kern w:val="21"/>
                      <w:sz w:val="21"/>
                      <w:highlight w:val="none"/>
                    </w:rPr>
                  </w:pPr>
                  <w:r>
                    <w:rPr>
                      <w:rFonts w:hint="eastAsia"/>
                      <w:bCs/>
                      <w:snapToGrid w:val="0"/>
                      <w:kern w:val="21"/>
                      <w:sz w:val="21"/>
                      <w:highlight w:val="none"/>
                    </w:rPr>
                    <w:t>桶装密封</w:t>
                  </w:r>
                </w:p>
              </w:tc>
              <w:tc>
                <w:tcPr>
                  <w:tcW w:w="863" w:type="pct"/>
                  <w:vMerge w:val="restart"/>
                  <w:vAlign w:val="center"/>
                </w:tcPr>
                <w:p>
                  <w:pPr>
                    <w:jc w:val="center"/>
                    <w:rPr>
                      <w:szCs w:val="21"/>
                      <w:highlight w:val="none"/>
                    </w:rPr>
                  </w:pPr>
                  <w:r>
                    <w:rPr>
                      <w:rFonts w:hint="eastAsia"/>
                      <w:highlight w:val="none"/>
                    </w:rPr>
                    <w:t>危废暂存间分区暂存，</w:t>
                  </w:r>
                  <w:r>
                    <w:rPr>
                      <w:rFonts w:hint="eastAsia"/>
                      <w:szCs w:val="21"/>
                      <w:highlight w:val="none"/>
                    </w:rPr>
                    <w:t>委托有资质单位处置</w:t>
                  </w:r>
                </w:p>
              </w:tc>
              <w:tc>
                <w:tcPr>
                  <w:tcW w:w="528" w:type="pct"/>
                  <w:tcBorders>
                    <w:right w:val="nil"/>
                  </w:tcBorders>
                  <w:vAlign w:val="center"/>
                </w:tcPr>
                <w:p>
                  <w:pPr>
                    <w:pStyle w:val="58"/>
                    <w:jc w:val="center"/>
                    <w:rPr>
                      <w:bCs/>
                      <w:snapToGrid w:val="0"/>
                      <w:kern w:val="21"/>
                      <w:sz w:val="21"/>
                      <w:highlight w:val="none"/>
                    </w:rPr>
                  </w:pPr>
                  <w:r>
                    <w:rPr>
                      <w:rFonts w:hint="eastAsia"/>
                      <w:bCs/>
                      <w:snapToGrid w:val="0"/>
                      <w:kern w:val="21"/>
                      <w:sz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color w:val="0000FF"/>
                      <w:highlight w:val="none"/>
                    </w:rPr>
                  </w:pPr>
                  <w:r>
                    <w:rPr>
                      <w:rFonts w:hint="eastAsia"/>
                      <w:color w:val="0000FF"/>
                      <w:highlight w:val="none"/>
                    </w:rPr>
                    <w:t>检验</w:t>
                  </w:r>
                </w:p>
              </w:tc>
              <w:tc>
                <w:tcPr>
                  <w:tcW w:w="671" w:type="pct"/>
                  <w:vAlign w:val="center"/>
                </w:tcPr>
                <w:p>
                  <w:pPr>
                    <w:wordWrap w:val="0"/>
                    <w:jc w:val="center"/>
                    <w:rPr>
                      <w:rFonts w:hint="default" w:eastAsia="宋体"/>
                      <w:color w:val="0000FF"/>
                      <w:szCs w:val="21"/>
                      <w:highlight w:val="none"/>
                      <w:lang w:val="en-US" w:eastAsia="zh-CN"/>
                    </w:rPr>
                  </w:pPr>
                  <w:r>
                    <w:rPr>
                      <w:rFonts w:hint="eastAsia"/>
                      <w:color w:val="0000FF"/>
                      <w:highlight w:val="none"/>
                      <w:lang w:val="en-US" w:eastAsia="zh-CN"/>
                    </w:rPr>
                    <w:t>检验固废</w:t>
                  </w:r>
                </w:p>
              </w:tc>
              <w:tc>
                <w:tcPr>
                  <w:tcW w:w="431" w:type="pct"/>
                  <w:vMerge w:val="continue"/>
                  <w:vAlign w:val="center"/>
                </w:tcPr>
                <w:p>
                  <w:pPr>
                    <w:jc w:val="center"/>
                    <w:rPr>
                      <w:color w:val="0000FF"/>
                      <w:highlight w:val="none"/>
                    </w:rPr>
                  </w:pPr>
                </w:p>
              </w:tc>
              <w:tc>
                <w:tcPr>
                  <w:tcW w:w="540" w:type="pct"/>
                  <w:vAlign w:val="center"/>
                </w:tcPr>
                <w:p>
                  <w:pPr>
                    <w:jc w:val="center"/>
                    <w:rPr>
                      <w:color w:val="0000FF"/>
                      <w:highlight w:val="none"/>
                    </w:rPr>
                  </w:pPr>
                  <w:r>
                    <w:rPr>
                      <w:rFonts w:hint="eastAsia"/>
                      <w:color w:val="0000FF"/>
                      <w:highlight w:val="none"/>
                    </w:rPr>
                    <w:t>900-047-49</w:t>
                  </w:r>
                </w:p>
              </w:tc>
              <w:tc>
                <w:tcPr>
                  <w:tcW w:w="453" w:type="pct"/>
                  <w:vAlign w:val="center"/>
                </w:tcPr>
                <w:p>
                  <w:pPr>
                    <w:jc w:val="center"/>
                    <w:rPr>
                      <w:color w:val="0000FF"/>
                      <w:highlight w:val="none"/>
                    </w:rPr>
                  </w:pPr>
                  <w:r>
                    <w:rPr>
                      <w:rFonts w:hint="eastAsia"/>
                      <w:color w:val="0000FF"/>
                      <w:highlight w:val="none"/>
                    </w:rPr>
                    <w:t>液态、固态</w:t>
                  </w:r>
                </w:p>
              </w:tc>
              <w:tc>
                <w:tcPr>
                  <w:tcW w:w="475" w:type="pct"/>
                  <w:vAlign w:val="center"/>
                </w:tcPr>
                <w:p>
                  <w:pPr>
                    <w:pStyle w:val="58"/>
                    <w:jc w:val="center"/>
                    <w:rPr>
                      <w:bCs/>
                      <w:snapToGrid w:val="0"/>
                      <w:color w:val="0000FF"/>
                      <w:kern w:val="21"/>
                      <w:sz w:val="21"/>
                      <w:highlight w:val="none"/>
                    </w:rPr>
                  </w:pPr>
                  <w:r>
                    <w:rPr>
                      <w:rFonts w:hint="eastAsia"/>
                      <w:bCs/>
                      <w:snapToGrid w:val="0"/>
                      <w:color w:val="0000FF"/>
                      <w:kern w:val="21"/>
                      <w:sz w:val="21"/>
                      <w:highlight w:val="none"/>
                    </w:rPr>
                    <w:t>1.0</w:t>
                  </w:r>
                </w:p>
              </w:tc>
              <w:tc>
                <w:tcPr>
                  <w:tcW w:w="458" w:type="pct"/>
                  <w:vAlign w:val="center"/>
                </w:tcPr>
                <w:p>
                  <w:pPr>
                    <w:pStyle w:val="58"/>
                    <w:jc w:val="center"/>
                    <w:rPr>
                      <w:bCs/>
                      <w:snapToGrid w:val="0"/>
                      <w:color w:val="0000FF"/>
                      <w:kern w:val="21"/>
                      <w:sz w:val="21"/>
                      <w:highlight w:val="none"/>
                    </w:rPr>
                  </w:pPr>
                  <w:r>
                    <w:rPr>
                      <w:rFonts w:hint="eastAsia"/>
                      <w:bCs/>
                      <w:snapToGrid w:val="0"/>
                      <w:color w:val="0000FF"/>
                      <w:kern w:val="21"/>
                      <w:sz w:val="21"/>
                      <w:highlight w:val="none"/>
                    </w:rPr>
                    <w:t>桶装密封</w:t>
                  </w:r>
                </w:p>
              </w:tc>
              <w:tc>
                <w:tcPr>
                  <w:tcW w:w="863" w:type="pct"/>
                  <w:vMerge w:val="continue"/>
                  <w:vAlign w:val="center"/>
                </w:tcPr>
                <w:p>
                  <w:pPr>
                    <w:jc w:val="center"/>
                    <w:rPr>
                      <w:highlight w:val="none"/>
                    </w:rPr>
                  </w:pPr>
                </w:p>
              </w:tc>
              <w:tc>
                <w:tcPr>
                  <w:tcW w:w="528" w:type="pct"/>
                  <w:tcBorders>
                    <w:right w:val="nil"/>
                  </w:tcBorders>
                  <w:vAlign w:val="center"/>
                </w:tcPr>
                <w:p>
                  <w:pPr>
                    <w:pStyle w:val="58"/>
                    <w:jc w:val="center"/>
                    <w:rPr>
                      <w:bCs/>
                      <w:snapToGrid w:val="0"/>
                      <w:kern w:val="21"/>
                      <w:sz w:val="21"/>
                      <w:highlight w:val="none"/>
                    </w:rPr>
                  </w:pPr>
                  <w:r>
                    <w:rPr>
                      <w:rFonts w:hint="eastAsia"/>
                      <w:bCs/>
                      <w:snapToGrid w:val="0"/>
                      <w:kern w:val="21"/>
                      <w:sz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7" w:type="pct"/>
                  <w:vMerge w:val="restart"/>
                  <w:tcBorders>
                    <w:left w:val="nil"/>
                  </w:tcBorders>
                  <w:vAlign w:val="center"/>
                </w:tcPr>
                <w:p>
                  <w:pPr>
                    <w:jc w:val="center"/>
                    <w:rPr>
                      <w:highlight w:val="none"/>
                    </w:rPr>
                  </w:pPr>
                  <w:r>
                    <w:rPr>
                      <w:rFonts w:hint="eastAsia"/>
                      <w:highlight w:val="none"/>
                    </w:rPr>
                    <w:t>设备维护</w:t>
                  </w:r>
                </w:p>
              </w:tc>
              <w:tc>
                <w:tcPr>
                  <w:tcW w:w="671" w:type="pct"/>
                  <w:vAlign w:val="center"/>
                </w:tcPr>
                <w:p>
                  <w:pPr>
                    <w:jc w:val="center"/>
                    <w:rPr>
                      <w:highlight w:val="none"/>
                    </w:rPr>
                  </w:pPr>
                  <w:r>
                    <w:rPr>
                      <w:rFonts w:hint="eastAsia"/>
                      <w:highlight w:val="none"/>
                    </w:rPr>
                    <w:t>含油沾染废物</w:t>
                  </w:r>
                </w:p>
              </w:tc>
              <w:tc>
                <w:tcPr>
                  <w:tcW w:w="431" w:type="pct"/>
                  <w:vMerge w:val="continue"/>
                  <w:vAlign w:val="center"/>
                </w:tcPr>
                <w:p>
                  <w:pPr>
                    <w:jc w:val="center"/>
                    <w:rPr>
                      <w:highlight w:val="none"/>
                    </w:rPr>
                  </w:pPr>
                </w:p>
              </w:tc>
              <w:tc>
                <w:tcPr>
                  <w:tcW w:w="540" w:type="pct"/>
                  <w:vAlign w:val="center"/>
                </w:tcPr>
                <w:p>
                  <w:pPr>
                    <w:jc w:val="center"/>
                    <w:rPr>
                      <w:highlight w:val="none"/>
                    </w:rPr>
                  </w:pPr>
                  <w:r>
                    <w:rPr>
                      <w:highlight w:val="none"/>
                    </w:rPr>
                    <w:t>900-041-49</w:t>
                  </w:r>
                </w:p>
              </w:tc>
              <w:tc>
                <w:tcPr>
                  <w:tcW w:w="453" w:type="pct"/>
                  <w:vAlign w:val="center"/>
                </w:tcPr>
                <w:p>
                  <w:pPr>
                    <w:jc w:val="center"/>
                    <w:rPr>
                      <w:highlight w:val="none"/>
                    </w:rPr>
                  </w:pPr>
                  <w:r>
                    <w:rPr>
                      <w:rFonts w:hint="eastAsia"/>
                      <w:highlight w:val="none"/>
                    </w:rPr>
                    <w:t>固态</w:t>
                  </w:r>
                </w:p>
              </w:tc>
              <w:tc>
                <w:tcPr>
                  <w:tcW w:w="475" w:type="pct"/>
                  <w:vAlign w:val="center"/>
                </w:tcPr>
                <w:p>
                  <w:pPr>
                    <w:pStyle w:val="58"/>
                    <w:jc w:val="center"/>
                    <w:rPr>
                      <w:bCs/>
                      <w:snapToGrid w:val="0"/>
                      <w:kern w:val="21"/>
                      <w:sz w:val="21"/>
                      <w:highlight w:val="none"/>
                    </w:rPr>
                  </w:pPr>
                  <w:r>
                    <w:rPr>
                      <w:rFonts w:hint="eastAsia"/>
                      <w:kern w:val="2"/>
                      <w:sz w:val="21"/>
                      <w:szCs w:val="24"/>
                      <w:highlight w:val="none"/>
                    </w:rPr>
                    <w:t>0.2</w:t>
                  </w:r>
                </w:p>
              </w:tc>
              <w:tc>
                <w:tcPr>
                  <w:tcW w:w="458" w:type="pct"/>
                  <w:vAlign w:val="center"/>
                </w:tcPr>
                <w:p>
                  <w:pPr>
                    <w:pStyle w:val="58"/>
                    <w:jc w:val="center"/>
                    <w:rPr>
                      <w:bCs/>
                      <w:snapToGrid w:val="0"/>
                      <w:kern w:val="21"/>
                      <w:sz w:val="21"/>
                      <w:highlight w:val="none"/>
                    </w:rPr>
                  </w:pPr>
                  <w:r>
                    <w:rPr>
                      <w:rFonts w:hint="eastAsia"/>
                      <w:bCs/>
                      <w:snapToGrid w:val="0"/>
                      <w:kern w:val="21"/>
                      <w:sz w:val="21"/>
                      <w:highlight w:val="none"/>
                    </w:rPr>
                    <w:t>桶装密封</w:t>
                  </w:r>
                </w:p>
              </w:tc>
              <w:tc>
                <w:tcPr>
                  <w:tcW w:w="863" w:type="pct"/>
                  <w:vMerge w:val="continue"/>
                  <w:vAlign w:val="center"/>
                </w:tcPr>
                <w:p>
                  <w:pPr>
                    <w:jc w:val="center"/>
                    <w:rPr>
                      <w:szCs w:val="21"/>
                      <w:highlight w:val="none"/>
                    </w:rPr>
                  </w:pPr>
                </w:p>
              </w:tc>
              <w:tc>
                <w:tcPr>
                  <w:tcW w:w="528" w:type="pct"/>
                  <w:tcBorders>
                    <w:right w:val="nil"/>
                  </w:tcBorders>
                  <w:vAlign w:val="center"/>
                </w:tcPr>
                <w:p>
                  <w:pPr>
                    <w:pStyle w:val="58"/>
                    <w:jc w:val="center"/>
                    <w:rPr>
                      <w:bCs/>
                      <w:snapToGrid w:val="0"/>
                      <w:kern w:val="21"/>
                      <w:sz w:val="21"/>
                      <w:highlight w:val="none"/>
                    </w:rPr>
                  </w:pPr>
                  <w:r>
                    <w:rPr>
                      <w:rFonts w:hint="eastAsia"/>
                      <w:kern w:val="2"/>
                      <w:sz w:val="21"/>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vMerge w:val="continue"/>
                  <w:tcBorders>
                    <w:left w:val="nil"/>
                  </w:tcBorders>
                  <w:vAlign w:val="center"/>
                </w:tcPr>
                <w:p>
                  <w:pPr>
                    <w:jc w:val="center"/>
                    <w:rPr>
                      <w:highlight w:val="none"/>
                    </w:rPr>
                  </w:pPr>
                </w:p>
              </w:tc>
              <w:tc>
                <w:tcPr>
                  <w:tcW w:w="671" w:type="pct"/>
                  <w:vAlign w:val="center"/>
                </w:tcPr>
                <w:p>
                  <w:pPr>
                    <w:jc w:val="center"/>
                    <w:rPr>
                      <w:highlight w:val="none"/>
                    </w:rPr>
                  </w:pPr>
                  <w:r>
                    <w:rPr>
                      <w:rFonts w:hint="eastAsia"/>
                      <w:highlight w:val="none"/>
                    </w:rPr>
                    <w:t>废机油</w:t>
                  </w:r>
                </w:p>
              </w:tc>
              <w:tc>
                <w:tcPr>
                  <w:tcW w:w="431" w:type="pct"/>
                  <w:vMerge w:val="continue"/>
                  <w:vAlign w:val="center"/>
                </w:tcPr>
                <w:p>
                  <w:pPr>
                    <w:jc w:val="center"/>
                    <w:rPr>
                      <w:highlight w:val="none"/>
                    </w:rPr>
                  </w:pPr>
                </w:p>
              </w:tc>
              <w:tc>
                <w:tcPr>
                  <w:tcW w:w="540" w:type="pct"/>
                  <w:vAlign w:val="center"/>
                </w:tcPr>
                <w:p>
                  <w:pPr>
                    <w:jc w:val="center"/>
                    <w:rPr>
                      <w:highlight w:val="none"/>
                    </w:rPr>
                  </w:pPr>
                  <w:r>
                    <w:rPr>
                      <w:rFonts w:hint="eastAsia"/>
                      <w:highlight w:val="none"/>
                    </w:rPr>
                    <w:t>900-249-08</w:t>
                  </w:r>
                </w:p>
              </w:tc>
              <w:tc>
                <w:tcPr>
                  <w:tcW w:w="453" w:type="pct"/>
                  <w:vAlign w:val="center"/>
                </w:tcPr>
                <w:p>
                  <w:pPr>
                    <w:jc w:val="center"/>
                    <w:rPr>
                      <w:highlight w:val="none"/>
                    </w:rPr>
                  </w:pPr>
                  <w:r>
                    <w:rPr>
                      <w:rFonts w:hint="eastAsia"/>
                      <w:highlight w:val="none"/>
                    </w:rPr>
                    <w:t>液态</w:t>
                  </w:r>
                </w:p>
              </w:tc>
              <w:tc>
                <w:tcPr>
                  <w:tcW w:w="475" w:type="pct"/>
                  <w:vAlign w:val="center"/>
                </w:tcPr>
                <w:p>
                  <w:pPr>
                    <w:pStyle w:val="58"/>
                    <w:jc w:val="center"/>
                    <w:rPr>
                      <w:bCs/>
                      <w:snapToGrid w:val="0"/>
                      <w:kern w:val="21"/>
                      <w:sz w:val="21"/>
                      <w:highlight w:val="none"/>
                    </w:rPr>
                  </w:pPr>
                  <w:r>
                    <w:rPr>
                      <w:rFonts w:hint="eastAsia"/>
                      <w:bCs/>
                      <w:snapToGrid w:val="0"/>
                      <w:kern w:val="21"/>
                      <w:sz w:val="21"/>
                      <w:highlight w:val="none"/>
                    </w:rPr>
                    <w:t>0.1</w:t>
                  </w:r>
                </w:p>
              </w:tc>
              <w:tc>
                <w:tcPr>
                  <w:tcW w:w="458" w:type="pct"/>
                  <w:vAlign w:val="center"/>
                </w:tcPr>
                <w:p>
                  <w:pPr>
                    <w:pStyle w:val="58"/>
                    <w:jc w:val="center"/>
                    <w:rPr>
                      <w:bCs/>
                      <w:snapToGrid w:val="0"/>
                      <w:kern w:val="21"/>
                      <w:sz w:val="21"/>
                      <w:highlight w:val="none"/>
                    </w:rPr>
                  </w:pPr>
                  <w:r>
                    <w:rPr>
                      <w:rFonts w:hint="eastAsia"/>
                      <w:bCs/>
                      <w:snapToGrid w:val="0"/>
                      <w:kern w:val="21"/>
                      <w:sz w:val="21"/>
                      <w:highlight w:val="none"/>
                    </w:rPr>
                    <w:t>桶装密封</w:t>
                  </w:r>
                </w:p>
              </w:tc>
              <w:tc>
                <w:tcPr>
                  <w:tcW w:w="863" w:type="pct"/>
                  <w:vMerge w:val="continue"/>
                  <w:vAlign w:val="center"/>
                </w:tcPr>
                <w:p>
                  <w:pPr>
                    <w:jc w:val="center"/>
                    <w:rPr>
                      <w:szCs w:val="21"/>
                      <w:highlight w:val="none"/>
                    </w:rPr>
                  </w:pPr>
                </w:p>
              </w:tc>
              <w:tc>
                <w:tcPr>
                  <w:tcW w:w="528" w:type="pct"/>
                  <w:tcBorders>
                    <w:right w:val="nil"/>
                  </w:tcBorders>
                  <w:vAlign w:val="center"/>
                </w:tcPr>
                <w:p>
                  <w:pPr>
                    <w:pStyle w:val="58"/>
                    <w:jc w:val="center"/>
                    <w:rPr>
                      <w:bCs/>
                      <w:snapToGrid w:val="0"/>
                      <w:kern w:val="21"/>
                      <w:sz w:val="21"/>
                      <w:highlight w:val="none"/>
                    </w:rPr>
                  </w:pPr>
                  <w:r>
                    <w:rPr>
                      <w:rFonts w:hint="eastAsia"/>
                      <w:bCs/>
                      <w:snapToGrid w:val="0"/>
                      <w:kern w:val="21"/>
                      <w:sz w:val="21"/>
                      <w:highlight w:val="none"/>
                    </w:rPr>
                    <w:t>0.1</w:t>
                  </w:r>
                </w:p>
              </w:tc>
            </w:tr>
          </w:tbl>
          <w:p>
            <w:pPr>
              <w:tabs>
                <w:tab w:val="left" w:pos="0"/>
              </w:tabs>
              <w:jc w:val="center"/>
              <w:rPr>
                <w:b/>
                <w:bCs/>
                <w:highlight w:val="none"/>
              </w:rPr>
            </w:pPr>
          </w:p>
          <w:p>
            <w:pPr>
              <w:tabs>
                <w:tab w:val="left" w:pos="0"/>
              </w:tabs>
              <w:jc w:val="center"/>
              <w:rPr>
                <w:b/>
                <w:bCs/>
                <w:highlight w:val="none"/>
              </w:rPr>
            </w:pPr>
            <w:r>
              <w:rPr>
                <w:rFonts w:hint="eastAsia"/>
                <w:b/>
                <w:bCs/>
                <w:highlight w:val="none"/>
              </w:rPr>
              <w:t>表4-17  危险废物情况汇总表</w:t>
            </w:r>
          </w:p>
          <w:tbl>
            <w:tblPr>
              <w:tblStyle w:val="40"/>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962"/>
              <w:gridCol w:w="1381"/>
              <w:gridCol w:w="994"/>
              <w:gridCol w:w="762"/>
              <w:gridCol w:w="1192"/>
              <w:gridCol w:w="1068"/>
              <w:gridCol w:w="749"/>
              <w:gridCol w:w="1020"/>
              <w:gridCol w:w="1181"/>
              <w:gridCol w:w="113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vAlign w:val="center"/>
                </w:tcPr>
                <w:p>
                  <w:pPr>
                    <w:jc w:val="center"/>
                    <w:rPr>
                      <w:b/>
                      <w:bCs/>
                      <w:highlight w:val="none"/>
                    </w:rPr>
                  </w:pPr>
                  <w:r>
                    <w:rPr>
                      <w:rFonts w:hint="eastAsia"/>
                      <w:b/>
                      <w:bCs/>
                      <w:highlight w:val="none"/>
                    </w:rPr>
                    <w:t>危险废物</w:t>
                  </w:r>
                </w:p>
                <w:p>
                  <w:pPr>
                    <w:jc w:val="center"/>
                    <w:rPr>
                      <w:b/>
                      <w:bCs/>
                      <w:highlight w:val="none"/>
                    </w:rPr>
                  </w:pPr>
                  <w:r>
                    <w:rPr>
                      <w:rFonts w:hint="eastAsia"/>
                      <w:b/>
                      <w:bCs/>
                      <w:highlight w:val="none"/>
                    </w:rPr>
                    <w:t>名称</w:t>
                  </w:r>
                </w:p>
              </w:tc>
              <w:tc>
                <w:tcPr>
                  <w:tcW w:w="365" w:type="pct"/>
                  <w:vAlign w:val="center"/>
                </w:tcPr>
                <w:p>
                  <w:pPr>
                    <w:jc w:val="center"/>
                    <w:rPr>
                      <w:b/>
                      <w:bCs/>
                      <w:highlight w:val="none"/>
                    </w:rPr>
                  </w:pPr>
                  <w:r>
                    <w:rPr>
                      <w:rFonts w:hint="eastAsia"/>
                      <w:b/>
                      <w:bCs/>
                      <w:highlight w:val="none"/>
                    </w:rPr>
                    <w:t>危险废物类别</w:t>
                  </w:r>
                </w:p>
              </w:tc>
              <w:tc>
                <w:tcPr>
                  <w:tcW w:w="524" w:type="pct"/>
                  <w:vAlign w:val="center"/>
                </w:tcPr>
                <w:p>
                  <w:pPr>
                    <w:jc w:val="center"/>
                    <w:rPr>
                      <w:b/>
                      <w:bCs/>
                      <w:highlight w:val="none"/>
                    </w:rPr>
                  </w:pPr>
                  <w:r>
                    <w:rPr>
                      <w:rFonts w:hint="eastAsia"/>
                      <w:b/>
                      <w:bCs/>
                      <w:highlight w:val="none"/>
                    </w:rPr>
                    <w:t>危险废物</w:t>
                  </w:r>
                </w:p>
                <w:p>
                  <w:pPr>
                    <w:jc w:val="center"/>
                    <w:rPr>
                      <w:b/>
                      <w:bCs/>
                      <w:highlight w:val="none"/>
                    </w:rPr>
                  </w:pPr>
                  <w:r>
                    <w:rPr>
                      <w:rFonts w:hint="eastAsia"/>
                      <w:b/>
                      <w:bCs/>
                      <w:highlight w:val="none"/>
                    </w:rPr>
                    <w:t>代码</w:t>
                  </w:r>
                </w:p>
              </w:tc>
              <w:tc>
                <w:tcPr>
                  <w:tcW w:w="377" w:type="pct"/>
                  <w:vAlign w:val="center"/>
                </w:tcPr>
                <w:p>
                  <w:pPr>
                    <w:jc w:val="center"/>
                    <w:rPr>
                      <w:b/>
                      <w:bCs/>
                      <w:highlight w:val="none"/>
                    </w:rPr>
                  </w:pPr>
                  <w:r>
                    <w:rPr>
                      <w:rFonts w:hint="eastAsia"/>
                      <w:b/>
                      <w:bCs/>
                      <w:highlight w:val="none"/>
                    </w:rPr>
                    <w:t>产生量t/a</w:t>
                  </w:r>
                </w:p>
              </w:tc>
              <w:tc>
                <w:tcPr>
                  <w:tcW w:w="289" w:type="pct"/>
                  <w:vAlign w:val="center"/>
                </w:tcPr>
                <w:p>
                  <w:pPr>
                    <w:jc w:val="center"/>
                    <w:rPr>
                      <w:b/>
                      <w:bCs/>
                      <w:highlight w:val="none"/>
                    </w:rPr>
                  </w:pPr>
                  <w:r>
                    <w:rPr>
                      <w:rFonts w:hint="eastAsia"/>
                      <w:b/>
                      <w:bCs/>
                      <w:highlight w:val="none"/>
                    </w:rPr>
                    <w:t>形态</w:t>
                  </w:r>
                </w:p>
              </w:tc>
              <w:tc>
                <w:tcPr>
                  <w:tcW w:w="452" w:type="pct"/>
                  <w:vAlign w:val="center"/>
                </w:tcPr>
                <w:p>
                  <w:pPr>
                    <w:jc w:val="center"/>
                    <w:rPr>
                      <w:b/>
                      <w:bCs/>
                      <w:highlight w:val="none"/>
                    </w:rPr>
                  </w:pPr>
                  <w:r>
                    <w:rPr>
                      <w:b/>
                      <w:bCs/>
                      <w:highlight w:val="none"/>
                    </w:rPr>
                    <w:t>主要有毒有害物质名称</w:t>
                  </w:r>
                </w:p>
              </w:tc>
              <w:tc>
                <w:tcPr>
                  <w:tcW w:w="405" w:type="pct"/>
                  <w:vAlign w:val="center"/>
                </w:tcPr>
                <w:p>
                  <w:pPr>
                    <w:jc w:val="center"/>
                    <w:rPr>
                      <w:b/>
                      <w:bCs/>
                      <w:highlight w:val="none"/>
                    </w:rPr>
                  </w:pPr>
                  <w:r>
                    <w:rPr>
                      <w:b/>
                      <w:bCs/>
                      <w:highlight w:val="none"/>
                    </w:rPr>
                    <w:t>环境危险特性</w:t>
                  </w:r>
                </w:p>
              </w:tc>
              <w:tc>
                <w:tcPr>
                  <w:tcW w:w="284" w:type="pct"/>
                  <w:vAlign w:val="center"/>
                </w:tcPr>
                <w:p>
                  <w:pPr>
                    <w:jc w:val="center"/>
                    <w:rPr>
                      <w:b/>
                      <w:bCs/>
                      <w:highlight w:val="none"/>
                    </w:rPr>
                  </w:pPr>
                  <w:r>
                    <w:rPr>
                      <w:rFonts w:hint="eastAsia"/>
                      <w:b/>
                      <w:bCs/>
                      <w:highlight w:val="none"/>
                    </w:rPr>
                    <w:t>位置</w:t>
                  </w:r>
                </w:p>
              </w:tc>
              <w:tc>
                <w:tcPr>
                  <w:tcW w:w="387" w:type="pct"/>
                  <w:vAlign w:val="center"/>
                </w:tcPr>
                <w:p>
                  <w:pPr>
                    <w:jc w:val="center"/>
                    <w:rPr>
                      <w:b/>
                      <w:bCs/>
                      <w:highlight w:val="none"/>
                    </w:rPr>
                  </w:pPr>
                  <w:r>
                    <w:rPr>
                      <w:rFonts w:hint="eastAsia"/>
                      <w:b/>
                      <w:bCs/>
                      <w:highlight w:val="none"/>
                    </w:rPr>
                    <w:t>占地面积</w:t>
                  </w:r>
                </w:p>
              </w:tc>
              <w:tc>
                <w:tcPr>
                  <w:tcW w:w="448" w:type="pct"/>
                  <w:vAlign w:val="center"/>
                </w:tcPr>
                <w:p>
                  <w:pPr>
                    <w:jc w:val="center"/>
                    <w:rPr>
                      <w:b/>
                      <w:bCs/>
                      <w:highlight w:val="none"/>
                    </w:rPr>
                  </w:pPr>
                  <w:r>
                    <w:rPr>
                      <w:rFonts w:hint="eastAsia"/>
                      <w:b/>
                      <w:bCs/>
                      <w:highlight w:val="none"/>
                    </w:rPr>
                    <w:t>贮存能力</w:t>
                  </w:r>
                </w:p>
              </w:tc>
              <w:tc>
                <w:tcPr>
                  <w:tcW w:w="431" w:type="pct"/>
                  <w:vAlign w:val="center"/>
                </w:tcPr>
                <w:p>
                  <w:pPr>
                    <w:jc w:val="center"/>
                    <w:rPr>
                      <w:b/>
                      <w:bCs/>
                      <w:highlight w:val="none"/>
                    </w:rPr>
                  </w:pPr>
                  <w:r>
                    <w:rPr>
                      <w:rFonts w:hint="eastAsia"/>
                      <w:b/>
                      <w:bCs/>
                      <w:highlight w:val="none"/>
                    </w:rPr>
                    <w:t>贮存周期</w:t>
                  </w:r>
                </w:p>
              </w:tc>
              <w:tc>
                <w:tcPr>
                  <w:tcW w:w="428" w:type="pct"/>
                  <w:tcBorders>
                    <w:right w:val="nil"/>
                  </w:tcBorders>
                  <w:vAlign w:val="center"/>
                </w:tcPr>
                <w:p>
                  <w:pPr>
                    <w:jc w:val="center"/>
                    <w:rPr>
                      <w:b/>
                      <w:bCs/>
                      <w:highlight w:val="none"/>
                    </w:rPr>
                  </w:pPr>
                  <w:r>
                    <w:rPr>
                      <w:rFonts w:hint="eastAsia"/>
                      <w:b/>
                      <w:bCs/>
                      <w:highlight w:val="none"/>
                    </w:rPr>
                    <w:t>贮存方式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wordWrap w:val="0"/>
                    <w:jc w:val="center"/>
                    <w:rPr>
                      <w:highlight w:val="none"/>
                    </w:rPr>
                  </w:pPr>
                  <w:r>
                    <w:rPr>
                      <w:rFonts w:hint="eastAsia"/>
                      <w:szCs w:val="21"/>
                      <w:highlight w:val="none"/>
                    </w:rPr>
                    <w:t>废酸碱包装桶</w:t>
                  </w:r>
                </w:p>
              </w:tc>
              <w:tc>
                <w:tcPr>
                  <w:tcW w:w="365" w:type="pct"/>
                  <w:vAlign w:val="center"/>
                </w:tcPr>
                <w:p>
                  <w:pPr>
                    <w:jc w:val="center"/>
                    <w:rPr>
                      <w:highlight w:val="none"/>
                    </w:rPr>
                  </w:pPr>
                  <w:r>
                    <w:rPr>
                      <w:rFonts w:hint="eastAsia"/>
                      <w:highlight w:val="none"/>
                    </w:rPr>
                    <w:t>HW49</w:t>
                  </w:r>
                </w:p>
              </w:tc>
              <w:tc>
                <w:tcPr>
                  <w:tcW w:w="524" w:type="pct"/>
                  <w:vAlign w:val="center"/>
                </w:tcPr>
                <w:p>
                  <w:pPr>
                    <w:jc w:val="center"/>
                    <w:rPr>
                      <w:highlight w:val="none"/>
                    </w:rPr>
                  </w:pPr>
                  <w:r>
                    <w:rPr>
                      <w:rFonts w:hint="eastAsia"/>
                      <w:highlight w:val="none"/>
                    </w:rPr>
                    <w:t>900-041-49</w:t>
                  </w:r>
                </w:p>
              </w:tc>
              <w:tc>
                <w:tcPr>
                  <w:tcW w:w="994" w:type="dxa"/>
                  <w:vAlign w:val="center"/>
                </w:tcPr>
                <w:p>
                  <w:pPr>
                    <w:pStyle w:val="58"/>
                    <w:jc w:val="center"/>
                    <w:rPr>
                      <w:kern w:val="2"/>
                      <w:sz w:val="21"/>
                      <w:szCs w:val="24"/>
                      <w:highlight w:val="none"/>
                    </w:rPr>
                  </w:pPr>
                  <w:r>
                    <w:rPr>
                      <w:rFonts w:hint="eastAsia"/>
                      <w:bCs/>
                      <w:snapToGrid w:val="0"/>
                      <w:kern w:val="21"/>
                      <w:sz w:val="21"/>
                      <w:highlight w:val="none"/>
                    </w:rPr>
                    <w:t>0.5</w:t>
                  </w:r>
                </w:p>
              </w:tc>
              <w:tc>
                <w:tcPr>
                  <w:tcW w:w="289" w:type="pct"/>
                  <w:shd w:val="clear" w:color="auto" w:fill="auto"/>
                  <w:vAlign w:val="center"/>
                </w:tcPr>
                <w:p>
                  <w:pPr>
                    <w:jc w:val="center"/>
                    <w:rPr>
                      <w:highlight w:val="none"/>
                    </w:rPr>
                  </w:pPr>
                  <w:r>
                    <w:rPr>
                      <w:rFonts w:hint="eastAsia"/>
                      <w:highlight w:val="none"/>
                    </w:rPr>
                    <w:t>固态</w:t>
                  </w:r>
                </w:p>
              </w:tc>
              <w:tc>
                <w:tcPr>
                  <w:tcW w:w="452" w:type="pct"/>
                  <w:vAlign w:val="center"/>
                </w:tcPr>
                <w:p>
                  <w:pPr>
                    <w:jc w:val="center"/>
                    <w:rPr>
                      <w:highlight w:val="none"/>
                    </w:rPr>
                  </w:pPr>
                  <w:r>
                    <w:rPr>
                      <w:rFonts w:hint="eastAsia"/>
                      <w:highlight w:val="none"/>
                    </w:rPr>
                    <w:t>酸、碱</w:t>
                  </w:r>
                </w:p>
              </w:tc>
              <w:tc>
                <w:tcPr>
                  <w:tcW w:w="405" w:type="pct"/>
                  <w:vAlign w:val="center"/>
                </w:tcPr>
                <w:p>
                  <w:pPr>
                    <w:jc w:val="center"/>
                    <w:rPr>
                      <w:highlight w:val="none"/>
                    </w:rPr>
                  </w:pPr>
                  <w:r>
                    <w:rPr>
                      <w:rFonts w:hint="eastAsia"/>
                      <w:highlight w:val="none"/>
                    </w:rPr>
                    <w:t>T</w:t>
                  </w:r>
                </w:p>
              </w:tc>
              <w:tc>
                <w:tcPr>
                  <w:tcW w:w="284" w:type="pct"/>
                  <w:vMerge w:val="restart"/>
                  <w:vAlign w:val="center"/>
                </w:tcPr>
                <w:p>
                  <w:pPr>
                    <w:jc w:val="center"/>
                    <w:rPr>
                      <w:highlight w:val="none"/>
                    </w:rPr>
                  </w:pPr>
                  <w:r>
                    <w:rPr>
                      <w:rFonts w:hint="eastAsia"/>
                      <w:highlight w:val="none"/>
                    </w:rPr>
                    <w:t>厂区南侧</w:t>
                  </w:r>
                </w:p>
              </w:tc>
              <w:tc>
                <w:tcPr>
                  <w:tcW w:w="387" w:type="pct"/>
                  <w:vMerge w:val="restart"/>
                  <w:vAlign w:val="center"/>
                </w:tcPr>
                <w:p>
                  <w:pPr>
                    <w:jc w:val="center"/>
                    <w:rPr>
                      <w:highlight w:val="none"/>
                    </w:rPr>
                  </w:pPr>
                  <w:r>
                    <w:rPr>
                      <w:rFonts w:hint="eastAsia"/>
                      <w:highlight w:val="none"/>
                    </w:rPr>
                    <w:t>10m</w:t>
                  </w:r>
                  <w:r>
                    <w:rPr>
                      <w:rFonts w:hint="eastAsia"/>
                      <w:highlight w:val="none"/>
                      <w:vertAlign w:val="superscript"/>
                    </w:rPr>
                    <w:t>2</w:t>
                  </w:r>
                </w:p>
              </w:tc>
              <w:tc>
                <w:tcPr>
                  <w:tcW w:w="448" w:type="pct"/>
                  <w:vMerge w:val="restart"/>
                  <w:vAlign w:val="center"/>
                </w:tcPr>
                <w:p>
                  <w:pPr>
                    <w:jc w:val="center"/>
                    <w:rPr>
                      <w:highlight w:val="none"/>
                    </w:rPr>
                  </w:pPr>
                  <w:r>
                    <w:rPr>
                      <w:rFonts w:hint="eastAsia"/>
                      <w:highlight w:val="none"/>
                    </w:rPr>
                    <w:t>10t</w:t>
                  </w:r>
                </w:p>
              </w:tc>
              <w:tc>
                <w:tcPr>
                  <w:tcW w:w="431" w:type="pct"/>
                  <w:vMerge w:val="restart"/>
                  <w:vAlign w:val="center"/>
                </w:tcPr>
                <w:p>
                  <w:pPr>
                    <w:jc w:val="center"/>
                    <w:rPr>
                      <w:szCs w:val="22"/>
                      <w:highlight w:val="none"/>
                    </w:rPr>
                  </w:pPr>
                  <w:r>
                    <w:rPr>
                      <w:rFonts w:hint="eastAsia"/>
                      <w:szCs w:val="22"/>
                      <w:highlight w:val="none"/>
                    </w:rPr>
                    <w:t>3个月</w:t>
                  </w:r>
                </w:p>
              </w:tc>
              <w:tc>
                <w:tcPr>
                  <w:tcW w:w="428" w:type="pct"/>
                  <w:tcBorders>
                    <w:right w:val="nil"/>
                  </w:tcBorders>
                  <w:vAlign w:val="center"/>
                </w:tcPr>
                <w:p>
                  <w:pPr>
                    <w:pStyle w:val="58"/>
                    <w:jc w:val="center"/>
                    <w:rPr>
                      <w:kern w:val="2"/>
                      <w:sz w:val="21"/>
                      <w:szCs w:val="24"/>
                      <w:highlight w:val="none"/>
                    </w:rPr>
                  </w:pPr>
                  <w:r>
                    <w:rPr>
                      <w:rFonts w:hint="eastAsia"/>
                      <w:bCs/>
                      <w:snapToGrid w:val="0"/>
                      <w:kern w:val="21"/>
                      <w:sz w:val="21"/>
                      <w:highlight w:val="none"/>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wordWrap w:val="0"/>
                    <w:jc w:val="center"/>
                    <w:rPr>
                      <w:highlight w:val="none"/>
                    </w:rPr>
                  </w:pPr>
                  <w:r>
                    <w:rPr>
                      <w:rFonts w:hint="eastAsia"/>
                      <w:highlight w:val="none"/>
                    </w:rPr>
                    <w:t>质检室废液、废试剂瓶</w:t>
                  </w:r>
                </w:p>
              </w:tc>
              <w:tc>
                <w:tcPr>
                  <w:tcW w:w="365" w:type="pct"/>
                  <w:vAlign w:val="center"/>
                </w:tcPr>
                <w:p>
                  <w:pPr>
                    <w:jc w:val="center"/>
                    <w:rPr>
                      <w:highlight w:val="none"/>
                    </w:rPr>
                  </w:pPr>
                  <w:r>
                    <w:rPr>
                      <w:rFonts w:hint="eastAsia"/>
                      <w:highlight w:val="none"/>
                    </w:rPr>
                    <w:t>HW49</w:t>
                  </w:r>
                </w:p>
              </w:tc>
              <w:tc>
                <w:tcPr>
                  <w:tcW w:w="524" w:type="pct"/>
                  <w:vAlign w:val="center"/>
                </w:tcPr>
                <w:p>
                  <w:pPr>
                    <w:jc w:val="center"/>
                    <w:rPr>
                      <w:highlight w:val="none"/>
                    </w:rPr>
                  </w:pPr>
                  <w:r>
                    <w:rPr>
                      <w:rFonts w:hint="eastAsia"/>
                      <w:highlight w:val="none"/>
                    </w:rPr>
                    <w:t>900-047-49</w:t>
                  </w:r>
                </w:p>
              </w:tc>
              <w:tc>
                <w:tcPr>
                  <w:tcW w:w="994" w:type="dxa"/>
                  <w:vAlign w:val="center"/>
                </w:tcPr>
                <w:p>
                  <w:pPr>
                    <w:pStyle w:val="58"/>
                    <w:jc w:val="center"/>
                    <w:rPr>
                      <w:kern w:val="2"/>
                      <w:sz w:val="21"/>
                      <w:szCs w:val="24"/>
                      <w:highlight w:val="none"/>
                    </w:rPr>
                  </w:pPr>
                  <w:r>
                    <w:rPr>
                      <w:rFonts w:hint="eastAsia"/>
                      <w:bCs/>
                      <w:snapToGrid w:val="0"/>
                      <w:kern w:val="21"/>
                      <w:sz w:val="21"/>
                      <w:highlight w:val="none"/>
                    </w:rPr>
                    <w:t>1.0</w:t>
                  </w:r>
                </w:p>
              </w:tc>
              <w:tc>
                <w:tcPr>
                  <w:tcW w:w="289" w:type="pct"/>
                  <w:shd w:val="clear" w:color="auto" w:fill="auto"/>
                  <w:vAlign w:val="center"/>
                </w:tcPr>
                <w:p>
                  <w:pPr>
                    <w:jc w:val="center"/>
                    <w:rPr>
                      <w:highlight w:val="none"/>
                    </w:rPr>
                  </w:pPr>
                  <w:r>
                    <w:rPr>
                      <w:rFonts w:hint="eastAsia"/>
                      <w:highlight w:val="none"/>
                    </w:rPr>
                    <w:t>液态、固态</w:t>
                  </w:r>
                </w:p>
              </w:tc>
              <w:tc>
                <w:tcPr>
                  <w:tcW w:w="452" w:type="pct"/>
                  <w:vAlign w:val="center"/>
                </w:tcPr>
                <w:p>
                  <w:pPr>
                    <w:jc w:val="center"/>
                    <w:rPr>
                      <w:highlight w:val="none"/>
                    </w:rPr>
                  </w:pPr>
                  <w:r>
                    <w:rPr>
                      <w:rFonts w:hint="eastAsia"/>
                      <w:highlight w:val="none"/>
                    </w:rPr>
                    <w:t>化学品</w:t>
                  </w:r>
                </w:p>
              </w:tc>
              <w:tc>
                <w:tcPr>
                  <w:tcW w:w="405" w:type="pct"/>
                  <w:shd w:val="clear" w:color="auto" w:fill="auto"/>
                  <w:vAlign w:val="center"/>
                </w:tcPr>
                <w:p>
                  <w:pPr>
                    <w:jc w:val="center"/>
                    <w:rPr>
                      <w:highlight w:val="none"/>
                    </w:rPr>
                  </w:pPr>
                  <w:r>
                    <w:rPr>
                      <w:rFonts w:hint="eastAsia"/>
                      <w:highlight w:val="none"/>
                    </w:rPr>
                    <w:t>T/C/I/R</w:t>
                  </w:r>
                </w:p>
              </w:tc>
              <w:tc>
                <w:tcPr>
                  <w:tcW w:w="284" w:type="pct"/>
                  <w:vMerge w:val="continue"/>
                  <w:vAlign w:val="center"/>
                </w:tcPr>
                <w:p>
                  <w:pPr>
                    <w:jc w:val="center"/>
                    <w:rPr>
                      <w:highlight w:val="none"/>
                    </w:rPr>
                  </w:pPr>
                </w:p>
              </w:tc>
              <w:tc>
                <w:tcPr>
                  <w:tcW w:w="387" w:type="pct"/>
                  <w:vMerge w:val="continue"/>
                  <w:vAlign w:val="center"/>
                </w:tcPr>
                <w:p>
                  <w:pPr>
                    <w:jc w:val="center"/>
                    <w:rPr>
                      <w:highlight w:val="none"/>
                    </w:rPr>
                  </w:pPr>
                </w:p>
              </w:tc>
              <w:tc>
                <w:tcPr>
                  <w:tcW w:w="448" w:type="pct"/>
                  <w:vMerge w:val="continue"/>
                  <w:vAlign w:val="center"/>
                </w:tcPr>
                <w:p>
                  <w:pPr>
                    <w:jc w:val="center"/>
                    <w:rPr>
                      <w:highlight w:val="none"/>
                    </w:rPr>
                  </w:pPr>
                </w:p>
              </w:tc>
              <w:tc>
                <w:tcPr>
                  <w:tcW w:w="431" w:type="pct"/>
                  <w:vMerge w:val="continue"/>
                  <w:vAlign w:val="center"/>
                </w:tcPr>
                <w:p>
                  <w:pPr>
                    <w:jc w:val="center"/>
                    <w:rPr>
                      <w:highlight w:val="none"/>
                    </w:rPr>
                  </w:pPr>
                </w:p>
              </w:tc>
              <w:tc>
                <w:tcPr>
                  <w:tcW w:w="428" w:type="pct"/>
                  <w:tcBorders>
                    <w:right w:val="nil"/>
                  </w:tcBorders>
                  <w:vAlign w:val="center"/>
                </w:tcPr>
                <w:p>
                  <w:pPr>
                    <w:pStyle w:val="58"/>
                    <w:jc w:val="center"/>
                    <w:rPr>
                      <w:kern w:val="2"/>
                      <w:sz w:val="21"/>
                      <w:szCs w:val="24"/>
                      <w:highlight w:val="none"/>
                    </w:rPr>
                  </w:pPr>
                  <w:r>
                    <w:rPr>
                      <w:rFonts w:hint="eastAsia"/>
                      <w:bCs/>
                      <w:snapToGrid w:val="0"/>
                      <w:kern w:val="21"/>
                      <w:sz w:val="21"/>
                      <w:highlight w:val="none"/>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highlight w:val="none"/>
                    </w:rPr>
                  </w:pPr>
                  <w:r>
                    <w:rPr>
                      <w:rFonts w:hint="eastAsia"/>
                      <w:highlight w:val="none"/>
                    </w:rPr>
                    <w:t>含油沾染废物</w:t>
                  </w:r>
                </w:p>
              </w:tc>
              <w:tc>
                <w:tcPr>
                  <w:tcW w:w="365" w:type="pct"/>
                  <w:vAlign w:val="center"/>
                </w:tcPr>
                <w:p>
                  <w:pPr>
                    <w:jc w:val="center"/>
                    <w:rPr>
                      <w:highlight w:val="none"/>
                    </w:rPr>
                  </w:pPr>
                  <w:r>
                    <w:rPr>
                      <w:highlight w:val="none"/>
                    </w:rPr>
                    <w:t>HW</w:t>
                  </w:r>
                  <w:r>
                    <w:rPr>
                      <w:rFonts w:hint="eastAsia"/>
                      <w:highlight w:val="none"/>
                    </w:rPr>
                    <w:t>49</w:t>
                  </w:r>
                </w:p>
              </w:tc>
              <w:tc>
                <w:tcPr>
                  <w:tcW w:w="524" w:type="pct"/>
                  <w:vAlign w:val="center"/>
                </w:tcPr>
                <w:p>
                  <w:pPr>
                    <w:jc w:val="center"/>
                    <w:rPr>
                      <w:highlight w:val="none"/>
                    </w:rPr>
                  </w:pPr>
                  <w:r>
                    <w:rPr>
                      <w:highlight w:val="none"/>
                    </w:rPr>
                    <w:t>900-041-49</w:t>
                  </w:r>
                </w:p>
              </w:tc>
              <w:tc>
                <w:tcPr>
                  <w:tcW w:w="994" w:type="dxa"/>
                  <w:vAlign w:val="center"/>
                </w:tcPr>
                <w:p>
                  <w:pPr>
                    <w:pStyle w:val="58"/>
                    <w:jc w:val="center"/>
                    <w:rPr>
                      <w:kern w:val="2"/>
                      <w:sz w:val="21"/>
                      <w:szCs w:val="24"/>
                      <w:highlight w:val="none"/>
                    </w:rPr>
                  </w:pPr>
                  <w:r>
                    <w:rPr>
                      <w:rFonts w:hint="eastAsia"/>
                      <w:kern w:val="2"/>
                      <w:sz w:val="21"/>
                      <w:szCs w:val="24"/>
                      <w:highlight w:val="none"/>
                    </w:rPr>
                    <w:t>0.2</w:t>
                  </w:r>
                </w:p>
              </w:tc>
              <w:tc>
                <w:tcPr>
                  <w:tcW w:w="289" w:type="pct"/>
                  <w:shd w:val="clear" w:color="auto" w:fill="auto"/>
                  <w:vAlign w:val="center"/>
                </w:tcPr>
                <w:p>
                  <w:pPr>
                    <w:jc w:val="center"/>
                    <w:rPr>
                      <w:highlight w:val="none"/>
                    </w:rPr>
                  </w:pPr>
                  <w:r>
                    <w:rPr>
                      <w:rFonts w:hint="eastAsia"/>
                      <w:highlight w:val="none"/>
                    </w:rPr>
                    <w:t>固态</w:t>
                  </w:r>
                </w:p>
              </w:tc>
              <w:tc>
                <w:tcPr>
                  <w:tcW w:w="452" w:type="pct"/>
                  <w:vAlign w:val="center"/>
                </w:tcPr>
                <w:p>
                  <w:pPr>
                    <w:jc w:val="center"/>
                    <w:rPr>
                      <w:highlight w:val="none"/>
                    </w:rPr>
                  </w:pPr>
                  <w:r>
                    <w:rPr>
                      <w:rFonts w:hint="eastAsia"/>
                      <w:highlight w:val="none"/>
                    </w:rPr>
                    <w:t>矿物油</w:t>
                  </w:r>
                </w:p>
              </w:tc>
              <w:tc>
                <w:tcPr>
                  <w:tcW w:w="405" w:type="pct"/>
                  <w:vAlign w:val="center"/>
                </w:tcPr>
                <w:p>
                  <w:pPr>
                    <w:jc w:val="center"/>
                    <w:rPr>
                      <w:highlight w:val="none"/>
                    </w:rPr>
                  </w:pPr>
                  <w:r>
                    <w:rPr>
                      <w:rFonts w:hint="eastAsia"/>
                      <w:highlight w:val="none"/>
                    </w:rPr>
                    <w:t>T，I</w:t>
                  </w:r>
                </w:p>
              </w:tc>
              <w:tc>
                <w:tcPr>
                  <w:tcW w:w="284" w:type="pct"/>
                  <w:vMerge w:val="continue"/>
                  <w:vAlign w:val="center"/>
                </w:tcPr>
                <w:p>
                  <w:pPr>
                    <w:jc w:val="center"/>
                    <w:rPr>
                      <w:highlight w:val="none"/>
                    </w:rPr>
                  </w:pPr>
                </w:p>
              </w:tc>
              <w:tc>
                <w:tcPr>
                  <w:tcW w:w="387" w:type="pct"/>
                  <w:vMerge w:val="continue"/>
                  <w:vAlign w:val="center"/>
                </w:tcPr>
                <w:p>
                  <w:pPr>
                    <w:jc w:val="center"/>
                    <w:rPr>
                      <w:highlight w:val="none"/>
                    </w:rPr>
                  </w:pPr>
                </w:p>
              </w:tc>
              <w:tc>
                <w:tcPr>
                  <w:tcW w:w="448" w:type="pct"/>
                  <w:vMerge w:val="continue"/>
                  <w:vAlign w:val="center"/>
                </w:tcPr>
                <w:p>
                  <w:pPr>
                    <w:jc w:val="center"/>
                    <w:rPr>
                      <w:highlight w:val="none"/>
                    </w:rPr>
                  </w:pPr>
                </w:p>
              </w:tc>
              <w:tc>
                <w:tcPr>
                  <w:tcW w:w="431" w:type="pct"/>
                  <w:vMerge w:val="continue"/>
                  <w:vAlign w:val="center"/>
                </w:tcPr>
                <w:p>
                  <w:pPr>
                    <w:jc w:val="center"/>
                    <w:rPr>
                      <w:highlight w:val="none"/>
                    </w:rPr>
                  </w:pPr>
                </w:p>
              </w:tc>
              <w:tc>
                <w:tcPr>
                  <w:tcW w:w="428" w:type="pct"/>
                  <w:tcBorders>
                    <w:right w:val="nil"/>
                  </w:tcBorders>
                  <w:vAlign w:val="center"/>
                </w:tcPr>
                <w:p>
                  <w:pPr>
                    <w:pStyle w:val="58"/>
                    <w:jc w:val="center"/>
                    <w:rPr>
                      <w:kern w:val="2"/>
                      <w:sz w:val="21"/>
                      <w:szCs w:val="24"/>
                      <w:highlight w:val="none"/>
                    </w:rPr>
                  </w:pPr>
                  <w:r>
                    <w:rPr>
                      <w:rFonts w:hint="eastAsia"/>
                      <w:bCs/>
                      <w:snapToGrid w:val="0"/>
                      <w:kern w:val="21"/>
                      <w:sz w:val="21"/>
                      <w:highlight w:val="none"/>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highlight w:val="none"/>
                    </w:rPr>
                  </w:pPr>
                  <w:r>
                    <w:rPr>
                      <w:rFonts w:hint="eastAsia"/>
                      <w:highlight w:val="none"/>
                    </w:rPr>
                    <w:t>废机油</w:t>
                  </w:r>
                </w:p>
              </w:tc>
              <w:tc>
                <w:tcPr>
                  <w:tcW w:w="365" w:type="pct"/>
                  <w:vAlign w:val="center"/>
                </w:tcPr>
                <w:p>
                  <w:pPr>
                    <w:jc w:val="center"/>
                    <w:rPr>
                      <w:highlight w:val="none"/>
                    </w:rPr>
                  </w:pPr>
                  <w:r>
                    <w:rPr>
                      <w:rFonts w:hint="eastAsia"/>
                      <w:highlight w:val="none"/>
                    </w:rPr>
                    <w:t>HW08</w:t>
                  </w:r>
                </w:p>
              </w:tc>
              <w:tc>
                <w:tcPr>
                  <w:tcW w:w="524" w:type="pct"/>
                  <w:vAlign w:val="center"/>
                </w:tcPr>
                <w:p>
                  <w:pPr>
                    <w:jc w:val="center"/>
                    <w:rPr>
                      <w:highlight w:val="none"/>
                    </w:rPr>
                  </w:pPr>
                  <w:r>
                    <w:rPr>
                      <w:rFonts w:hint="eastAsia"/>
                      <w:highlight w:val="none"/>
                    </w:rPr>
                    <w:t>900-249-08</w:t>
                  </w:r>
                </w:p>
              </w:tc>
              <w:tc>
                <w:tcPr>
                  <w:tcW w:w="994" w:type="dxa"/>
                  <w:vAlign w:val="center"/>
                </w:tcPr>
                <w:p>
                  <w:pPr>
                    <w:pStyle w:val="58"/>
                    <w:jc w:val="center"/>
                    <w:rPr>
                      <w:bCs/>
                      <w:snapToGrid w:val="0"/>
                      <w:kern w:val="21"/>
                      <w:sz w:val="21"/>
                      <w:highlight w:val="none"/>
                    </w:rPr>
                  </w:pPr>
                  <w:r>
                    <w:rPr>
                      <w:rFonts w:hint="eastAsia"/>
                      <w:bCs/>
                      <w:snapToGrid w:val="0"/>
                      <w:kern w:val="21"/>
                      <w:sz w:val="21"/>
                      <w:highlight w:val="none"/>
                    </w:rPr>
                    <w:t>0.1</w:t>
                  </w:r>
                </w:p>
              </w:tc>
              <w:tc>
                <w:tcPr>
                  <w:tcW w:w="289" w:type="pct"/>
                  <w:shd w:val="clear" w:color="auto" w:fill="auto"/>
                  <w:vAlign w:val="center"/>
                </w:tcPr>
                <w:p>
                  <w:pPr>
                    <w:jc w:val="center"/>
                    <w:rPr>
                      <w:rFonts w:hint="eastAsia" w:eastAsia="宋体"/>
                      <w:highlight w:val="none"/>
                      <w:lang w:eastAsia="zh-CN"/>
                    </w:rPr>
                  </w:pPr>
                  <w:r>
                    <w:rPr>
                      <w:rFonts w:hint="eastAsia"/>
                      <w:color w:val="0000FF"/>
                      <w:highlight w:val="none"/>
                      <w:lang w:val="en-US" w:eastAsia="zh-CN"/>
                    </w:rPr>
                    <w:t>液态</w:t>
                  </w:r>
                </w:p>
              </w:tc>
              <w:tc>
                <w:tcPr>
                  <w:tcW w:w="452" w:type="pct"/>
                  <w:vAlign w:val="center"/>
                </w:tcPr>
                <w:p>
                  <w:pPr>
                    <w:jc w:val="center"/>
                    <w:rPr>
                      <w:szCs w:val="18"/>
                      <w:highlight w:val="none"/>
                    </w:rPr>
                  </w:pPr>
                  <w:r>
                    <w:rPr>
                      <w:rFonts w:hint="eastAsia"/>
                      <w:szCs w:val="18"/>
                      <w:highlight w:val="none"/>
                    </w:rPr>
                    <w:t>矿物油</w:t>
                  </w:r>
                </w:p>
              </w:tc>
              <w:tc>
                <w:tcPr>
                  <w:tcW w:w="405" w:type="pct"/>
                  <w:vAlign w:val="center"/>
                </w:tcPr>
                <w:p>
                  <w:pPr>
                    <w:jc w:val="center"/>
                    <w:rPr>
                      <w:highlight w:val="none"/>
                    </w:rPr>
                  </w:pPr>
                  <w:r>
                    <w:rPr>
                      <w:rFonts w:hint="eastAsia"/>
                      <w:highlight w:val="none"/>
                    </w:rPr>
                    <w:t>T，I</w:t>
                  </w:r>
                </w:p>
              </w:tc>
              <w:tc>
                <w:tcPr>
                  <w:tcW w:w="284" w:type="pct"/>
                  <w:vMerge w:val="continue"/>
                  <w:vAlign w:val="center"/>
                </w:tcPr>
                <w:p>
                  <w:pPr>
                    <w:jc w:val="center"/>
                    <w:rPr>
                      <w:highlight w:val="none"/>
                    </w:rPr>
                  </w:pPr>
                </w:p>
              </w:tc>
              <w:tc>
                <w:tcPr>
                  <w:tcW w:w="387" w:type="pct"/>
                  <w:vMerge w:val="continue"/>
                  <w:vAlign w:val="center"/>
                </w:tcPr>
                <w:p>
                  <w:pPr>
                    <w:jc w:val="center"/>
                    <w:rPr>
                      <w:highlight w:val="none"/>
                    </w:rPr>
                  </w:pPr>
                </w:p>
              </w:tc>
              <w:tc>
                <w:tcPr>
                  <w:tcW w:w="448" w:type="pct"/>
                  <w:vMerge w:val="continue"/>
                  <w:vAlign w:val="center"/>
                </w:tcPr>
                <w:p>
                  <w:pPr>
                    <w:jc w:val="center"/>
                    <w:rPr>
                      <w:highlight w:val="none"/>
                    </w:rPr>
                  </w:pPr>
                </w:p>
              </w:tc>
              <w:tc>
                <w:tcPr>
                  <w:tcW w:w="431" w:type="pct"/>
                  <w:vMerge w:val="continue"/>
                  <w:vAlign w:val="center"/>
                </w:tcPr>
                <w:p>
                  <w:pPr>
                    <w:jc w:val="center"/>
                    <w:rPr>
                      <w:szCs w:val="22"/>
                      <w:highlight w:val="none"/>
                    </w:rPr>
                  </w:pPr>
                </w:p>
              </w:tc>
              <w:tc>
                <w:tcPr>
                  <w:tcW w:w="428" w:type="pct"/>
                  <w:tcBorders>
                    <w:right w:val="nil"/>
                  </w:tcBorders>
                  <w:vAlign w:val="center"/>
                </w:tcPr>
                <w:p>
                  <w:pPr>
                    <w:pStyle w:val="58"/>
                    <w:jc w:val="center"/>
                    <w:rPr>
                      <w:bCs/>
                      <w:snapToGrid w:val="0"/>
                      <w:kern w:val="21"/>
                      <w:sz w:val="21"/>
                      <w:highlight w:val="none"/>
                    </w:rPr>
                  </w:pPr>
                  <w:r>
                    <w:rPr>
                      <w:rFonts w:hint="eastAsia"/>
                      <w:bCs/>
                      <w:snapToGrid w:val="0"/>
                      <w:kern w:val="21"/>
                      <w:sz w:val="21"/>
                      <w:highlight w:val="none"/>
                    </w:rPr>
                    <w:t>桶装密封</w:t>
                  </w:r>
                </w:p>
              </w:tc>
            </w:tr>
          </w:tbl>
          <w:p>
            <w:pPr>
              <w:spacing w:line="360" w:lineRule="auto"/>
              <w:jc w:val="center"/>
              <w:rPr>
                <w:sz w:val="24"/>
                <w:highlight w:val="none"/>
              </w:rPr>
            </w:pPr>
          </w:p>
        </w:tc>
      </w:tr>
    </w:tbl>
    <w:p>
      <w:pPr>
        <w:rPr>
          <w:highlight w:val="none"/>
        </w:rPr>
        <w:sectPr>
          <w:pgSz w:w="16840" w:h="11907" w:orient="landscape"/>
          <w:pgMar w:top="1531" w:right="1531" w:bottom="1531" w:left="1531" w:header="851" w:footer="851" w:gutter="0"/>
          <w:pgBorders>
            <w:top w:val="none" w:sz="0" w:space="0"/>
            <w:left w:val="none" w:sz="0" w:space="0"/>
            <w:bottom w:val="none" w:sz="0" w:space="0"/>
            <w:right w:val="none" w:sz="0" w:space="0"/>
          </w:pgBorders>
          <w:cols w:space="720" w:num="1"/>
          <w:docGrid w:linePitch="312" w:charSpace="0"/>
        </w:sectPr>
      </w:pPr>
    </w:p>
    <w:tbl>
      <w:tblPr>
        <w:tblStyle w:val="3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9" w:hRule="atLeast"/>
          <w:jc w:val="center"/>
        </w:trPr>
        <w:tc>
          <w:tcPr>
            <w:tcW w:w="457" w:type="dxa"/>
            <w:tcMar>
              <w:left w:w="28" w:type="dxa"/>
              <w:right w:w="28" w:type="dxa"/>
            </w:tcMar>
            <w:vAlign w:val="center"/>
          </w:tcPr>
          <w:p>
            <w:pPr>
              <w:widowControl/>
              <w:jc w:val="center"/>
              <w:rPr>
                <w:b/>
                <w:bCs/>
                <w:kern w:val="0"/>
                <w:sz w:val="24"/>
                <w:szCs w:val="20"/>
                <w:highlight w:val="none"/>
              </w:rPr>
            </w:pPr>
            <w:r>
              <w:rPr>
                <w:rFonts w:hint="eastAsia"/>
                <w:b/>
                <w:bCs/>
                <w:kern w:val="0"/>
                <w:sz w:val="24"/>
                <w:szCs w:val="20"/>
                <w:highlight w:val="none"/>
              </w:rPr>
              <w:t>运</w:t>
            </w:r>
          </w:p>
          <w:p>
            <w:pPr>
              <w:widowControl/>
              <w:jc w:val="center"/>
              <w:rPr>
                <w:b/>
                <w:bCs/>
                <w:kern w:val="0"/>
                <w:sz w:val="24"/>
                <w:szCs w:val="20"/>
                <w:highlight w:val="none"/>
              </w:rPr>
            </w:pPr>
            <w:r>
              <w:rPr>
                <w:rFonts w:hint="eastAsia"/>
                <w:b/>
                <w:bCs/>
                <w:kern w:val="0"/>
                <w:sz w:val="24"/>
                <w:szCs w:val="20"/>
                <w:highlight w:val="none"/>
              </w:rPr>
              <w:t>营</w:t>
            </w:r>
            <w:r>
              <w:rPr>
                <w:b/>
                <w:bCs/>
                <w:kern w:val="0"/>
                <w:sz w:val="24"/>
                <w:szCs w:val="20"/>
                <w:highlight w:val="none"/>
              </w:rPr>
              <w:t>期</w:t>
            </w:r>
          </w:p>
          <w:p>
            <w:pPr>
              <w:widowControl/>
              <w:jc w:val="center"/>
              <w:rPr>
                <w:b/>
                <w:bCs/>
                <w:kern w:val="0"/>
                <w:sz w:val="24"/>
                <w:szCs w:val="20"/>
                <w:highlight w:val="none"/>
              </w:rPr>
            </w:pPr>
            <w:r>
              <w:rPr>
                <w:b/>
                <w:bCs/>
                <w:kern w:val="0"/>
                <w:sz w:val="24"/>
                <w:szCs w:val="20"/>
                <w:highlight w:val="none"/>
              </w:rPr>
              <w:t>环</w:t>
            </w:r>
          </w:p>
          <w:p>
            <w:pPr>
              <w:widowControl/>
              <w:jc w:val="center"/>
              <w:rPr>
                <w:b/>
                <w:bCs/>
                <w:kern w:val="0"/>
                <w:sz w:val="24"/>
                <w:szCs w:val="20"/>
                <w:highlight w:val="none"/>
              </w:rPr>
            </w:pPr>
            <w:r>
              <w:rPr>
                <w:b/>
                <w:bCs/>
                <w:kern w:val="0"/>
                <w:sz w:val="24"/>
                <w:szCs w:val="20"/>
                <w:highlight w:val="none"/>
              </w:rPr>
              <w:t>境</w:t>
            </w:r>
          </w:p>
          <w:p>
            <w:pPr>
              <w:widowControl/>
              <w:jc w:val="center"/>
              <w:rPr>
                <w:b/>
                <w:bCs/>
                <w:kern w:val="0"/>
                <w:sz w:val="24"/>
                <w:szCs w:val="20"/>
                <w:highlight w:val="none"/>
              </w:rPr>
            </w:pPr>
            <w:r>
              <w:rPr>
                <w:b/>
                <w:bCs/>
                <w:kern w:val="0"/>
                <w:sz w:val="24"/>
                <w:szCs w:val="20"/>
                <w:highlight w:val="none"/>
              </w:rPr>
              <w:t>保</w:t>
            </w:r>
          </w:p>
          <w:p>
            <w:pPr>
              <w:widowControl/>
              <w:jc w:val="center"/>
              <w:rPr>
                <w:b/>
                <w:bCs/>
                <w:kern w:val="0"/>
                <w:sz w:val="24"/>
                <w:szCs w:val="20"/>
                <w:highlight w:val="none"/>
              </w:rPr>
            </w:pPr>
            <w:r>
              <w:rPr>
                <w:b/>
                <w:bCs/>
                <w:kern w:val="0"/>
                <w:sz w:val="24"/>
                <w:szCs w:val="20"/>
                <w:highlight w:val="none"/>
              </w:rPr>
              <w:t>护</w:t>
            </w:r>
          </w:p>
          <w:p>
            <w:pPr>
              <w:widowControl/>
              <w:jc w:val="center"/>
              <w:rPr>
                <w:b/>
                <w:bCs/>
                <w:kern w:val="0"/>
                <w:sz w:val="24"/>
                <w:szCs w:val="20"/>
                <w:highlight w:val="none"/>
              </w:rPr>
            </w:pPr>
            <w:r>
              <w:rPr>
                <w:b/>
                <w:bCs/>
                <w:kern w:val="0"/>
                <w:sz w:val="24"/>
                <w:szCs w:val="20"/>
                <w:highlight w:val="none"/>
              </w:rPr>
              <w:t>措</w:t>
            </w:r>
          </w:p>
          <w:p>
            <w:pPr>
              <w:widowControl/>
              <w:jc w:val="center"/>
              <w:rPr>
                <w:b/>
                <w:bCs/>
                <w:sz w:val="24"/>
                <w:szCs w:val="21"/>
                <w:highlight w:val="none"/>
              </w:rPr>
            </w:pPr>
            <w:r>
              <w:rPr>
                <w:b/>
                <w:bCs/>
                <w:kern w:val="0"/>
                <w:sz w:val="24"/>
                <w:szCs w:val="20"/>
                <w:highlight w:val="none"/>
              </w:rPr>
              <w:t>施</w:t>
            </w:r>
          </w:p>
        </w:tc>
        <w:tc>
          <w:tcPr>
            <w:tcW w:w="8524" w:type="dxa"/>
            <w:vAlign w:val="center"/>
          </w:tcPr>
          <w:p>
            <w:pPr>
              <w:spacing w:line="360" w:lineRule="auto"/>
              <w:ind w:firstLine="480" w:firstLineChars="200"/>
              <w:rPr>
                <w:sz w:val="24"/>
                <w:highlight w:val="none"/>
              </w:rPr>
            </w:pPr>
            <w:r>
              <w:rPr>
                <w:rFonts w:hint="eastAsia"/>
                <w:sz w:val="24"/>
                <w:highlight w:val="none"/>
              </w:rPr>
              <w:t>（2）固体废物源强核算过程</w:t>
            </w:r>
          </w:p>
          <w:p>
            <w:pPr>
              <w:wordWrap w:val="0"/>
              <w:topLinePunct/>
              <w:spacing w:line="360" w:lineRule="auto"/>
              <w:ind w:firstLine="480" w:firstLineChars="200"/>
              <w:jc w:val="left"/>
              <w:rPr>
                <w:sz w:val="24"/>
                <w:highlight w:val="none"/>
              </w:rPr>
            </w:pPr>
            <w:r>
              <w:rPr>
                <w:color w:val="000000"/>
                <w:kern w:val="0"/>
                <w:sz w:val="24"/>
                <w:highlight w:val="none"/>
                <w:lang w:bidi="ar"/>
              </w:rPr>
              <w:t>1）一般工业固体废物</w:t>
            </w:r>
          </w:p>
          <w:p>
            <w:pPr>
              <w:pStyle w:val="96"/>
              <w:ind w:firstLine="480"/>
              <w:rPr>
                <w:highlight w:val="none"/>
              </w:rPr>
            </w:pPr>
            <w:r>
              <w:rPr>
                <w:rFonts w:hint="eastAsia"/>
                <w:highlight w:val="none"/>
              </w:rPr>
              <w:t>①不合格蛋</w:t>
            </w:r>
          </w:p>
          <w:p>
            <w:pPr>
              <w:pStyle w:val="96"/>
              <w:ind w:firstLine="480"/>
              <w:rPr>
                <w:color w:val="0000FF"/>
                <w:highlight w:val="none"/>
              </w:rPr>
            </w:pPr>
            <w:r>
              <w:rPr>
                <w:rFonts w:hint="eastAsia"/>
                <w:color w:val="0000FF"/>
                <w:highlight w:val="none"/>
              </w:rPr>
              <w:t>原料分选过程中</w:t>
            </w:r>
            <w:r>
              <w:rPr>
                <w:rFonts w:hint="eastAsia"/>
                <w:color w:val="0000FF"/>
                <w:highlight w:val="none"/>
                <w:lang w:val="en-US" w:eastAsia="zh-CN"/>
              </w:rPr>
              <w:t>鲜鸡蛋不合格率约0.5%，不合格蛋</w:t>
            </w:r>
            <w:r>
              <w:rPr>
                <w:rFonts w:hint="eastAsia"/>
                <w:color w:val="0000FF"/>
                <w:highlight w:val="none"/>
              </w:rPr>
              <w:t>产生量约为</w:t>
            </w:r>
            <w:r>
              <w:rPr>
                <w:rFonts w:hint="eastAsia"/>
                <w:color w:val="0000FF"/>
                <w:highlight w:val="none"/>
                <w:lang w:val="en-US" w:eastAsia="zh-CN"/>
              </w:rPr>
              <w:t>140</w:t>
            </w:r>
            <w:r>
              <w:rPr>
                <w:rFonts w:hint="eastAsia"/>
                <w:color w:val="0000FF"/>
                <w:highlight w:val="none"/>
              </w:rPr>
              <w:t>t/a，一般固体废物代码为900-099-S13，经集中收集后暂存于一般固废暂存间，外售综合利用。</w:t>
            </w:r>
          </w:p>
          <w:p>
            <w:pPr>
              <w:pStyle w:val="96"/>
              <w:ind w:firstLine="480"/>
              <w:rPr>
                <w:highlight w:val="none"/>
              </w:rPr>
            </w:pPr>
            <w:r>
              <w:rPr>
                <w:rFonts w:hint="eastAsia"/>
                <w:highlight w:val="none"/>
              </w:rPr>
              <w:t>②废蛋液</w:t>
            </w:r>
          </w:p>
          <w:p>
            <w:pPr>
              <w:pStyle w:val="96"/>
              <w:ind w:firstLine="480"/>
              <w:rPr>
                <w:highlight w:val="none"/>
              </w:rPr>
            </w:pPr>
            <w:r>
              <w:rPr>
                <w:rFonts w:hint="eastAsia"/>
                <w:highlight w:val="none"/>
              </w:rPr>
              <w:t>蛋液制品在打蛋过程中产生的废蛋液，产生量约为22t/a，废物代码为 900-099-S13，经集中收集后暂存于一般固废暂存间，外售综合利用。</w:t>
            </w:r>
          </w:p>
          <w:p>
            <w:pPr>
              <w:pStyle w:val="96"/>
              <w:ind w:firstLine="480"/>
              <w:rPr>
                <w:highlight w:val="none"/>
              </w:rPr>
            </w:pPr>
            <w:r>
              <w:rPr>
                <w:rFonts w:hint="eastAsia"/>
                <w:highlight w:val="none"/>
              </w:rPr>
              <w:t>③蛋壳</w:t>
            </w:r>
          </w:p>
          <w:p>
            <w:pPr>
              <w:pStyle w:val="96"/>
              <w:ind w:firstLine="480"/>
              <w:rPr>
                <w:highlight w:val="none"/>
              </w:rPr>
            </w:pPr>
            <w:r>
              <w:rPr>
                <w:rFonts w:hint="eastAsia"/>
                <w:highlight w:val="none"/>
              </w:rPr>
              <w:t>打蛋过程中产生蛋壳，根据企业经验，蛋壳约占全蛋重量的10%左右，蛋壳产量约为</w:t>
            </w:r>
            <w:r>
              <w:rPr>
                <w:rFonts w:hint="eastAsia"/>
                <w:highlight w:val="none"/>
                <w:lang w:val="en-US" w:eastAsia="zh-CN"/>
              </w:rPr>
              <w:t>2788</w:t>
            </w:r>
            <w:r>
              <w:rPr>
                <w:rFonts w:hint="eastAsia"/>
                <w:highlight w:val="none"/>
              </w:rPr>
              <w:t>t/a，废物代码为 900-099-S13，经收集后暂存于蛋壳暂存间，日产日清，外售综合利用。</w:t>
            </w:r>
          </w:p>
          <w:p>
            <w:pPr>
              <w:pStyle w:val="96"/>
              <w:ind w:firstLine="480"/>
              <w:rPr>
                <w:highlight w:val="none"/>
              </w:rPr>
            </w:pPr>
            <w:r>
              <w:rPr>
                <w:rFonts w:hint="eastAsia"/>
                <w:highlight w:val="none"/>
              </w:rPr>
              <w:t>④过滤废弃物</w:t>
            </w:r>
          </w:p>
          <w:p>
            <w:pPr>
              <w:pStyle w:val="96"/>
              <w:ind w:firstLine="480"/>
              <w:rPr>
                <w:highlight w:val="none"/>
              </w:rPr>
            </w:pPr>
            <w:r>
              <w:rPr>
                <w:rFonts w:hint="eastAsia"/>
                <w:highlight w:val="none"/>
              </w:rPr>
              <w:t>蛋液制品在过滤过程中产生的过滤废弃物，产生量约为 25t/a，废物代码为 900-099-S13，经集中收集后暂存于一般固废暂存间，外售综合利用。</w:t>
            </w:r>
          </w:p>
          <w:p>
            <w:pPr>
              <w:pStyle w:val="96"/>
              <w:ind w:firstLine="480"/>
              <w:rPr>
                <w:highlight w:val="none"/>
              </w:rPr>
            </w:pPr>
            <w:r>
              <w:rPr>
                <w:rFonts w:hint="eastAsia"/>
                <w:highlight w:val="none"/>
              </w:rPr>
              <w:t>⑤不合格品</w:t>
            </w:r>
          </w:p>
          <w:p>
            <w:pPr>
              <w:pStyle w:val="96"/>
              <w:ind w:firstLine="480"/>
              <w:rPr>
                <w:highlight w:val="none"/>
              </w:rPr>
            </w:pPr>
            <w:r>
              <w:rPr>
                <w:rFonts w:hint="eastAsia"/>
                <w:highlight w:val="none"/>
              </w:rPr>
              <w:t>产品检验过程会产生不合格品，产生量约为25t/a，一般固体废物代码为 900-099-S13，经集中收集后暂存于一般固废暂存间，外售综合利用。</w:t>
            </w:r>
          </w:p>
          <w:p>
            <w:pPr>
              <w:pStyle w:val="96"/>
              <w:ind w:firstLine="480"/>
              <w:rPr>
                <w:highlight w:val="none"/>
              </w:rPr>
            </w:pPr>
            <w:r>
              <w:rPr>
                <w:rFonts w:hint="eastAsia"/>
                <w:highlight w:val="none"/>
              </w:rPr>
              <w:t>⑥废包装材料</w:t>
            </w:r>
          </w:p>
          <w:p>
            <w:pPr>
              <w:pStyle w:val="96"/>
              <w:ind w:firstLine="480"/>
              <w:rPr>
                <w:highlight w:val="none"/>
              </w:rPr>
            </w:pPr>
            <w:r>
              <w:rPr>
                <w:rFonts w:hint="eastAsia"/>
                <w:highlight w:val="none"/>
              </w:rPr>
              <w:t>包装过程产生的废包装材料，产生量约为0.5t/a，废物种类为 SW17、废物代码为 900-003-S17，经集中收集后暂存于一般固废暂存间，外售综合利用。</w:t>
            </w:r>
          </w:p>
          <w:p>
            <w:pPr>
              <w:pStyle w:val="96"/>
              <w:ind w:firstLine="480"/>
              <w:rPr>
                <w:highlight w:val="none"/>
              </w:rPr>
            </w:pPr>
            <w:r>
              <w:rPr>
                <w:rFonts w:hint="eastAsia"/>
                <w:highlight w:val="none"/>
              </w:rPr>
              <w:t>⑦废布袋</w:t>
            </w:r>
          </w:p>
          <w:p>
            <w:pPr>
              <w:pStyle w:val="96"/>
              <w:ind w:firstLine="480"/>
              <w:rPr>
                <w:highlight w:val="none"/>
              </w:rPr>
            </w:pPr>
            <w:r>
              <w:rPr>
                <w:rFonts w:hint="eastAsia"/>
                <w:highlight w:val="none"/>
              </w:rPr>
              <w:t>布袋除尘器运行过程会产生废布袋，产生量约为0.2t/a，废物种类为 SW59、废物代码为 900-009-S59，经集中收集后暂存于一般固废暂存间，外售综合利用。</w:t>
            </w:r>
          </w:p>
          <w:p>
            <w:pPr>
              <w:pStyle w:val="96"/>
              <w:ind w:firstLine="480"/>
              <w:rPr>
                <w:highlight w:val="none"/>
              </w:rPr>
            </w:pPr>
            <w:r>
              <w:rPr>
                <w:rFonts w:hint="eastAsia"/>
                <w:highlight w:val="none"/>
              </w:rPr>
              <w:t>⑧除尘灰</w:t>
            </w:r>
          </w:p>
          <w:p>
            <w:pPr>
              <w:pStyle w:val="96"/>
              <w:ind w:firstLine="480"/>
              <w:rPr>
                <w:highlight w:val="none"/>
              </w:rPr>
            </w:pPr>
            <w:r>
              <w:rPr>
                <w:rFonts w:hint="eastAsia"/>
                <w:highlight w:val="none"/>
              </w:rPr>
              <w:t>布袋除尘器运行过程收集的粉尘，产生量约为</w:t>
            </w:r>
            <w:r>
              <w:rPr>
                <w:rFonts w:hint="eastAsia"/>
                <w:highlight w:val="none"/>
                <w:lang w:val="en-US" w:eastAsia="zh-CN"/>
              </w:rPr>
              <w:t>0.8</w:t>
            </w:r>
            <w:r>
              <w:rPr>
                <w:rFonts w:hint="eastAsia"/>
                <w:highlight w:val="none"/>
              </w:rPr>
              <w:t>t/a，废物种类为 SW59、废物代码为 900-099-S59，经集中收集后暂存于一般固废暂存间，外售综合利用。</w:t>
            </w:r>
          </w:p>
          <w:p>
            <w:pPr>
              <w:pStyle w:val="96"/>
              <w:ind w:firstLine="480"/>
              <w:rPr>
                <w:highlight w:val="none"/>
              </w:rPr>
            </w:pPr>
            <w:r>
              <w:rPr>
                <w:rFonts w:hint="eastAsia"/>
                <w:highlight w:val="none"/>
              </w:rPr>
              <w:t>⑨污泥</w:t>
            </w:r>
          </w:p>
          <w:p>
            <w:pPr>
              <w:pStyle w:val="96"/>
              <w:ind w:firstLine="480"/>
              <w:rPr>
                <w:rFonts w:hint="eastAsia"/>
                <w:highlight w:val="none"/>
              </w:rPr>
            </w:pPr>
            <w:r>
              <w:rPr>
                <w:rFonts w:hint="eastAsia"/>
                <w:highlight w:val="none"/>
              </w:rPr>
              <w:t>根据经验系数，污水处理站中污泥产生量约为污水处理量的0.04％，本项目污水处理量</w:t>
            </w:r>
            <w:r>
              <w:rPr>
                <w:rFonts w:hint="eastAsia"/>
                <w:color w:val="0000FF"/>
                <w:highlight w:val="none"/>
              </w:rPr>
              <w:t>为</w:t>
            </w:r>
            <w:r>
              <w:rPr>
                <w:rFonts w:hint="eastAsia"/>
                <w:color w:val="0000FF"/>
                <w:highlight w:val="none"/>
                <w:lang w:val="en-US" w:eastAsia="zh-CN"/>
              </w:rPr>
              <w:t>42636</w:t>
            </w:r>
            <w:r>
              <w:rPr>
                <w:rFonts w:hint="eastAsia"/>
                <w:color w:val="0000FF"/>
                <w:highlight w:val="none"/>
              </w:rPr>
              <w:t>t/a，则污泥年产生量约为</w:t>
            </w:r>
            <w:r>
              <w:rPr>
                <w:rFonts w:hint="eastAsia"/>
                <w:color w:val="0000FF"/>
                <w:highlight w:val="none"/>
                <w:lang w:val="en-US" w:eastAsia="zh-CN"/>
              </w:rPr>
              <w:t>17.05</w:t>
            </w:r>
            <w:r>
              <w:rPr>
                <w:rFonts w:hint="eastAsia"/>
                <w:color w:val="0000FF"/>
                <w:highlight w:val="none"/>
              </w:rPr>
              <w:t>t/a</w:t>
            </w:r>
            <w:r>
              <w:rPr>
                <w:rFonts w:hint="eastAsia"/>
                <w:color w:val="0000FF"/>
                <w:highlight w:val="none"/>
                <w:lang w:eastAsia="zh-CN"/>
              </w:rPr>
              <w:t>（</w:t>
            </w:r>
            <w:r>
              <w:rPr>
                <w:rFonts w:hint="eastAsia"/>
                <w:color w:val="0000FF"/>
                <w:highlight w:val="none"/>
                <w:lang w:val="en-US" w:eastAsia="zh-CN"/>
              </w:rPr>
              <w:t>含水率60%</w:t>
            </w:r>
            <w:r>
              <w:rPr>
                <w:rFonts w:hint="eastAsia"/>
                <w:color w:val="0000FF"/>
                <w:highlight w:val="none"/>
                <w:lang w:eastAsia="zh-CN"/>
              </w:rPr>
              <w:t>）</w:t>
            </w:r>
            <w:r>
              <w:rPr>
                <w:rFonts w:hint="eastAsia"/>
                <w:highlight w:val="none"/>
              </w:rPr>
              <w:t>，废物代码为 140-001-S07，经集中收集后暂存于一般固废暂存间，交有关单位进行无害化处理。</w:t>
            </w:r>
          </w:p>
          <w:p>
            <w:pPr>
              <w:pStyle w:val="72"/>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cs="Times New Roman"/>
                <w:color w:val="0000FF"/>
                <w:sz w:val="24"/>
                <w:highlight w:val="none"/>
              </w:rPr>
            </w:pPr>
            <w:r>
              <w:rPr>
                <w:rFonts w:hint="eastAsia" w:ascii="Times New Roman" w:hAnsi="Times New Roman" w:cs="Times New Roman"/>
                <w:color w:val="auto"/>
                <w:sz w:val="24"/>
                <w:highlight w:val="none"/>
                <w:lang w:val="en-US" w:eastAsia="zh-CN"/>
              </w:rPr>
              <w:t>⑩</w:t>
            </w:r>
            <w:r>
              <w:rPr>
                <w:rFonts w:hint="eastAsia" w:ascii="Times New Roman" w:hAnsi="Times New Roman" w:cs="Times New Roman"/>
                <w:color w:val="0000FF"/>
                <w:sz w:val="24"/>
                <w:highlight w:val="none"/>
                <w:lang w:val="en-US" w:eastAsia="zh-CN"/>
              </w:rPr>
              <w:t>锅炉炉渣</w:t>
            </w:r>
          </w:p>
          <w:p>
            <w:pPr>
              <w:pStyle w:val="96"/>
              <w:ind w:firstLine="480"/>
              <w:rPr>
                <w:rFonts w:hint="eastAsia" w:ascii="Times New Roman" w:hAnsi="Times New Roman" w:cs="Times New Roman"/>
                <w:color w:val="0000FF"/>
                <w:sz w:val="24"/>
                <w:highlight w:val="none"/>
                <w:lang w:val="en-US" w:eastAsia="zh-CN"/>
              </w:rPr>
            </w:pPr>
            <w:r>
              <w:rPr>
                <w:rFonts w:hint="eastAsia" w:ascii="Times New Roman" w:hAnsi="Times New Roman" w:cs="Times New Roman"/>
                <w:color w:val="0000FF"/>
                <w:sz w:val="24"/>
                <w:highlight w:val="none"/>
                <w:lang w:val="en-US" w:eastAsia="zh-CN"/>
              </w:rPr>
              <w:t>生物质锅炉燃烧会产生炉渣，参照《污染源源强核算技术指南 锅炉》（</w:t>
            </w:r>
            <w:r>
              <w:rPr>
                <w:rFonts w:hint="default" w:ascii="Times New Roman" w:hAnsi="Times New Roman" w:cs="Times New Roman"/>
                <w:color w:val="0000FF"/>
                <w:sz w:val="24"/>
                <w:highlight w:val="none"/>
                <w:lang w:val="en-US" w:eastAsia="zh-CN"/>
              </w:rPr>
              <w:t>HJ991-2018</w:t>
            </w:r>
            <w:r>
              <w:rPr>
                <w:rFonts w:hint="eastAsia" w:ascii="Times New Roman" w:hAnsi="Times New Roman" w:cs="Times New Roman"/>
                <w:color w:val="0000FF"/>
                <w:sz w:val="24"/>
                <w:highlight w:val="none"/>
                <w:lang w:val="en-US" w:eastAsia="zh-CN"/>
              </w:rPr>
              <w:t>）计算锅炉炉渣产生量，锅炉炉渣计算公式如下：</w:t>
            </w:r>
          </w:p>
          <w:p>
            <w:pPr>
              <w:pStyle w:val="7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color w:val="0000FF"/>
                <w:sz w:val="24"/>
                <w:highlight w:val="none"/>
              </w:rPr>
            </w:pPr>
            <w:r>
              <w:rPr>
                <w:rFonts w:hint="default"/>
                <w:color w:val="0000FF"/>
                <w:highlight w:val="none"/>
              </w:rPr>
              <w:drawing>
                <wp:inline distT="0" distB="0" distL="114300" distR="114300">
                  <wp:extent cx="1885950" cy="481965"/>
                  <wp:effectExtent l="0" t="0" r="0" b="133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36"/>
                          <a:srcRect t="7341"/>
                          <a:stretch>
                            <a:fillRect/>
                          </a:stretch>
                        </pic:blipFill>
                        <pic:spPr>
                          <a:xfrm>
                            <a:off x="0" y="0"/>
                            <a:ext cx="1885950" cy="481965"/>
                          </a:xfrm>
                          <a:prstGeom prst="rect">
                            <a:avLst/>
                          </a:prstGeom>
                          <a:noFill/>
                          <a:ln>
                            <a:noFill/>
                          </a:ln>
                        </pic:spPr>
                      </pic:pic>
                    </a:graphicData>
                  </a:graphic>
                </wp:inline>
              </w:drawing>
            </w:r>
          </w:p>
          <w:p>
            <w:pPr>
              <w:pStyle w:val="72"/>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cs="Times New Roman"/>
                <w:color w:val="0000FF"/>
                <w:sz w:val="24"/>
                <w:highlight w:val="none"/>
              </w:rPr>
            </w:pPr>
            <w:r>
              <w:rPr>
                <w:rFonts w:hint="eastAsia" w:ascii="Times New Roman" w:hAnsi="Times New Roman" w:cs="Times New Roman"/>
                <w:color w:val="0000FF"/>
                <w:sz w:val="24"/>
                <w:highlight w:val="none"/>
                <w:lang w:val="en-US" w:eastAsia="zh-CN"/>
              </w:rPr>
              <w:t>式中：</w:t>
            </w:r>
            <w:r>
              <w:rPr>
                <w:rFonts w:hint="default" w:ascii="Times New Roman" w:hAnsi="Times New Roman" w:cs="Times New Roman"/>
                <w:color w:val="0000FF"/>
                <w:sz w:val="24"/>
                <w:highlight w:val="none"/>
                <w:lang w:val="en-US" w:eastAsia="zh-CN"/>
              </w:rPr>
              <w:t>E</w:t>
            </w:r>
            <w:r>
              <w:rPr>
                <w:rFonts w:hint="default" w:ascii="Times New Roman" w:hAnsi="Times New Roman" w:cs="Times New Roman"/>
                <w:color w:val="0000FF"/>
                <w:sz w:val="24"/>
                <w:highlight w:val="none"/>
                <w:vertAlign w:val="subscript"/>
                <w:lang w:val="en-US" w:eastAsia="zh-CN"/>
              </w:rPr>
              <w:t>hz</w:t>
            </w:r>
            <w:r>
              <w:rPr>
                <w:rFonts w:hint="default" w:ascii="Times New Roman" w:hAnsi="Times New Roman" w:cs="Times New Roman"/>
                <w:color w:val="0000FF"/>
                <w:sz w:val="24"/>
                <w:highlight w:val="none"/>
                <w:lang w:val="en-US" w:eastAsia="zh-CN"/>
              </w:rPr>
              <w:t>—</w:t>
            </w:r>
            <w:r>
              <w:rPr>
                <w:rFonts w:hint="eastAsia" w:ascii="Times New Roman" w:hAnsi="Times New Roman" w:cs="Times New Roman"/>
                <w:color w:val="0000FF"/>
                <w:sz w:val="24"/>
                <w:highlight w:val="none"/>
                <w:lang w:val="en-US" w:eastAsia="zh-CN"/>
              </w:rPr>
              <w:t>核算时段内灰渣产生量，</w:t>
            </w:r>
            <w:r>
              <w:rPr>
                <w:rFonts w:hint="default" w:ascii="Times New Roman" w:hAnsi="Times New Roman" w:cs="Times New Roman"/>
                <w:color w:val="0000FF"/>
                <w:sz w:val="24"/>
                <w:highlight w:val="none"/>
                <w:lang w:val="en-US" w:eastAsia="zh-CN"/>
              </w:rPr>
              <w:t>t</w:t>
            </w:r>
            <w:r>
              <w:rPr>
                <w:rFonts w:hint="eastAsia" w:ascii="Times New Roman" w:hAnsi="Times New Roman" w:cs="Times New Roman"/>
                <w:color w:val="0000FF"/>
                <w:sz w:val="24"/>
                <w:highlight w:val="none"/>
                <w:lang w:val="en-US" w:eastAsia="zh-CN"/>
              </w:rPr>
              <w:t>，根据飞灰份额</w:t>
            </w:r>
            <w:r>
              <w:rPr>
                <w:rFonts w:hint="default" w:ascii="Times New Roman" w:hAnsi="Times New Roman" w:cs="Times New Roman"/>
                <w:color w:val="0000FF"/>
                <w:sz w:val="24"/>
                <w:highlight w:val="none"/>
                <w:lang w:val="en-US" w:eastAsia="zh-CN"/>
              </w:rPr>
              <w:t>d</w:t>
            </w:r>
            <w:r>
              <w:rPr>
                <w:rFonts w:hint="default" w:ascii="Times New Roman" w:hAnsi="Times New Roman" w:cs="Times New Roman"/>
                <w:color w:val="0000FF"/>
                <w:sz w:val="24"/>
                <w:highlight w:val="none"/>
                <w:vertAlign w:val="subscript"/>
                <w:lang w:val="en-US" w:eastAsia="zh-CN"/>
              </w:rPr>
              <w:t>fh</w:t>
            </w:r>
            <w:r>
              <w:rPr>
                <w:rFonts w:hint="eastAsia" w:ascii="Times New Roman" w:hAnsi="Times New Roman" w:cs="Times New Roman"/>
                <w:color w:val="0000FF"/>
                <w:sz w:val="24"/>
                <w:highlight w:val="none"/>
                <w:lang w:val="en-US" w:eastAsia="zh-CN"/>
              </w:rPr>
              <w:t>可分别核算飞灰、炉渣产生量；</w:t>
            </w:r>
          </w:p>
          <w:p>
            <w:pPr>
              <w:pStyle w:val="72"/>
              <w:keepNext w:val="0"/>
              <w:keepLines w:val="0"/>
              <w:suppressLineNumbers w:val="0"/>
              <w:adjustRightInd w:val="0"/>
              <w:snapToGrid w:val="0"/>
              <w:spacing w:before="0" w:beforeAutospacing="0" w:after="0" w:afterAutospacing="0" w:line="360" w:lineRule="auto"/>
              <w:ind w:left="0" w:right="0" w:firstLine="1200" w:firstLineChars="500"/>
              <w:rPr>
                <w:rFonts w:hint="eastAsia" w:ascii="Times New Roman" w:hAnsi="Times New Roman" w:cs="Times New Roman"/>
                <w:color w:val="0000FF"/>
                <w:sz w:val="24"/>
                <w:highlight w:val="none"/>
              </w:rPr>
            </w:pPr>
            <w:r>
              <w:rPr>
                <w:rFonts w:hint="default" w:ascii="Times New Roman" w:hAnsi="Times New Roman" w:cs="Times New Roman"/>
                <w:color w:val="0000FF"/>
                <w:sz w:val="24"/>
                <w:highlight w:val="none"/>
                <w:lang w:val="en-US" w:eastAsia="zh-CN"/>
              </w:rPr>
              <w:t>R—</w:t>
            </w:r>
            <w:r>
              <w:rPr>
                <w:rFonts w:hint="eastAsia" w:ascii="Times New Roman" w:hAnsi="Times New Roman" w:cs="Times New Roman"/>
                <w:color w:val="0000FF"/>
                <w:sz w:val="24"/>
                <w:highlight w:val="none"/>
                <w:lang w:val="en-US" w:eastAsia="zh-CN"/>
              </w:rPr>
              <w:t>核算时段内锅炉燃料耗量，</w:t>
            </w:r>
            <w:r>
              <w:rPr>
                <w:rFonts w:hint="default" w:ascii="Times New Roman" w:hAnsi="Times New Roman" w:cs="Times New Roman"/>
                <w:color w:val="0000FF"/>
                <w:sz w:val="24"/>
                <w:highlight w:val="none"/>
                <w:lang w:val="en-US" w:eastAsia="zh-CN"/>
              </w:rPr>
              <w:t>t</w:t>
            </w:r>
            <w:r>
              <w:rPr>
                <w:rFonts w:hint="eastAsia" w:ascii="Times New Roman" w:hAnsi="Times New Roman" w:cs="Times New Roman"/>
                <w:color w:val="0000FF"/>
                <w:sz w:val="24"/>
                <w:highlight w:val="none"/>
                <w:lang w:val="en-US" w:eastAsia="zh-CN"/>
              </w:rPr>
              <w:t>，</w:t>
            </w:r>
            <w:r>
              <w:rPr>
                <w:rFonts w:hint="eastAsia" w:cs="Times New Roman"/>
                <w:color w:val="0000FF"/>
                <w:sz w:val="24"/>
                <w:highlight w:val="none"/>
                <w:lang w:val="en-US" w:eastAsia="zh-CN"/>
              </w:rPr>
              <w:t>取1611</w:t>
            </w:r>
            <w:r>
              <w:rPr>
                <w:rFonts w:hint="default" w:ascii="Times New Roman" w:hAnsi="Times New Roman" w:cs="Times New Roman"/>
                <w:color w:val="0000FF"/>
                <w:sz w:val="24"/>
                <w:highlight w:val="none"/>
                <w:lang w:val="en-US" w:eastAsia="zh-CN"/>
              </w:rPr>
              <w:t>t</w:t>
            </w:r>
            <w:r>
              <w:rPr>
                <w:rFonts w:hint="eastAsia" w:ascii="Times New Roman" w:hAnsi="Times New Roman" w:cs="Times New Roman"/>
                <w:color w:val="0000FF"/>
                <w:sz w:val="24"/>
                <w:highlight w:val="none"/>
                <w:lang w:val="en-US" w:eastAsia="zh-CN"/>
              </w:rPr>
              <w:t>；</w:t>
            </w:r>
          </w:p>
          <w:p>
            <w:pPr>
              <w:pStyle w:val="72"/>
              <w:keepNext w:val="0"/>
              <w:keepLines w:val="0"/>
              <w:suppressLineNumbers w:val="0"/>
              <w:adjustRightInd w:val="0"/>
              <w:snapToGrid w:val="0"/>
              <w:spacing w:before="0" w:beforeAutospacing="0" w:after="0" w:afterAutospacing="0" w:line="360" w:lineRule="auto"/>
              <w:ind w:left="0" w:right="0" w:firstLine="1200" w:firstLineChars="500"/>
              <w:rPr>
                <w:rFonts w:hint="eastAsia" w:ascii="Times New Roman" w:hAnsi="Times New Roman" w:cs="Times New Roman"/>
                <w:color w:val="0000FF"/>
                <w:sz w:val="24"/>
                <w:highlight w:val="none"/>
              </w:rPr>
            </w:pPr>
            <w:r>
              <w:rPr>
                <w:rFonts w:hint="default" w:ascii="Times New Roman" w:hAnsi="Times New Roman" w:cs="Times New Roman"/>
                <w:color w:val="0000FF"/>
                <w:sz w:val="24"/>
                <w:highlight w:val="none"/>
                <w:lang w:val="en-US" w:eastAsia="zh-CN"/>
              </w:rPr>
              <w:t>Aar—</w:t>
            </w:r>
            <w:r>
              <w:rPr>
                <w:rFonts w:hint="eastAsia" w:ascii="Times New Roman" w:hAnsi="Times New Roman" w:cs="Times New Roman"/>
                <w:color w:val="0000FF"/>
                <w:sz w:val="24"/>
                <w:highlight w:val="none"/>
                <w:lang w:val="en-US" w:eastAsia="zh-CN"/>
              </w:rPr>
              <w:t>收到基灰分的质量分数，</w:t>
            </w:r>
            <w:r>
              <w:rPr>
                <w:rFonts w:hint="default" w:ascii="Times New Roman" w:hAnsi="Times New Roman" w:cs="Times New Roman"/>
                <w:color w:val="0000FF"/>
                <w:sz w:val="24"/>
                <w:highlight w:val="none"/>
                <w:lang w:val="en-US" w:eastAsia="zh-CN"/>
              </w:rPr>
              <w:t>%</w:t>
            </w:r>
            <w:r>
              <w:rPr>
                <w:rFonts w:hint="eastAsia" w:ascii="Times New Roman" w:hAnsi="Times New Roman" w:cs="Times New Roman"/>
                <w:color w:val="0000FF"/>
                <w:sz w:val="24"/>
                <w:highlight w:val="none"/>
                <w:lang w:val="en-US" w:eastAsia="zh-CN"/>
              </w:rPr>
              <w:t>，</w:t>
            </w:r>
            <w:r>
              <w:rPr>
                <w:rFonts w:hint="eastAsia" w:cs="Times New Roman"/>
                <w:color w:val="0000FF"/>
                <w:sz w:val="24"/>
                <w:highlight w:val="none"/>
                <w:lang w:val="en-US" w:eastAsia="zh-CN"/>
              </w:rPr>
              <w:t>取0.81%</w:t>
            </w:r>
            <w:r>
              <w:rPr>
                <w:rFonts w:hint="eastAsia" w:ascii="Times New Roman" w:hAnsi="Times New Roman" w:cs="Times New Roman"/>
                <w:color w:val="0000FF"/>
                <w:sz w:val="24"/>
                <w:highlight w:val="none"/>
                <w:lang w:val="en-US" w:eastAsia="zh-CN"/>
              </w:rPr>
              <w:t>；</w:t>
            </w:r>
          </w:p>
          <w:p>
            <w:pPr>
              <w:pStyle w:val="72"/>
              <w:keepNext w:val="0"/>
              <w:keepLines w:val="0"/>
              <w:suppressLineNumbers w:val="0"/>
              <w:adjustRightInd w:val="0"/>
              <w:snapToGrid w:val="0"/>
              <w:spacing w:before="0" w:beforeAutospacing="0" w:after="0" w:afterAutospacing="0" w:line="360" w:lineRule="auto"/>
              <w:ind w:left="0" w:right="0" w:firstLine="1200" w:firstLineChars="500"/>
              <w:rPr>
                <w:rFonts w:hint="eastAsia" w:ascii="Times New Roman" w:hAnsi="Times New Roman" w:cs="Times New Roman"/>
                <w:color w:val="0000FF"/>
                <w:sz w:val="24"/>
                <w:highlight w:val="none"/>
              </w:rPr>
            </w:pPr>
            <w:r>
              <w:rPr>
                <w:rFonts w:hint="default" w:ascii="Times New Roman" w:hAnsi="Times New Roman" w:cs="Times New Roman"/>
                <w:color w:val="0000FF"/>
                <w:sz w:val="24"/>
                <w:highlight w:val="none"/>
                <w:lang w:val="en-US" w:eastAsia="zh-CN"/>
              </w:rPr>
              <w:t>q</w:t>
            </w:r>
            <w:r>
              <w:rPr>
                <w:rFonts w:hint="default" w:ascii="Times New Roman" w:hAnsi="Times New Roman" w:cs="Times New Roman"/>
                <w:color w:val="0000FF"/>
                <w:sz w:val="24"/>
                <w:highlight w:val="none"/>
                <w:vertAlign w:val="subscript"/>
                <w:lang w:val="en-US" w:eastAsia="zh-CN"/>
              </w:rPr>
              <w:t>4</w:t>
            </w:r>
            <w:r>
              <w:rPr>
                <w:rFonts w:hint="default" w:ascii="Times New Roman" w:hAnsi="Times New Roman" w:cs="Times New Roman"/>
                <w:color w:val="0000FF"/>
                <w:sz w:val="24"/>
                <w:highlight w:val="none"/>
                <w:lang w:val="en-US" w:eastAsia="zh-CN"/>
              </w:rPr>
              <w:t>—</w:t>
            </w:r>
            <w:r>
              <w:rPr>
                <w:rFonts w:hint="eastAsia" w:ascii="Times New Roman" w:hAnsi="Times New Roman" w:cs="Times New Roman"/>
                <w:color w:val="0000FF"/>
                <w:sz w:val="24"/>
                <w:highlight w:val="none"/>
                <w:lang w:val="en-US" w:eastAsia="zh-CN"/>
              </w:rPr>
              <w:t>锅炉机械不完全燃烧热损失，</w:t>
            </w:r>
            <w:r>
              <w:rPr>
                <w:rFonts w:hint="default" w:ascii="Times New Roman" w:hAnsi="Times New Roman" w:cs="Times New Roman"/>
                <w:color w:val="0000FF"/>
                <w:sz w:val="24"/>
                <w:highlight w:val="none"/>
                <w:lang w:val="en-US" w:eastAsia="zh-CN"/>
              </w:rPr>
              <w:t>%</w:t>
            </w:r>
            <w:r>
              <w:rPr>
                <w:rFonts w:hint="eastAsia" w:ascii="Times New Roman" w:hAnsi="Times New Roman" w:cs="Times New Roman"/>
                <w:color w:val="0000FF"/>
                <w:sz w:val="24"/>
                <w:highlight w:val="none"/>
                <w:lang w:val="en-US" w:eastAsia="zh-CN"/>
              </w:rPr>
              <w:t>，</w:t>
            </w:r>
            <w:r>
              <w:rPr>
                <w:rFonts w:hint="eastAsia" w:cs="Times New Roman"/>
                <w:color w:val="0000FF"/>
                <w:sz w:val="24"/>
                <w:highlight w:val="none"/>
                <w:lang w:val="en-US" w:eastAsia="zh-CN"/>
              </w:rPr>
              <w:t>取8%</w:t>
            </w:r>
            <w:r>
              <w:rPr>
                <w:rFonts w:hint="eastAsia" w:ascii="Times New Roman" w:hAnsi="Times New Roman" w:cs="Times New Roman"/>
                <w:color w:val="0000FF"/>
                <w:sz w:val="24"/>
                <w:highlight w:val="none"/>
                <w:lang w:val="en-US" w:eastAsia="zh-CN"/>
              </w:rPr>
              <w:t>；</w:t>
            </w:r>
          </w:p>
          <w:p>
            <w:pPr>
              <w:pStyle w:val="72"/>
              <w:keepNext w:val="0"/>
              <w:keepLines w:val="0"/>
              <w:suppressLineNumbers w:val="0"/>
              <w:adjustRightInd w:val="0"/>
              <w:snapToGrid w:val="0"/>
              <w:spacing w:before="0" w:beforeAutospacing="0" w:after="0" w:afterAutospacing="0" w:line="360" w:lineRule="auto"/>
              <w:ind w:left="0" w:right="0" w:firstLine="1200" w:firstLineChars="500"/>
              <w:rPr>
                <w:rFonts w:hint="eastAsia" w:ascii="Times New Roman" w:hAnsi="Times New Roman" w:cs="Times New Roman"/>
                <w:color w:val="0000FF"/>
                <w:sz w:val="24"/>
                <w:highlight w:val="none"/>
              </w:rPr>
            </w:pPr>
            <w:r>
              <w:rPr>
                <w:rFonts w:hint="default" w:ascii="Times New Roman" w:hAnsi="Times New Roman" w:cs="Times New Roman"/>
                <w:color w:val="0000FF"/>
                <w:sz w:val="24"/>
                <w:highlight w:val="none"/>
                <w:lang w:val="en-US" w:eastAsia="zh-CN"/>
              </w:rPr>
              <w:t>Qner</w:t>
            </w:r>
            <w:r>
              <w:rPr>
                <w:rFonts w:hint="eastAsia" w:ascii="Times New Roman" w:hAnsi="Times New Roman" w:cs="Times New Roman"/>
                <w:color w:val="0000FF"/>
                <w:sz w:val="24"/>
                <w:highlight w:val="none"/>
                <w:lang w:val="en-US" w:eastAsia="zh-CN"/>
              </w:rPr>
              <w:t>，</w:t>
            </w:r>
            <w:r>
              <w:rPr>
                <w:rFonts w:hint="default" w:ascii="Times New Roman" w:hAnsi="Times New Roman" w:cs="Times New Roman"/>
                <w:color w:val="0000FF"/>
                <w:sz w:val="24"/>
                <w:highlight w:val="none"/>
                <w:lang w:val="en-US" w:eastAsia="zh-CN"/>
              </w:rPr>
              <w:t>ar—</w:t>
            </w:r>
            <w:r>
              <w:rPr>
                <w:rFonts w:hint="eastAsia" w:ascii="Times New Roman" w:hAnsi="Times New Roman" w:cs="Times New Roman"/>
                <w:color w:val="0000FF"/>
                <w:sz w:val="24"/>
                <w:highlight w:val="none"/>
                <w:lang w:val="en-US" w:eastAsia="zh-CN"/>
              </w:rPr>
              <w:t>收到基低位发热量，</w:t>
            </w:r>
            <w:r>
              <w:rPr>
                <w:rFonts w:hint="default" w:ascii="Times New Roman" w:hAnsi="Times New Roman" w:cs="Times New Roman"/>
                <w:color w:val="0000FF"/>
                <w:sz w:val="24"/>
                <w:highlight w:val="none"/>
                <w:lang w:val="en-US" w:eastAsia="zh-CN"/>
              </w:rPr>
              <w:t>kJ/kg</w:t>
            </w:r>
            <w:r>
              <w:rPr>
                <w:rFonts w:hint="eastAsia" w:ascii="Times New Roman" w:hAnsi="Times New Roman" w:cs="Times New Roman"/>
                <w:color w:val="0000FF"/>
                <w:sz w:val="24"/>
                <w:highlight w:val="none"/>
                <w:lang w:val="en-US" w:eastAsia="zh-CN"/>
              </w:rPr>
              <w:t>，</w:t>
            </w:r>
            <w:r>
              <w:rPr>
                <w:rFonts w:hint="eastAsia" w:cs="Times New Roman"/>
                <w:color w:val="0000FF"/>
                <w:sz w:val="24"/>
                <w:highlight w:val="none"/>
                <w:lang w:val="en-US" w:eastAsia="zh-CN"/>
              </w:rPr>
              <w:t>4039</w:t>
            </w:r>
            <w:r>
              <w:rPr>
                <w:rFonts w:hint="eastAsia" w:ascii="Times New Roman" w:hAnsi="Times New Roman" w:cs="Times New Roman"/>
                <w:color w:val="0000FF"/>
                <w:sz w:val="24"/>
                <w:highlight w:val="none"/>
                <w:lang w:val="en-US" w:eastAsia="zh-CN"/>
              </w:rPr>
              <w:t>。</w:t>
            </w:r>
          </w:p>
          <w:p>
            <w:pPr>
              <w:pStyle w:val="72"/>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cs="Times New Roman"/>
                <w:color w:val="0000FF"/>
                <w:sz w:val="24"/>
                <w:highlight w:val="none"/>
                <w:lang w:val="en-US" w:eastAsia="zh-CN"/>
              </w:rPr>
            </w:pPr>
            <w:r>
              <w:rPr>
                <w:rFonts w:hint="eastAsia" w:ascii="Times New Roman" w:hAnsi="Times New Roman" w:cs="Times New Roman"/>
                <w:color w:val="0000FF"/>
                <w:sz w:val="24"/>
                <w:highlight w:val="none"/>
                <w:lang w:val="en-US" w:eastAsia="zh-CN"/>
              </w:rPr>
              <w:t>经计算，锅炉炉渣产量为</w:t>
            </w:r>
            <w:r>
              <w:rPr>
                <w:rFonts w:hint="eastAsia" w:cs="Times New Roman"/>
                <w:color w:val="0000FF"/>
                <w:sz w:val="24"/>
                <w:highlight w:val="none"/>
                <w:lang w:val="en-US" w:eastAsia="zh-CN"/>
              </w:rPr>
              <w:t>28.4</w:t>
            </w:r>
            <w:r>
              <w:rPr>
                <w:rFonts w:hint="default" w:ascii="Times New Roman" w:hAnsi="Times New Roman" w:cs="Times New Roman"/>
                <w:color w:val="0000FF"/>
                <w:sz w:val="24"/>
                <w:highlight w:val="none"/>
                <w:lang w:val="en-US" w:eastAsia="zh-CN"/>
              </w:rPr>
              <w:t>t/a</w:t>
            </w:r>
            <w:r>
              <w:rPr>
                <w:rFonts w:hint="eastAsia" w:ascii="Times New Roman" w:hAnsi="Times New Roman" w:cs="Times New Roman"/>
                <w:color w:val="0000FF"/>
                <w:sz w:val="24"/>
                <w:highlight w:val="none"/>
                <w:lang w:val="en-US" w:eastAsia="zh-CN"/>
              </w:rPr>
              <w:t>，为一般工业固废</w:t>
            </w:r>
            <w:r>
              <w:rPr>
                <w:rFonts w:hint="eastAsia" w:cs="Times New Roman"/>
                <w:color w:val="0000FF"/>
                <w:sz w:val="24"/>
                <w:highlight w:val="none"/>
                <w:lang w:val="en-US" w:eastAsia="zh-CN"/>
              </w:rPr>
              <w:t>，</w:t>
            </w:r>
            <w:r>
              <w:rPr>
                <w:rFonts w:hint="eastAsia" w:ascii="Times New Roman" w:hAnsi="Times New Roman" w:cs="Times New Roman"/>
                <w:color w:val="0000FF"/>
                <w:sz w:val="24"/>
                <w:highlight w:val="none"/>
                <w:lang w:val="en-US" w:eastAsia="zh-CN"/>
              </w:rPr>
              <w:t>根据《固体废物分类与代码目录》，属于</w:t>
            </w:r>
            <w:r>
              <w:rPr>
                <w:rFonts w:hint="default" w:ascii="Times New Roman" w:hAnsi="Times New Roman" w:cs="Times New Roman"/>
                <w:color w:val="0000FF"/>
                <w:sz w:val="24"/>
                <w:highlight w:val="none"/>
                <w:lang w:val="en-US" w:eastAsia="zh-CN"/>
              </w:rPr>
              <w:t>SW</w:t>
            </w:r>
            <w:r>
              <w:rPr>
                <w:rFonts w:hint="eastAsia" w:ascii="Times New Roman" w:hAnsi="Times New Roman" w:cs="Times New Roman"/>
                <w:color w:val="0000FF"/>
                <w:sz w:val="24"/>
                <w:highlight w:val="none"/>
                <w:lang w:val="en-US" w:eastAsia="zh-CN"/>
              </w:rPr>
              <w:t>03炉渣，其代码为</w:t>
            </w:r>
            <w:r>
              <w:rPr>
                <w:rFonts w:hint="default" w:ascii="Times New Roman" w:hAnsi="Times New Roman" w:cs="Times New Roman"/>
                <w:color w:val="0000FF"/>
                <w:sz w:val="24"/>
                <w:highlight w:val="none"/>
                <w:lang w:val="en-US" w:eastAsia="zh-CN"/>
              </w:rPr>
              <w:t>900-099-S</w:t>
            </w:r>
            <w:r>
              <w:rPr>
                <w:rFonts w:hint="eastAsia" w:ascii="Times New Roman" w:hAnsi="Times New Roman" w:cs="Times New Roman"/>
                <w:color w:val="0000FF"/>
                <w:sz w:val="24"/>
                <w:highlight w:val="none"/>
                <w:lang w:val="en-US" w:eastAsia="zh-CN"/>
              </w:rPr>
              <w:t>03，</w:t>
            </w:r>
            <w:r>
              <w:rPr>
                <w:rFonts w:hint="eastAsia" w:cs="Times New Roman"/>
                <w:color w:val="0000FF"/>
                <w:sz w:val="24"/>
                <w:highlight w:val="none"/>
                <w:lang w:val="en-US" w:eastAsia="zh-CN"/>
              </w:rPr>
              <w:t>吨袋储存，</w:t>
            </w:r>
            <w:r>
              <w:rPr>
                <w:rFonts w:hint="eastAsia" w:ascii="Times New Roman" w:hAnsi="Times New Roman" w:cs="Times New Roman"/>
                <w:color w:val="0000FF"/>
                <w:sz w:val="24"/>
                <w:highlight w:val="none"/>
                <w:lang w:val="en-US" w:eastAsia="zh-CN"/>
              </w:rPr>
              <w:t>暂存于</w:t>
            </w:r>
            <w:r>
              <w:rPr>
                <w:rFonts w:hint="eastAsia" w:cs="Times New Roman"/>
                <w:color w:val="0000FF"/>
                <w:sz w:val="24"/>
                <w:highlight w:val="none"/>
                <w:lang w:val="en-US" w:eastAsia="zh-CN"/>
              </w:rPr>
              <w:t>生物质燃料仓库</w:t>
            </w:r>
            <w:r>
              <w:rPr>
                <w:rFonts w:hint="eastAsia" w:ascii="Times New Roman" w:hAnsi="Times New Roman" w:cs="Times New Roman"/>
                <w:color w:val="0000FF"/>
                <w:sz w:val="24"/>
                <w:highlight w:val="none"/>
                <w:lang w:val="en-US" w:eastAsia="zh-CN"/>
              </w:rPr>
              <w:t>，收集后外售综合利用。</w:t>
            </w:r>
          </w:p>
          <w:p>
            <w:pPr>
              <w:pStyle w:val="72"/>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cs="Times New Roman"/>
                <w:color w:val="0000FF"/>
                <w:sz w:val="24"/>
                <w:highlight w:val="none"/>
              </w:rPr>
            </w:pPr>
            <w:r>
              <w:rPr>
                <w:rFonts w:hint="eastAsia" w:ascii="Times New Roman" w:hAnsi="Times New Roman" w:cs="Times New Roman"/>
                <w:color w:val="0000FF"/>
                <w:sz w:val="24"/>
                <w:highlight w:val="none"/>
                <w:lang w:val="en-US" w:eastAsia="zh-CN"/>
              </w:rPr>
              <w:t>⑪废离子交换树脂</w:t>
            </w:r>
          </w:p>
          <w:p>
            <w:pPr>
              <w:pStyle w:val="72"/>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cs="Times New Roman"/>
                <w:color w:val="0000FF"/>
                <w:sz w:val="24"/>
                <w:highlight w:val="none"/>
                <w:lang w:val="en-US" w:eastAsia="zh-CN"/>
              </w:rPr>
            </w:pPr>
            <w:r>
              <w:rPr>
                <w:rFonts w:hint="eastAsia" w:ascii="Times New Roman" w:hAnsi="Times New Roman" w:cs="Times New Roman"/>
                <w:color w:val="0000FF"/>
                <w:sz w:val="24"/>
                <w:highlight w:val="none"/>
                <w:lang w:val="en-US" w:eastAsia="zh-CN"/>
              </w:rPr>
              <w:t>项目锅炉软化水制备系统需定期更换离子交换树脂</w:t>
            </w:r>
            <w:r>
              <w:rPr>
                <w:rFonts w:hint="eastAsia" w:cs="Times New Roman"/>
                <w:color w:val="0000FF"/>
                <w:sz w:val="24"/>
                <w:highlight w:val="none"/>
                <w:lang w:val="en-US" w:eastAsia="zh-CN"/>
              </w:rPr>
              <w:t>，</w:t>
            </w:r>
            <w:r>
              <w:rPr>
                <w:rFonts w:hint="eastAsia" w:ascii="Times New Roman" w:hAnsi="Times New Roman" w:cs="Times New Roman"/>
                <w:color w:val="0000FF"/>
                <w:sz w:val="24"/>
                <w:highlight w:val="none"/>
                <w:lang w:val="en-US" w:eastAsia="zh-CN"/>
              </w:rPr>
              <w:t>废离子交换树脂量约为0.3</w:t>
            </w:r>
            <w:r>
              <w:rPr>
                <w:rFonts w:hint="default" w:ascii="Times New Roman" w:hAnsi="Times New Roman" w:cs="Times New Roman"/>
                <w:color w:val="0000FF"/>
                <w:sz w:val="24"/>
                <w:highlight w:val="none"/>
                <w:lang w:val="en-US" w:eastAsia="zh-CN"/>
              </w:rPr>
              <w:t>t/a</w:t>
            </w:r>
            <w:r>
              <w:rPr>
                <w:rFonts w:hint="eastAsia" w:ascii="Times New Roman" w:hAnsi="Times New Roman" w:cs="Times New Roman"/>
                <w:color w:val="0000FF"/>
                <w:sz w:val="24"/>
                <w:highlight w:val="none"/>
                <w:lang w:val="en-US" w:eastAsia="zh-CN"/>
              </w:rPr>
              <w:t xml:space="preserve">，锅炉软化水制备系统更换下来的废离子交换树脂属于一般工业固体废物，根据《固体废物分类与代码目录》，属于 </w:t>
            </w:r>
            <w:r>
              <w:rPr>
                <w:rFonts w:hint="default" w:ascii="Times New Roman" w:hAnsi="Times New Roman" w:cs="Times New Roman"/>
                <w:color w:val="0000FF"/>
                <w:sz w:val="24"/>
                <w:highlight w:val="none"/>
                <w:lang w:val="en-US" w:eastAsia="zh-CN"/>
              </w:rPr>
              <w:t xml:space="preserve">SW59 </w:t>
            </w:r>
            <w:r>
              <w:rPr>
                <w:rFonts w:hint="eastAsia" w:ascii="Times New Roman" w:hAnsi="Times New Roman" w:cs="Times New Roman"/>
                <w:color w:val="0000FF"/>
                <w:sz w:val="24"/>
                <w:highlight w:val="none"/>
                <w:lang w:val="en-US" w:eastAsia="zh-CN"/>
              </w:rPr>
              <w:t xml:space="preserve">其他工业固体废物，一般固废代码为 </w:t>
            </w:r>
            <w:r>
              <w:rPr>
                <w:rFonts w:hint="default" w:ascii="Times New Roman" w:hAnsi="Times New Roman" w:cs="Times New Roman"/>
                <w:color w:val="0000FF"/>
                <w:sz w:val="24"/>
                <w:highlight w:val="none"/>
                <w:lang w:val="en-US" w:eastAsia="zh-CN"/>
              </w:rPr>
              <w:t>900-099-S59</w:t>
            </w:r>
            <w:r>
              <w:rPr>
                <w:rFonts w:hint="eastAsia" w:ascii="Times New Roman" w:hAnsi="Times New Roman" w:cs="Times New Roman"/>
                <w:color w:val="0000FF"/>
                <w:sz w:val="24"/>
                <w:highlight w:val="none"/>
                <w:lang w:val="en-US" w:eastAsia="zh-CN"/>
              </w:rPr>
              <w:t>，由供货商更换回收，场区内不暂存。</w:t>
            </w:r>
          </w:p>
          <w:p>
            <w:pPr>
              <w:wordWrap w:val="0"/>
              <w:topLinePunct/>
              <w:spacing w:line="360" w:lineRule="auto"/>
              <w:ind w:firstLine="480" w:firstLineChars="200"/>
              <w:jc w:val="left"/>
              <w:rPr>
                <w:color w:val="000000"/>
                <w:kern w:val="0"/>
                <w:sz w:val="24"/>
                <w:highlight w:val="none"/>
                <w:lang w:bidi="ar"/>
              </w:rPr>
            </w:pPr>
            <w:r>
              <w:rPr>
                <w:rFonts w:hint="eastAsia"/>
                <w:color w:val="000000"/>
                <w:kern w:val="0"/>
                <w:sz w:val="24"/>
                <w:highlight w:val="none"/>
                <w:lang w:bidi="ar"/>
              </w:rPr>
              <w:t>2）危险废物</w:t>
            </w:r>
          </w:p>
          <w:p>
            <w:pPr>
              <w:pStyle w:val="96"/>
              <w:ind w:firstLine="480"/>
              <w:rPr>
                <w:highlight w:val="none"/>
              </w:rPr>
            </w:pPr>
            <w:r>
              <w:rPr>
                <w:rFonts w:hint="eastAsia"/>
                <w:highlight w:val="none"/>
              </w:rPr>
              <w:t>①废CIP清洗酸碱包装桶</w:t>
            </w:r>
          </w:p>
          <w:p>
            <w:pPr>
              <w:pStyle w:val="96"/>
              <w:ind w:firstLine="480"/>
              <w:rPr>
                <w:highlight w:val="none"/>
              </w:rPr>
            </w:pPr>
            <w:r>
              <w:rPr>
                <w:rFonts w:hint="eastAsia"/>
                <w:highlight w:val="none"/>
              </w:rPr>
              <w:t>硝酸、氢氧化钠等使用过程会产生废 CIP 清洗酸碱包装桶，产生量约 0.5t/a，属《国家危险废物名录（2025版）》HW49类危险废物，危险废物编号为900-041-49，经收集后暂存于危废暂存间内，定期交由有资质的单位进行处置。</w:t>
            </w:r>
          </w:p>
          <w:p>
            <w:pPr>
              <w:pStyle w:val="96"/>
              <w:ind w:firstLine="480"/>
              <w:rPr>
                <w:rFonts w:hint="default" w:eastAsia="宋体"/>
                <w:highlight w:val="none"/>
                <w:lang w:val="en-US" w:eastAsia="zh-CN"/>
              </w:rPr>
            </w:pPr>
            <w:r>
              <w:rPr>
                <w:rFonts w:hint="eastAsia"/>
                <w:highlight w:val="none"/>
              </w:rPr>
              <w:t>②</w:t>
            </w:r>
            <w:r>
              <w:rPr>
                <w:rFonts w:hint="eastAsia"/>
                <w:highlight w:val="none"/>
                <w:lang w:val="en-US" w:eastAsia="zh-CN"/>
              </w:rPr>
              <w:t>检验固废</w:t>
            </w:r>
          </w:p>
          <w:p>
            <w:pPr>
              <w:pStyle w:val="96"/>
              <w:ind w:firstLine="480"/>
              <w:rPr>
                <w:highlight w:val="none"/>
              </w:rPr>
            </w:pPr>
            <w:r>
              <w:rPr>
                <w:rFonts w:hint="eastAsia"/>
                <w:highlight w:val="none"/>
              </w:rPr>
              <w:t>本项目需进行蛋品及车间环境微生物检测。因此，</w:t>
            </w:r>
            <w:r>
              <w:rPr>
                <w:rFonts w:hint="eastAsia"/>
                <w:highlight w:val="none"/>
                <w:lang w:val="en-US" w:eastAsia="zh-CN"/>
              </w:rPr>
              <w:t>检验室</w:t>
            </w:r>
            <w:r>
              <w:rPr>
                <w:rFonts w:hint="eastAsia"/>
                <w:highlight w:val="none"/>
              </w:rPr>
              <w:t>固废主要为废酸、废碱、废包装、检测废试纸、培养基等，产生量约</w:t>
            </w:r>
            <w:r>
              <w:rPr>
                <w:rFonts w:hint="eastAsia"/>
                <w:highlight w:val="none"/>
                <w:lang w:val="en-US" w:eastAsia="zh-CN"/>
              </w:rPr>
              <w:t>1.0</w:t>
            </w:r>
            <w:r>
              <w:rPr>
                <w:rFonts w:hint="eastAsia"/>
                <w:highlight w:val="none"/>
              </w:rPr>
              <w:t>t/a。</w:t>
            </w:r>
            <w:r>
              <w:rPr>
                <w:rFonts w:hint="eastAsia"/>
                <w:highlight w:val="none"/>
                <w:lang w:val="en-US" w:eastAsia="zh-CN"/>
              </w:rPr>
              <w:t>本项目</w:t>
            </w:r>
            <w:r>
              <w:rPr>
                <w:rFonts w:hint="eastAsia"/>
                <w:color w:val="0000FF"/>
                <w:highlight w:val="none"/>
                <w:lang w:val="en-US" w:eastAsia="zh-CN"/>
              </w:rPr>
              <w:t>采用电灭菌锅对废培养基进行高温灭菌消毒，检验固废</w:t>
            </w:r>
            <w:r>
              <w:rPr>
                <w:rFonts w:hint="eastAsia"/>
                <w:highlight w:val="none"/>
              </w:rPr>
              <w:t>属于化学和生物实验室（不包含感染性医学实验室及医疗机构化验室）产生的废酸、废碱，具有危险特性的残留样品（废培养基可能含有病原微生物），属于危险废物；废物类别为 HW49，废物代码为 900-047-49，由专用容器收集后暂存于危险废物贮存库内，定期交由有相关资质的单位收集、处置。</w:t>
            </w:r>
          </w:p>
          <w:p>
            <w:pPr>
              <w:pStyle w:val="96"/>
              <w:ind w:firstLine="480"/>
              <w:rPr>
                <w:highlight w:val="none"/>
              </w:rPr>
            </w:pPr>
            <w:r>
              <w:rPr>
                <w:rFonts w:hint="eastAsia"/>
                <w:highlight w:val="none"/>
              </w:rPr>
              <w:t>③含油沾染废物</w:t>
            </w:r>
          </w:p>
          <w:p>
            <w:pPr>
              <w:pStyle w:val="96"/>
              <w:ind w:firstLine="480"/>
              <w:rPr>
                <w:highlight w:val="none"/>
              </w:rPr>
            </w:pPr>
            <w:r>
              <w:rPr>
                <w:rFonts w:hint="eastAsia"/>
                <w:highlight w:val="none"/>
              </w:rPr>
              <w:t>项目设备维护保养过程中会产生含油沾染废物，产生量约为0.2t/a，属《国家危险废物名录（2025版）》HW49类危险废物，危险废物编号为900-041-49，经收集后暂存于危废暂存间内，定期交由有资质的单位处理。</w:t>
            </w:r>
          </w:p>
          <w:p>
            <w:pPr>
              <w:wordWrap w:val="0"/>
              <w:spacing w:line="360" w:lineRule="auto"/>
              <w:ind w:firstLine="480" w:firstLineChars="200"/>
              <w:jc w:val="left"/>
              <w:rPr>
                <w:color w:val="000000"/>
                <w:kern w:val="0"/>
                <w:sz w:val="24"/>
                <w:highlight w:val="none"/>
                <w:lang w:bidi="ar"/>
              </w:rPr>
            </w:pPr>
            <w:r>
              <w:rPr>
                <w:rFonts w:hint="eastAsia"/>
                <w:color w:val="000000"/>
                <w:kern w:val="0"/>
                <w:sz w:val="24"/>
                <w:highlight w:val="none"/>
                <w:lang w:bidi="ar"/>
              </w:rPr>
              <w:t>④废机油</w:t>
            </w:r>
          </w:p>
          <w:p>
            <w:pPr>
              <w:pStyle w:val="96"/>
              <w:ind w:firstLine="480"/>
              <w:rPr>
                <w:highlight w:val="none"/>
              </w:rPr>
            </w:pPr>
            <w:r>
              <w:rPr>
                <w:rFonts w:hint="eastAsia"/>
                <w:highlight w:val="none"/>
              </w:rPr>
              <w:t>本项目设备运行及维护保养过程需要用到机油，废机油产生量约0.1t/a，</w:t>
            </w:r>
            <w:r>
              <w:rPr>
                <w:highlight w:val="none"/>
              </w:rPr>
              <w:t>属《国家危险废物名录（202</w:t>
            </w:r>
            <w:r>
              <w:rPr>
                <w:rFonts w:hint="eastAsia"/>
                <w:highlight w:val="none"/>
              </w:rPr>
              <w:t>5</w:t>
            </w:r>
            <w:r>
              <w:rPr>
                <w:highlight w:val="none"/>
              </w:rPr>
              <w:t>版）》HW</w:t>
            </w:r>
            <w:r>
              <w:rPr>
                <w:rFonts w:hint="eastAsia"/>
                <w:highlight w:val="none"/>
              </w:rPr>
              <w:t>08</w:t>
            </w:r>
            <w:r>
              <w:rPr>
                <w:highlight w:val="none"/>
              </w:rPr>
              <w:t>类危险废物，危险废物编号为900-249-08，</w:t>
            </w:r>
            <w:r>
              <w:rPr>
                <w:rFonts w:hint="eastAsia"/>
                <w:highlight w:val="none"/>
              </w:rPr>
              <w:t>经收集后暂存于危废暂存间内，定期交由有资质的单位处理。</w:t>
            </w:r>
          </w:p>
          <w:p>
            <w:pPr>
              <w:wordWrap w:val="0"/>
              <w:topLinePunct/>
              <w:spacing w:line="360" w:lineRule="auto"/>
              <w:ind w:firstLine="480" w:firstLineChars="200"/>
              <w:jc w:val="left"/>
              <w:rPr>
                <w:color w:val="000000"/>
                <w:kern w:val="0"/>
                <w:sz w:val="24"/>
                <w:highlight w:val="none"/>
                <w:lang w:bidi="ar"/>
              </w:rPr>
            </w:pPr>
            <w:r>
              <w:rPr>
                <w:rFonts w:hint="eastAsia"/>
                <w:color w:val="000000"/>
                <w:kern w:val="0"/>
                <w:sz w:val="24"/>
                <w:highlight w:val="none"/>
                <w:lang w:bidi="ar"/>
              </w:rPr>
              <w:t>3）生活垃圾</w:t>
            </w:r>
          </w:p>
          <w:p>
            <w:pPr>
              <w:spacing w:line="360" w:lineRule="auto"/>
              <w:ind w:firstLine="480" w:firstLineChars="200"/>
              <w:rPr>
                <w:sz w:val="24"/>
                <w:szCs w:val="22"/>
                <w:highlight w:val="none"/>
              </w:rPr>
            </w:pPr>
            <w:r>
              <w:rPr>
                <w:sz w:val="24"/>
                <w:szCs w:val="22"/>
                <w:highlight w:val="none"/>
              </w:rPr>
              <w:t>项目劳动定员</w:t>
            </w:r>
            <w:r>
              <w:rPr>
                <w:rFonts w:hint="eastAsia"/>
                <w:sz w:val="24"/>
                <w:szCs w:val="22"/>
                <w:highlight w:val="none"/>
              </w:rPr>
              <w:t>40</w:t>
            </w:r>
            <w:r>
              <w:rPr>
                <w:sz w:val="24"/>
                <w:szCs w:val="22"/>
                <w:highlight w:val="none"/>
              </w:rPr>
              <w:t>人，生活垃圾以每人0.5kg/d计，</w:t>
            </w:r>
            <w:r>
              <w:rPr>
                <w:rFonts w:hint="eastAsia"/>
                <w:sz w:val="24"/>
                <w:szCs w:val="22"/>
                <w:highlight w:val="none"/>
              </w:rPr>
              <w:t>则全厂生活垃圾</w:t>
            </w:r>
            <w:r>
              <w:rPr>
                <w:sz w:val="24"/>
                <w:szCs w:val="22"/>
                <w:highlight w:val="none"/>
              </w:rPr>
              <w:t>共</w:t>
            </w:r>
            <w:r>
              <w:rPr>
                <w:rFonts w:hint="eastAsia"/>
                <w:sz w:val="24"/>
                <w:szCs w:val="22"/>
                <w:highlight w:val="none"/>
              </w:rPr>
              <w:t>6</w:t>
            </w:r>
            <w:r>
              <w:rPr>
                <w:sz w:val="24"/>
                <w:szCs w:val="22"/>
                <w:highlight w:val="none"/>
              </w:rPr>
              <w:t>t/a（</w:t>
            </w:r>
            <w:r>
              <w:rPr>
                <w:rFonts w:hint="eastAsia"/>
                <w:sz w:val="24"/>
                <w:szCs w:val="22"/>
                <w:highlight w:val="none"/>
              </w:rPr>
              <w:t>20</w:t>
            </w:r>
            <w:r>
              <w:rPr>
                <w:sz w:val="24"/>
                <w:szCs w:val="22"/>
                <w:highlight w:val="none"/>
              </w:rPr>
              <w:t>kg/d）。生活垃圾集中处理后，交由环卫部门统一处理。</w:t>
            </w:r>
          </w:p>
          <w:p>
            <w:pPr>
              <w:keepNext/>
              <w:keepLines/>
              <w:tabs>
                <w:tab w:val="left" w:pos="720"/>
              </w:tabs>
              <w:spacing w:line="360" w:lineRule="auto"/>
              <w:ind w:firstLine="480" w:firstLineChars="200"/>
              <w:outlineLvl w:val="3"/>
              <w:rPr>
                <w:sz w:val="24"/>
                <w:szCs w:val="20"/>
                <w:highlight w:val="none"/>
              </w:rPr>
            </w:pPr>
            <w:r>
              <w:rPr>
                <w:rFonts w:hint="eastAsia"/>
                <w:sz w:val="24"/>
                <w:szCs w:val="20"/>
                <w:highlight w:val="none"/>
              </w:rPr>
              <w:t>（3）</w:t>
            </w:r>
            <w:r>
              <w:rPr>
                <w:sz w:val="24"/>
                <w:szCs w:val="20"/>
                <w:highlight w:val="none"/>
              </w:rPr>
              <w:t>环境管理要求</w:t>
            </w:r>
          </w:p>
          <w:p>
            <w:pPr>
              <w:keepNext/>
              <w:keepLines/>
              <w:tabs>
                <w:tab w:val="left" w:pos="720"/>
              </w:tabs>
              <w:spacing w:line="360" w:lineRule="auto"/>
              <w:ind w:firstLine="480" w:firstLineChars="200"/>
              <w:outlineLvl w:val="3"/>
              <w:rPr>
                <w:sz w:val="24"/>
                <w:szCs w:val="20"/>
                <w:highlight w:val="none"/>
              </w:rPr>
            </w:pPr>
            <w:r>
              <w:rPr>
                <w:sz w:val="24"/>
                <w:szCs w:val="20"/>
                <w:highlight w:val="none"/>
              </w:rPr>
              <w:t>1）一般工业固体废物</w:t>
            </w:r>
          </w:p>
          <w:p>
            <w:pPr>
              <w:keepNext/>
              <w:keepLines/>
              <w:tabs>
                <w:tab w:val="left" w:pos="720"/>
              </w:tabs>
              <w:spacing w:line="360" w:lineRule="auto"/>
              <w:ind w:firstLine="480" w:firstLineChars="200"/>
              <w:outlineLvl w:val="3"/>
              <w:rPr>
                <w:sz w:val="24"/>
                <w:szCs w:val="20"/>
                <w:highlight w:val="none"/>
              </w:rPr>
            </w:pPr>
            <w:r>
              <w:rPr>
                <w:sz w:val="24"/>
                <w:szCs w:val="20"/>
                <w:highlight w:val="none"/>
              </w:rPr>
              <w:t>根据《排污许可证申请与核发技术规范</w:t>
            </w:r>
            <w:r>
              <w:rPr>
                <w:rFonts w:hint="eastAsia"/>
                <w:sz w:val="24"/>
                <w:szCs w:val="20"/>
                <w:highlight w:val="none"/>
              </w:rPr>
              <w:t xml:space="preserve"> 工业固体废物（试行）》（HJ1200-2021）</w:t>
            </w:r>
            <w:r>
              <w:rPr>
                <w:sz w:val="24"/>
                <w:szCs w:val="20"/>
                <w:highlight w:val="none"/>
              </w:rPr>
              <w:t>中相关要求：</w:t>
            </w:r>
          </w:p>
          <w:p>
            <w:pPr>
              <w:keepNext/>
              <w:keepLines/>
              <w:tabs>
                <w:tab w:val="left" w:pos="720"/>
              </w:tabs>
              <w:spacing w:line="360" w:lineRule="auto"/>
              <w:ind w:firstLine="480" w:firstLineChars="200"/>
              <w:outlineLvl w:val="3"/>
              <w:rPr>
                <w:sz w:val="24"/>
                <w:szCs w:val="20"/>
                <w:highlight w:val="none"/>
              </w:rPr>
            </w:pPr>
            <w:r>
              <w:rPr>
                <w:sz w:val="24"/>
                <w:szCs w:val="20"/>
                <w:highlight w:val="none"/>
              </w:rPr>
              <w:t>采用库房、包装工具（罐、桶、包装袋等）贮存一般工业固体废物的，贮存过程应满足相应防渗漏、防雨淋、防扬尘等环境保护要求；危险废物和生活垃圾不得进入一般工业固体废物贮存场及填埋场；不相容的一般工业固体废物应设置不同的分区进行贮存和填埋作业；贮存场、填埋场应设置清晰、完整的一般工业固体废物标志牌等。排污单位生产运营期间一般工业固体废物自行贮存/利用/处置设施的环境管理和相关设施运行维护要求还应符合GB15562.2、GB18599、GB30485和HJ2035等相关标准规范要求。</w:t>
            </w:r>
          </w:p>
          <w:p>
            <w:pPr>
              <w:pStyle w:val="96"/>
              <w:ind w:firstLine="480"/>
              <w:rPr>
                <w:szCs w:val="20"/>
                <w:highlight w:val="none"/>
              </w:rPr>
            </w:pPr>
            <w:r>
              <w:rPr>
                <w:rFonts w:hint="eastAsia"/>
                <w:szCs w:val="20"/>
                <w:highlight w:val="none"/>
              </w:rPr>
              <w:t>本项目新建50m</w:t>
            </w:r>
            <w:r>
              <w:rPr>
                <w:rFonts w:hint="eastAsia"/>
                <w:szCs w:val="20"/>
                <w:highlight w:val="none"/>
                <w:vertAlign w:val="superscript"/>
              </w:rPr>
              <w:t>2</w:t>
            </w:r>
            <w:r>
              <w:rPr>
                <w:rFonts w:hint="eastAsia"/>
                <w:szCs w:val="20"/>
                <w:highlight w:val="none"/>
              </w:rPr>
              <w:t>一般固体废物暂存间，储存时间</w:t>
            </w:r>
            <w:r>
              <w:rPr>
                <w:rFonts w:hint="eastAsia"/>
                <w:szCs w:val="20"/>
                <w:highlight w:val="none"/>
                <w:lang w:val="en-US" w:eastAsia="zh-CN"/>
              </w:rPr>
              <w:t>3</w:t>
            </w:r>
            <w:r>
              <w:rPr>
                <w:rFonts w:hint="eastAsia"/>
                <w:szCs w:val="20"/>
                <w:highlight w:val="none"/>
              </w:rPr>
              <w:t>个月，一次最大储存量50t，</w:t>
            </w:r>
            <w:r>
              <w:rPr>
                <w:rFonts w:hint="eastAsia" w:ascii="宋体"/>
                <w:spacing w:val="-3"/>
                <w:szCs w:val="32"/>
                <w:highlight w:val="none"/>
              </w:rPr>
              <w:t>一般固废暂存间的建设满足</w:t>
            </w:r>
            <w:r>
              <w:rPr>
                <w:rFonts w:hint="eastAsia"/>
                <w:szCs w:val="28"/>
                <w:highlight w:val="none"/>
              </w:rPr>
              <w:t>防渗漏、防雨淋、防扬尘要求。</w:t>
            </w:r>
            <w:r>
              <w:rPr>
                <w:rFonts w:hint="eastAsia"/>
                <w:highlight w:val="none"/>
              </w:rPr>
              <w:t>本项目蛋壳</w:t>
            </w:r>
            <w:r>
              <w:rPr>
                <w:rFonts w:hint="eastAsia"/>
                <w:highlight w:val="none"/>
                <w:lang w:val="en-US" w:eastAsia="zh-CN"/>
              </w:rPr>
              <w:t>、不合格蛋、废蛋液、过滤废弃物、不合格品</w:t>
            </w:r>
            <w:r>
              <w:rPr>
                <w:rFonts w:hint="eastAsia"/>
                <w:highlight w:val="none"/>
              </w:rPr>
              <w:t>暂存于蛋壳暂存间</w:t>
            </w:r>
            <w:r>
              <w:rPr>
                <w:rFonts w:hint="eastAsia"/>
                <w:color w:val="0000FF"/>
                <w:highlight w:val="none"/>
                <w:lang w:eastAsia="zh-CN"/>
              </w:rPr>
              <w:t>（</w:t>
            </w:r>
            <w:r>
              <w:rPr>
                <w:rFonts w:hint="eastAsia"/>
                <w:color w:val="0000FF"/>
                <w:highlight w:val="none"/>
                <w:lang w:val="en-US" w:eastAsia="zh-CN"/>
              </w:rPr>
              <w:t>35m</w:t>
            </w:r>
            <w:r>
              <w:rPr>
                <w:rFonts w:hint="eastAsia"/>
                <w:color w:val="0000FF"/>
                <w:highlight w:val="none"/>
                <w:vertAlign w:val="superscript"/>
                <w:lang w:val="en-US" w:eastAsia="zh-CN"/>
              </w:rPr>
              <w:t>2</w:t>
            </w:r>
            <w:r>
              <w:rPr>
                <w:rFonts w:hint="eastAsia"/>
                <w:color w:val="0000FF"/>
                <w:highlight w:val="none"/>
                <w:lang w:eastAsia="zh-CN"/>
              </w:rPr>
              <w:t>）</w:t>
            </w:r>
            <w:r>
              <w:rPr>
                <w:rFonts w:hint="eastAsia"/>
                <w:highlight w:val="none"/>
              </w:rPr>
              <w:t>，日产日清；</w:t>
            </w:r>
            <w:r>
              <w:rPr>
                <w:rFonts w:hint="eastAsia"/>
                <w:highlight w:val="none"/>
                <w:lang w:val="en-US" w:eastAsia="zh-CN"/>
              </w:rPr>
              <w:t>锅炉炉渣于生物质燃料仓库暂存，定期外售综合利用；</w:t>
            </w:r>
            <w:r>
              <w:rPr>
                <w:rFonts w:hint="eastAsia"/>
                <w:highlight w:val="none"/>
              </w:rPr>
              <w:t>其余一般固废暂存于一般固废暂存间，</w:t>
            </w:r>
            <w:r>
              <w:rPr>
                <w:rFonts w:hint="eastAsia"/>
                <w:szCs w:val="28"/>
                <w:highlight w:val="none"/>
              </w:rPr>
              <w:t>项目废包装材料、污水处理站污泥、废布袋、除尘灰等一般固废</w:t>
            </w:r>
            <w:r>
              <w:rPr>
                <w:rFonts w:hint="eastAsia"/>
                <w:highlight w:val="none"/>
              </w:rPr>
              <w:t>产生量</w:t>
            </w:r>
            <w:r>
              <w:rPr>
                <w:rFonts w:hint="eastAsia"/>
                <w:highlight w:val="none"/>
                <w:lang w:val="en-US" w:eastAsia="zh-CN"/>
              </w:rPr>
              <w:t>18.55</w:t>
            </w:r>
            <w:r>
              <w:rPr>
                <w:rFonts w:hint="eastAsia"/>
                <w:highlight w:val="none"/>
              </w:rPr>
              <w:t>t/a，平均3个月产生</w:t>
            </w:r>
            <w:r>
              <w:rPr>
                <w:rFonts w:hint="eastAsia"/>
                <w:szCs w:val="20"/>
                <w:highlight w:val="none"/>
                <w:lang w:val="en-US" w:eastAsia="zh-CN"/>
              </w:rPr>
              <w:t>4.64</w:t>
            </w:r>
            <w:r>
              <w:rPr>
                <w:rFonts w:hint="eastAsia"/>
                <w:szCs w:val="20"/>
                <w:highlight w:val="none"/>
              </w:rPr>
              <w:t>t，</w:t>
            </w:r>
            <w:r>
              <w:rPr>
                <w:rFonts w:hint="eastAsia"/>
                <w:kern w:val="2"/>
                <w:highlight w:val="none"/>
              </w:rPr>
              <w:t>因此</w:t>
            </w:r>
            <w:r>
              <w:rPr>
                <w:rFonts w:hint="eastAsia"/>
                <w:szCs w:val="20"/>
                <w:highlight w:val="none"/>
              </w:rPr>
              <w:t>项目一般固体废物暂存区满足需求。</w:t>
            </w:r>
          </w:p>
          <w:p>
            <w:pPr>
              <w:keepNext/>
              <w:keepLines/>
              <w:tabs>
                <w:tab w:val="left" w:pos="720"/>
              </w:tabs>
              <w:spacing w:line="360" w:lineRule="auto"/>
              <w:ind w:firstLine="480" w:firstLineChars="200"/>
              <w:outlineLvl w:val="3"/>
              <w:rPr>
                <w:sz w:val="24"/>
                <w:szCs w:val="20"/>
                <w:highlight w:val="none"/>
              </w:rPr>
            </w:pPr>
            <w:r>
              <w:rPr>
                <w:sz w:val="24"/>
                <w:szCs w:val="20"/>
                <w:highlight w:val="none"/>
              </w:rPr>
              <w:t>2）危险废物</w:t>
            </w:r>
          </w:p>
          <w:p>
            <w:pPr>
              <w:keepNext/>
              <w:keepLines/>
              <w:tabs>
                <w:tab w:val="left" w:pos="720"/>
              </w:tabs>
              <w:spacing w:line="360" w:lineRule="auto"/>
              <w:ind w:firstLine="480" w:firstLineChars="200"/>
              <w:outlineLvl w:val="3"/>
              <w:rPr>
                <w:sz w:val="24"/>
                <w:szCs w:val="20"/>
                <w:highlight w:val="none"/>
              </w:rPr>
            </w:pPr>
            <w:r>
              <w:rPr>
                <w:sz w:val="24"/>
                <w:szCs w:val="20"/>
                <w:highlight w:val="none"/>
              </w:rPr>
              <w:t>根据《危险废物贮存污染控制标准》（GB18597-2023）及《危险废物收集贮存运输技术规范》（HJ2025-2012）中的相关要求：</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①一般固体废物与危险废物盛放容器要有识别</w:t>
            </w:r>
            <w:r>
              <w:rPr>
                <w:rFonts w:hint="eastAsia"/>
                <w:sz w:val="24"/>
                <w:szCs w:val="20"/>
                <w:highlight w:val="none"/>
              </w:rPr>
              <w:t>标识</w:t>
            </w:r>
            <w:r>
              <w:rPr>
                <w:sz w:val="24"/>
                <w:szCs w:val="20"/>
                <w:highlight w:val="none"/>
              </w:rPr>
              <w:t>，必须分类储存、禁止混放。</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②车间主管定期进行危险废物储存情况检查，坚决杜绝一般固体废物与危险废物混放。</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③禁止露天存放危险废物。</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④危废间必须由专人管理，双人双锁，其他人未经允许不得进入库内。</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⑤车间产生的危险废物每次送危废间要进行登记，并</w:t>
            </w:r>
            <w:r>
              <w:rPr>
                <w:rFonts w:hint="eastAsia"/>
                <w:sz w:val="24"/>
                <w:szCs w:val="20"/>
                <w:highlight w:val="none"/>
              </w:rPr>
              <w:t>做好</w:t>
            </w:r>
            <w:r>
              <w:rPr>
                <w:sz w:val="24"/>
                <w:szCs w:val="20"/>
                <w:highlight w:val="none"/>
              </w:rPr>
              <w:t>记录保存完好，每月汇总一次。危废间内的危险废物应分类登记存放、禁止混放。</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⑥本评价要求企业产生的危险废物，在与有资质单位签署转移、运输、处理协议并在当地</w:t>
            </w:r>
            <w:r>
              <w:rPr>
                <w:rFonts w:hint="eastAsia"/>
                <w:color w:val="0000FF"/>
                <w:sz w:val="24"/>
                <w:szCs w:val="20"/>
                <w:highlight w:val="none"/>
                <w:lang w:val="en-US" w:eastAsia="zh-CN"/>
              </w:rPr>
              <w:t>生态环境</w:t>
            </w:r>
            <w:r>
              <w:rPr>
                <w:sz w:val="24"/>
                <w:szCs w:val="20"/>
                <w:highlight w:val="none"/>
              </w:rPr>
              <w:t>部门备案后方可运行。</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⑦每年至少组织一次危险废物管理人员岗位培训，对相关管理人员和从事危险废物收集、运送、暂存、利用和处置等工作的人员进行国家相关法律法规、规章和有关规范性文件的培训；熟悉本公司危险废物管理规章制度、工作流程和应急预案等各项要求；掌握危险废物分类收集、运送、暂存的正确方法和操作程序。</w:t>
            </w:r>
          </w:p>
          <w:p>
            <w:pPr>
              <w:keepNext/>
              <w:keepLines/>
              <w:tabs>
                <w:tab w:val="left" w:pos="720"/>
              </w:tabs>
              <w:spacing w:line="360" w:lineRule="auto"/>
              <w:ind w:firstLine="480" w:firstLineChars="200"/>
              <w:outlineLvl w:val="3"/>
              <w:rPr>
                <w:sz w:val="24"/>
                <w:szCs w:val="20"/>
                <w:highlight w:val="none"/>
              </w:rPr>
            </w:pPr>
            <w:r>
              <w:rPr>
                <w:sz w:val="24"/>
                <w:szCs w:val="20"/>
                <w:highlight w:val="none"/>
              </w:rPr>
              <w:t>⑧危废贮存场所要做好防渗、防雨、防晒、防火等措施，贮存设施应符合国家标准。依据《危险废物识别标志设置技术规范》（HJ1276-2022）、《危险废物贮存污染控制标准》（GB18597-2023）、《环境保护图形标志</w:t>
            </w:r>
            <w:r>
              <w:rPr>
                <w:rFonts w:hint="eastAsia"/>
                <w:sz w:val="24"/>
                <w:szCs w:val="20"/>
                <w:highlight w:val="none"/>
              </w:rPr>
              <w:t>－</w:t>
            </w:r>
            <w:r>
              <w:rPr>
                <w:sz w:val="24"/>
                <w:szCs w:val="20"/>
                <w:highlight w:val="none"/>
              </w:rPr>
              <w:t>固体废物贮存（处置）场》（GB15562.2-1995）及其修改单中所示标签设置危险废物识别、警示标志。装载危险废物的容器完好无损，容器上粘贴危险废物标签；相容的危险废物要分别存放或存放在不渗透分隔分开的区域内，同时做分区</w:t>
            </w:r>
            <w:r>
              <w:rPr>
                <w:rFonts w:hint="eastAsia"/>
                <w:sz w:val="24"/>
                <w:szCs w:val="20"/>
                <w:highlight w:val="none"/>
              </w:rPr>
              <w:t>标识</w:t>
            </w:r>
            <w:r>
              <w:rPr>
                <w:sz w:val="24"/>
                <w:szCs w:val="20"/>
                <w:highlight w:val="none"/>
              </w:rPr>
              <w:t>，设置裙角围堰等。贮存场所地面须作防腐、防渗处理，渗透系数≤1.0×10</w:t>
            </w:r>
            <w:r>
              <w:rPr>
                <w:sz w:val="24"/>
                <w:szCs w:val="20"/>
                <w:highlight w:val="none"/>
                <w:vertAlign w:val="superscript"/>
              </w:rPr>
              <w:t>-</w:t>
            </w:r>
            <w:r>
              <w:rPr>
                <w:rFonts w:hint="eastAsia"/>
                <w:sz w:val="24"/>
                <w:szCs w:val="20"/>
                <w:highlight w:val="none"/>
                <w:vertAlign w:val="superscript"/>
              </w:rPr>
              <w:t>1</w:t>
            </w:r>
            <w:r>
              <w:rPr>
                <w:sz w:val="24"/>
                <w:szCs w:val="20"/>
                <w:highlight w:val="none"/>
                <w:vertAlign w:val="superscript"/>
              </w:rPr>
              <w:t>0</w:t>
            </w:r>
            <w:r>
              <w:rPr>
                <w:sz w:val="24"/>
                <w:szCs w:val="20"/>
                <w:highlight w:val="none"/>
              </w:rPr>
              <w:t>cm/s，地面铺设地坪漆；或参照GB18598要求。</w:t>
            </w:r>
          </w:p>
          <w:p>
            <w:pPr>
              <w:keepNext/>
              <w:keepLines/>
              <w:tabs>
                <w:tab w:val="left" w:pos="720"/>
              </w:tabs>
              <w:spacing w:line="360" w:lineRule="auto"/>
              <w:ind w:firstLine="480" w:firstLineChars="200"/>
              <w:outlineLvl w:val="3"/>
              <w:rPr>
                <w:sz w:val="24"/>
                <w:szCs w:val="20"/>
                <w:highlight w:val="none"/>
              </w:rPr>
            </w:pPr>
            <w:r>
              <w:rPr>
                <w:sz w:val="24"/>
                <w:szCs w:val="20"/>
                <w:highlight w:val="none"/>
              </w:rPr>
              <w:t>为防止危险废物在厂区内临时贮存过程中对环境产生污染影响，</w:t>
            </w:r>
            <w:r>
              <w:rPr>
                <w:rFonts w:hint="eastAsia"/>
                <w:sz w:val="24"/>
                <w:szCs w:val="20"/>
                <w:highlight w:val="none"/>
              </w:rPr>
              <w:t>项目新建</w:t>
            </w:r>
            <w:r>
              <w:rPr>
                <w:sz w:val="24"/>
                <w:szCs w:val="20"/>
                <w:highlight w:val="none"/>
              </w:rPr>
              <w:t>1</w:t>
            </w:r>
            <w:r>
              <w:rPr>
                <w:rFonts w:hint="eastAsia"/>
                <w:sz w:val="24"/>
                <w:szCs w:val="20"/>
                <w:highlight w:val="none"/>
              </w:rPr>
              <w:t>间10</w:t>
            </w:r>
            <w:r>
              <w:rPr>
                <w:sz w:val="24"/>
                <w:szCs w:val="20"/>
                <w:highlight w:val="none"/>
              </w:rPr>
              <w:t>m</w:t>
            </w:r>
            <w:r>
              <w:rPr>
                <w:sz w:val="24"/>
                <w:szCs w:val="20"/>
                <w:highlight w:val="none"/>
                <w:vertAlign w:val="superscript"/>
              </w:rPr>
              <w:t>2</w:t>
            </w:r>
            <w:r>
              <w:rPr>
                <w:rFonts w:hint="eastAsia"/>
                <w:sz w:val="24"/>
                <w:szCs w:val="20"/>
                <w:highlight w:val="none"/>
              </w:rPr>
              <w:t>的危废暂存间，墙面及地面需做好</w:t>
            </w:r>
            <w:r>
              <w:rPr>
                <w:rFonts w:hint="eastAsia"/>
                <w:color w:val="0000FF"/>
                <w:sz w:val="24"/>
                <w:szCs w:val="20"/>
                <w:highlight w:val="none"/>
              </w:rPr>
              <w:t>防风、防雨、防晒、防漏、防渗、防腐</w:t>
            </w:r>
            <w:r>
              <w:rPr>
                <w:color w:val="0000FF"/>
                <w:sz w:val="24"/>
                <w:szCs w:val="20"/>
                <w:highlight w:val="none"/>
              </w:rPr>
              <w:t>等措施</w:t>
            </w:r>
            <w:r>
              <w:rPr>
                <w:rFonts w:hint="eastAsia"/>
                <w:sz w:val="24"/>
                <w:szCs w:val="20"/>
                <w:highlight w:val="none"/>
              </w:rPr>
              <w:t>，设置围堰，并分区域存放危险废物，危废间的储存时间3个月，贮存能力为10</w:t>
            </w:r>
            <w:r>
              <w:rPr>
                <w:sz w:val="24"/>
                <w:szCs w:val="20"/>
                <w:highlight w:val="none"/>
              </w:rPr>
              <w:t>t</w:t>
            </w:r>
            <w:r>
              <w:rPr>
                <w:rFonts w:hint="eastAsia"/>
                <w:sz w:val="24"/>
                <w:szCs w:val="20"/>
                <w:highlight w:val="none"/>
              </w:rPr>
              <w:t>，本项目一次最大危险废物的贮存量为1.8</w:t>
            </w:r>
            <w:r>
              <w:rPr>
                <w:sz w:val="24"/>
                <w:szCs w:val="20"/>
                <w:highlight w:val="none"/>
              </w:rPr>
              <w:t>t/a</w:t>
            </w:r>
            <w:r>
              <w:rPr>
                <w:rFonts w:hint="eastAsia"/>
                <w:sz w:val="24"/>
                <w:szCs w:val="20"/>
                <w:highlight w:val="none"/>
              </w:rPr>
              <w:t>，可满足项目要求。</w:t>
            </w:r>
          </w:p>
          <w:p>
            <w:pPr>
              <w:keepNext/>
              <w:keepLines/>
              <w:tabs>
                <w:tab w:val="left" w:pos="720"/>
              </w:tabs>
              <w:spacing w:line="360" w:lineRule="auto"/>
              <w:ind w:firstLine="480" w:firstLineChars="200"/>
              <w:outlineLvl w:val="3"/>
              <w:rPr>
                <w:sz w:val="24"/>
                <w:szCs w:val="20"/>
                <w:highlight w:val="none"/>
              </w:rPr>
            </w:pPr>
            <w:r>
              <w:rPr>
                <w:sz w:val="24"/>
                <w:szCs w:val="20"/>
                <w:highlight w:val="none"/>
              </w:rPr>
              <w:t>综上所述，项目固废均得到合理处置，对周围环境产生影响较小。</w:t>
            </w:r>
          </w:p>
          <w:p>
            <w:pPr>
              <w:widowControl/>
              <w:spacing w:line="360" w:lineRule="auto"/>
              <w:ind w:firstLine="481" w:firstLineChars="200"/>
              <w:rPr>
                <w:b/>
                <w:bCs/>
                <w:sz w:val="24"/>
                <w:szCs w:val="20"/>
                <w:highlight w:val="none"/>
              </w:rPr>
            </w:pPr>
            <w:r>
              <w:rPr>
                <w:rFonts w:hint="eastAsia"/>
                <w:b/>
                <w:bCs/>
                <w:sz w:val="24"/>
                <w:szCs w:val="20"/>
                <w:highlight w:val="none"/>
              </w:rPr>
              <w:t>5、土壤、地下水</w:t>
            </w:r>
          </w:p>
          <w:p>
            <w:pPr>
              <w:spacing w:line="360" w:lineRule="auto"/>
              <w:ind w:firstLine="480" w:firstLineChars="200"/>
              <w:rPr>
                <w:sz w:val="24"/>
                <w:highlight w:val="none"/>
              </w:rPr>
            </w:pPr>
            <w:r>
              <w:rPr>
                <w:rFonts w:hint="eastAsia"/>
                <w:sz w:val="24"/>
                <w:highlight w:val="none"/>
              </w:rPr>
              <w:t>（1）影响类型及污染源</w:t>
            </w:r>
          </w:p>
          <w:p>
            <w:pPr>
              <w:spacing w:line="360" w:lineRule="auto"/>
              <w:ind w:firstLine="480" w:firstLineChars="200"/>
              <w:rPr>
                <w:sz w:val="24"/>
                <w:highlight w:val="none"/>
              </w:rPr>
            </w:pPr>
            <w:r>
              <w:rPr>
                <w:rFonts w:hint="eastAsia"/>
                <w:sz w:val="24"/>
                <w:highlight w:val="none"/>
              </w:rPr>
              <w:t>本项目的地下水和土壤环境影响主要为污染影响型，根据项目生产工艺及产排污特点，本项目对地下水、土壤造成污染的情况有污水处理设施及管沟泄漏、危险废物贮存库危险废物泄漏，导致污染地下水和土壤等，因此需要做好污水处理设施及管线、危废仓库等的防渗措施。</w:t>
            </w:r>
          </w:p>
          <w:p>
            <w:pPr>
              <w:pStyle w:val="144"/>
              <w:ind w:left="420" w:leftChars="200" w:firstLine="0" w:firstLineChars="0"/>
              <w:rPr>
                <w:rFonts w:hAnsi="Times New Roman"/>
                <w:highlight w:val="none"/>
              </w:rPr>
            </w:pPr>
            <w:r>
              <w:rPr>
                <w:rFonts w:hint="eastAsia" w:hAnsi="Times New Roman"/>
                <w:highlight w:val="none"/>
              </w:rPr>
              <w:t>（2）</w:t>
            </w:r>
            <w:r>
              <w:rPr>
                <w:rFonts w:hAnsi="Times New Roman"/>
                <w:highlight w:val="none"/>
              </w:rPr>
              <w:t>防控措施</w:t>
            </w:r>
          </w:p>
          <w:p>
            <w:pPr>
              <w:pStyle w:val="144"/>
              <w:rPr>
                <w:rFonts w:hAnsi="Times New Roman"/>
                <w:highlight w:val="none"/>
              </w:rPr>
            </w:pPr>
            <w:r>
              <w:rPr>
                <w:rFonts w:hAnsi="Times New Roman"/>
                <w:highlight w:val="none"/>
              </w:rPr>
              <w:t>1）源头控制措施</w:t>
            </w:r>
          </w:p>
          <w:p>
            <w:pPr>
              <w:spacing w:line="360" w:lineRule="auto"/>
              <w:ind w:firstLine="480" w:firstLineChars="200"/>
              <w:rPr>
                <w:sz w:val="24"/>
                <w:highlight w:val="none"/>
              </w:rPr>
            </w:pPr>
            <w:r>
              <w:rPr>
                <w:sz w:val="24"/>
                <w:highlight w:val="none"/>
              </w:rPr>
              <w:t>使用先进工艺，良好的管道、设备和污水储存设施，尽可能从源头上减少污染物产生。严格按照国家相关规范要求，对工艺、管道、设备、污水储存及处理构筑物采取相应的措施，以防止和降低污染物的跑、冒、滴、漏，将环境风险事故降低到最低。管线铺设尽量采用</w:t>
            </w:r>
            <w:r>
              <w:rPr>
                <w:rFonts w:hint="eastAsia"/>
                <w:sz w:val="24"/>
                <w:highlight w:val="none"/>
              </w:rPr>
              <w:t>“</w:t>
            </w:r>
            <w:r>
              <w:rPr>
                <w:sz w:val="24"/>
                <w:highlight w:val="none"/>
              </w:rPr>
              <w:t>可视化</w:t>
            </w:r>
            <w:r>
              <w:rPr>
                <w:rFonts w:hint="eastAsia"/>
                <w:sz w:val="24"/>
                <w:highlight w:val="none"/>
              </w:rPr>
              <w:t>”</w:t>
            </w:r>
            <w:r>
              <w:rPr>
                <w:sz w:val="24"/>
                <w:highlight w:val="none"/>
              </w:rPr>
              <w:t>原则，即管道尽可</w:t>
            </w:r>
            <w:r>
              <w:rPr>
                <w:rFonts w:hint="eastAsia"/>
                <w:sz w:val="24"/>
                <w:highlight w:val="none"/>
              </w:rPr>
              <w:t>能在</w:t>
            </w:r>
            <w:r>
              <w:rPr>
                <w:sz w:val="24"/>
                <w:highlight w:val="none"/>
              </w:rPr>
              <w:t>地上铺设，做到污染物</w:t>
            </w:r>
            <w:r>
              <w:rPr>
                <w:rFonts w:hint="eastAsia"/>
                <w:sz w:val="24"/>
                <w:highlight w:val="none"/>
              </w:rPr>
              <w:t>“</w:t>
            </w:r>
            <w:r>
              <w:rPr>
                <w:sz w:val="24"/>
                <w:highlight w:val="none"/>
              </w:rPr>
              <w:t>早发现、早处理</w:t>
            </w:r>
            <w:r>
              <w:rPr>
                <w:rFonts w:hint="eastAsia"/>
                <w:sz w:val="24"/>
                <w:highlight w:val="none"/>
              </w:rPr>
              <w:t>”</w:t>
            </w:r>
            <w:r>
              <w:rPr>
                <w:sz w:val="24"/>
                <w:highlight w:val="none"/>
              </w:rPr>
              <w:t>，以减少由于埋地管道泄漏而可能造成的地下水、土壤污染。</w:t>
            </w:r>
          </w:p>
          <w:p>
            <w:pPr>
              <w:pStyle w:val="144"/>
              <w:rPr>
                <w:rFonts w:hAnsi="Times New Roman"/>
                <w:highlight w:val="none"/>
              </w:rPr>
            </w:pPr>
            <w:r>
              <w:rPr>
                <w:rFonts w:hAnsi="Times New Roman"/>
                <w:highlight w:val="none"/>
              </w:rPr>
              <w:t>2）分区防渗措施</w:t>
            </w:r>
          </w:p>
          <w:p>
            <w:pPr>
              <w:pStyle w:val="144"/>
              <w:rPr>
                <w:rFonts w:hAnsi="Times New Roman"/>
                <w:highlight w:val="none"/>
              </w:rPr>
            </w:pPr>
            <w:r>
              <w:rPr>
                <w:rFonts w:hAnsi="Times New Roman"/>
                <w:highlight w:val="none"/>
              </w:rPr>
              <w:t>对厂区可能</w:t>
            </w:r>
            <w:r>
              <w:rPr>
                <w:rFonts w:hint="eastAsia" w:hAnsi="Times New Roman"/>
                <w:highlight w:val="none"/>
              </w:rPr>
              <w:t>泄漏</w:t>
            </w:r>
            <w:r>
              <w:rPr>
                <w:rFonts w:hAnsi="Times New Roman"/>
                <w:highlight w:val="none"/>
              </w:rPr>
              <w:t>污染物的污染区地面进行防渗处理，并及时地将</w:t>
            </w:r>
            <w:r>
              <w:rPr>
                <w:rFonts w:hint="eastAsia" w:hAnsi="Times New Roman"/>
                <w:highlight w:val="none"/>
              </w:rPr>
              <w:t>泄漏/</w:t>
            </w:r>
            <w:r>
              <w:rPr>
                <w:rFonts w:hAnsi="Times New Roman"/>
                <w:highlight w:val="none"/>
              </w:rPr>
              <w:t>渗漏的污染物收集起来进行处理，可有效</w:t>
            </w:r>
            <w:r>
              <w:rPr>
                <w:rFonts w:hint="eastAsia" w:hAnsi="Times New Roman"/>
                <w:highlight w:val="none"/>
              </w:rPr>
              <w:t>防止</w:t>
            </w:r>
            <w:r>
              <w:rPr>
                <w:rFonts w:hAnsi="Times New Roman"/>
                <w:highlight w:val="none"/>
              </w:rPr>
              <w:t>洒落地面的污染物渗入地下。根据本项目的特点，将厂区不同的区域划分为重点污染防治区、一般污染防治区和简单污染防治区。</w:t>
            </w:r>
          </w:p>
          <w:p>
            <w:pPr>
              <w:keepNext/>
              <w:keepLines/>
              <w:tabs>
                <w:tab w:val="left" w:pos="720"/>
              </w:tabs>
              <w:jc w:val="center"/>
              <w:outlineLvl w:val="3"/>
              <w:rPr>
                <w:b/>
                <w:bCs/>
                <w:szCs w:val="21"/>
                <w:highlight w:val="none"/>
              </w:rPr>
            </w:pPr>
            <w:r>
              <w:rPr>
                <w:rFonts w:hint="eastAsia"/>
                <w:b/>
                <w:bCs/>
                <w:szCs w:val="21"/>
                <w:highlight w:val="none"/>
              </w:rPr>
              <w:t>表4-18 本项目厂内防渗分区情况</w:t>
            </w:r>
          </w:p>
          <w:tbl>
            <w:tblPr>
              <w:tblStyle w:val="39"/>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231"/>
              <w:gridCol w:w="1104"/>
              <w:gridCol w:w="35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top w:val="single" w:color="auto" w:sz="4" w:space="0"/>
                  </w:tcBorders>
                  <w:vAlign w:val="center"/>
                </w:tcPr>
                <w:p>
                  <w:pPr>
                    <w:jc w:val="center"/>
                    <w:rPr>
                      <w:b/>
                      <w:szCs w:val="21"/>
                      <w:highlight w:val="none"/>
                    </w:rPr>
                  </w:pPr>
                  <w:r>
                    <w:rPr>
                      <w:rFonts w:hint="eastAsia"/>
                      <w:b/>
                      <w:szCs w:val="21"/>
                      <w:highlight w:val="none"/>
                    </w:rPr>
                    <w:t>分区类别</w:t>
                  </w:r>
                </w:p>
              </w:tc>
              <w:tc>
                <w:tcPr>
                  <w:tcW w:w="1344" w:type="pct"/>
                  <w:tcBorders>
                    <w:top w:val="single" w:color="auto" w:sz="4" w:space="0"/>
                  </w:tcBorders>
                  <w:vAlign w:val="center"/>
                </w:tcPr>
                <w:p>
                  <w:pPr>
                    <w:jc w:val="center"/>
                    <w:rPr>
                      <w:b/>
                      <w:szCs w:val="21"/>
                      <w:highlight w:val="none"/>
                    </w:rPr>
                  </w:pPr>
                  <w:r>
                    <w:rPr>
                      <w:rFonts w:hint="eastAsia"/>
                      <w:b/>
                      <w:szCs w:val="21"/>
                      <w:highlight w:val="none"/>
                    </w:rPr>
                    <w:t>名称</w:t>
                  </w:r>
                </w:p>
              </w:tc>
              <w:tc>
                <w:tcPr>
                  <w:tcW w:w="665" w:type="pct"/>
                  <w:tcBorders>
                    <w:top w:val="single" w:color="auto" w:sz="4" w:space="0"/>
                  </w:tcBorders>
                  <w:vAlign w:val="center"/>
                </w:tcPr>
                <w:p>
                  <w:pPr>
                    <w:jc w:val="center"/>
                    <w:rPr>
                      <w:b/>
                      <w:szCs w:val="21"/>
                      <w:highlight w:val="none"/>
                    </w:rPr>
                  </w:pPr>
                  <w:r>
                    <w:rPr>
                      <w:rFonts w:hint="eastAsia"/>
                      <w:b/>
                      <w:szCs w:val="21"/>
                      <w:highlight w:val="none"/>
                    </w:rPr>
                    <w:t>防渗区域</w:t>
                  </w:r>
                </w:p>
              </w:tc>
              <w:tc>
                <w:tcPr>
                  <w:tcW w:w="2150" w:type="pct"/>
                  <w:tcBorders>
                    <w:top w:val="single" w:color="auto" w:sz="4" w:space="0"/>
                  </w:tcBorders>
                  <w:vAlign w:val="center"/>
                </w:tcPr>
                <w:p>
                  <w:pPr>
                    <w:jc w:val="center"/>
                    <w:rPr>
                      <w:b/>
                      <w:szCs w:val="21"/>
                      <w:highlight w:val="none"/>
                    </w:rPr>
                  </w:pPr>
                  <w:r>
                    <w:rPr>
                      <w:rFonts w:hint="eastAsia"/>
                      <w:b/>
                      <w:szCs w:val="21"/>
                      <w:highlight w:val="none"/>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vAlign w:val="center"/>
                </w:tcPr>
                <w:p>
                  <w:pPr>
                    <w:jc w:val="center"/>
                    <w:rPr>
                      <w:szCs w:val="21"/>
                      <w:highlight w:val="none"/>
                    </w:rPr>
                  </w:pPr>
                  <w:r>
                    <w:rPr>
                      <w:rFonts w:hint="eastAsia"/>
                      <w:szCs w:val="21"/>
                      <w:highlight w:val="none"/>
                    </w:rPr>
                    <w:t>重点防渗区</w:t>
                  </w:r>
                </w:p>
              </w:tc>
              <w:tc>
                <w:tcPr>
                  <w:tcW w:w="1344" w:type="pct"/>
                  <w:vAlign w:val="center"/>
                </w:tcPr>
                <w:p>
                  <w:pPr>
                    <w:tabs>
                      <w:tab w:val="left" w:pos="1110"/>
                    </w:tabs>
                    <w:jc w:val="center"/>
                    <w:rPr>
                      <w:szCs w:val="21"/>
                      <w:highlight w:val="none"/>
                    </w:rPr>
                  </w:pPr>
                  <w:r>
                    <w:rPr>
                      <w:rFonts w:hint="eastAsia"/>
                      <w:szCs w:val="21"/>
                      <w:highlight w:val="none"/>
                    </w:rPr>
                    <w:t>危废暂存间（10m</w:t>
                  </w:r>
                  <w:r>
                    <w:rPr>
                      <w:rFonts w:hint="eastAsia"/>
                      <w:szCs w:val="21"/>
                      <w:highlight w:val="none"/>
                      <w:vertAlign w:val="superscript"/>
                    </w:rPr>
                    <w:t>2</w:t>
                  </w:r>
                  <w:r>
                    <w:rPr>
                      <w:rFonts w:hint="eastAsia"/>
                      <w:szCs w:val="21"/>
                      <w:highlight w:val="none"/>
                    </w:rPr>
                    <w:t>）、</w:t>
                  </w:r>
                  <w:r>
                    <w:rPr>
                      <w:rFonts w:hint="eastAsia"/>
                      <w:color w:val="0000FF"/>
                      <w:szCs w:val="21"/>
                      <w:highlight w:val="none"/>
                      <w:lang w:val="en-US" w:eastAsia="zh-CN"/>
                    </w:rPr>
                    <w:t>化学药品间、</w:t>
                  </w:r>
                  <w:r>
                    <w:rPr>
                      <w:rFonts w:hint="eastAsia"/>
                      <w:szCs w:val="21"/>
                      <w:highlight w:val="none"/>
                    </w:rPr>
                    <w:t>污水处理站</w:t>
                  </w:r>
                </w:p>
              </w:tc>
              <w:tc>
                <w:tcPr>
                  <w:tcW w:w="665" w:type="pct"/>
                  <w:vAlign w:val="center"/>
                </w:tcPr>
                <w:p>
                  <w:pPr>
                    <w:tabs>
                      <w:tab w:val="left" w:pos="1110"/>
                    </w:tabs>
                    <w:jc w:val="center"/>
                    <w:rPr>
                      <w:szCs w:val="21"/>
                      <w:highlight w:val="none"/>
                    </w:rPr>
                  </w:pPr>
                  <w:r>
                    <w:rPr>
                      <w:rFonts w:hint="eastAsia"/>
                      <w:szCs w:val="21"/>
                      <w:highlight w:val="none"/>
                    </w:rPr>
                    <w:t>地面、池体、池壁</w:t>
                  </w:r>
                </w:p>
              </w:tc>
              <w:tc>
                <w:tcPr>
                  <w:tcW w:w="2150" w:type="pct"/>
                  <w:vAlign w:val="center"/>
                </w:tcPr>
                <w:p>
                  <w:pPr>
                    <w:tabs>
                      <w:tab w:val="left" w:pos="1110"/>
                    </w:tabs>
                    <w:jc w:val="center"/>
                    <w:rPr>
                      <w:szCs w:val="21"/>
                      <w:highlight w:val="none"/>
                    </w:rPr>
                  </w:pPr>
                  <w:r>
                    <w:rPr>
                      <w:rFonts w:hint="eastAsia"/>
                      <w:szCs w:val="21"/>
                      <w:highlight w:val="none"/>
                    </w:rPr>
                    <w:t>等效黏土防渗层Mb≥6.0m，K≤1×10</w:t>
                  </w:r>
                  <w:r>
                    <w:rPr>
                      <w:rFonts w:hint="eastAsia"/>
                      <w:szCs w:val="21"/>
                      <w:highlight w:val="none"/>
                      <w:vertAlign w:val="superscript"/>
                    </w:rPr>
                    <w:t>-10</w:t>
                  </w:r>
                  <w:r>
                    <w:rPr>
                      <w:rFonts w:hint="eastAsia"/>
                      <w:szCs w:val="21"/>
                      <w:highlight w:val="none"/>
                    </w:rPr>
                    <w:t>cm/s；或参考GB18598执行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vAlign w:val="center"/>
                </w:tcPr>
                <w:p>
                  <w:pPr>
                    <w:jc w:val="center"/>
                    <w:rPr>
                      <w:szCs w:val="21"/>
                      <w:highlight w:val="none"/>
                    </w:rPr>
                  </w:pPr>
                  <w:r>
                    <w:rPr>
                      <w:rFonts w:hint="eastAsia"/>
                      <w:szCs w:val="21"/>
                      <w:highlight w:val="none"/>
                    </w:rPr>
                    <w:t>一般防渗区</w:t>
                  </w:r>
                </w:p>
              </w:tc>
              <w:tc>
                <w:tcPr>
                  <w:tcW w:w="1344" w:type="pct"/>
                  <w:vAlign w:val="center"/>
                </w:tcPr>
                <w:p>
                  <w:pPr>
                    <w:tabs>
                      <w:tab w:val="left" w:pos="1110"/>
                    </w:tabs>
                    <w:jc w:val="center"/>
                    <w:rPr>
                      <w:szCs w:val="21"/>
                      <w:highlight w:val="none"/>
                    </w:rPr>
                  </w:pPr>
                  <w:r>
                    <w:rPr>
                      <w:szCs w:val="21"/>
                      <w:highlight w:val="none"/>
                    </w:rPr>
                    <w:t>生产车间、一般固废</w:t>
                  </w:r>
                  <w:r>
                    <w:rPr>
                      <w:rFonts w:hint="eastAsia"/>
                      <w:szCs w:val="21"/>
                      <w:highlight w:val="none"/>
                    </w:rPr>
                    <w:t>区、化粪池</w:t>
                  </w:r>
                </w:p>
              </w:tc>
              <w:tc>
                <w:tcPr>
                  <w:tcW w:w="665" w:type="pct"/>
                  <w:vAlign w:val="center"/>
                </w:tcPr>
                <w:p>
                  <w:pPr>
                    <w:tabs>
                      <w:tab w:val="left" w:pos="1110"/>
                    </w:tabs>
                    <w:jc w:val="center"/>
                    <w:rPr>
                      <w:szCs w:val="21"/>
                      <w:highlight w:val="none"/>
                    </w:rPr>
                  </w:pPr>
                  <w:r>
                    <w:rPr>
                      <w:rFonts w:hint="eastAsia"/>
                      <w:szCs w:val="21"/>
                      <w:highlight w:val="none"/>
                    </w:rPr>
                    <w:t>地面、池体、池壁</w:t>
                  </w:r>
                </w:p>
              </w:tc>
              <w:tc>
                <w:tcPr>
                  <w:tcW w:w="2150" w:type="pct"/>
                  <w:vAlign w:val="center"/>
                </w:tcPr>
                <w:p>
                  <w:pPr>
                    <w:tabs>
                      <w:tab w:val="left" w:pos="1110"/>
                    </w:tabs>
                    <w:jc w:val="center"/>
                    <w:rPr>
                      <w:szCs w:val="21"/>
                      <w:highlight w:val="none"/>
                    </w:rPr>
                  </w:pPr>
                  <w:r>
                    <w:rPr>
                      <w:rFonts w:hint="eastAsia"/>
                      <w:szCs w:val="21"/>
                      <w:highlight w:val="none"/>
                    </w:rPr>
                    <w:t>等效黏土防渗层Mb≥1.5m，K≤1×10</w:t>
                  </w:r>
                  <w:r>
                    <w:rPr>
                      <w:rFonts w:hint="eastAsia"/>
                      <w:szCs w:val="21"/>
                      <w:highlight w:val="none"/>
                      <w:vertAlign w:val="superscript"/>
                    </w:rPr>
                    <w:t>-7</w:t>
                  </w:r>
                  <w:r>
                    <w:rPr>
                      <w:rFonts w:hint="eastAsia"/>
                      <w:szCs w:val="21"/>
                      <w:highlight w:val="none"/>
                    </w:rPr>
                    <w:t>cm/s；或参考GB16889执行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bottom w:val="single" w:color="auto" w:sz="4" w:space="0"/>
                  </w:tcBorders>
                  <w:vAlign w:val="center"/>
                </w:tcPr>
                <w:p>
                  <w:pPr>
                    <w:jc w:val="center"/>
                    <w:rPr>
                      <w:szCs w:val="21"/>
                      <w:highlight w:val="none"/>
                    </w:rPr>
                  </w:pPr>
                  <w:r>
                    <w:rPr>
                      <w:rFonts w:hint="eastAsia"/>
                      <w:szCs w:val="21"/>
                      <w:highlight w:val="none"/>
                    </w:rPr>
                    <w:t>简单防渗区</w:t>
                  </w:r>
                </w:p>
              </w:tc>
              <w:tc>
                <w:tcPr>
                  <w:tcW w:w="1344" w:type="pct"/>
                  <w:tcBorders>
                    <w:bottom w:val="single" w:color="auto" w:sz="4" w:space="0"/>
                  </w:tcBorders>
                  <w:vAlign w:val="center"/>
                </w:tcPr>
                <w:p>
                  <w:pPr>
                    <w:tabs>
                      <w:tab w:val="left" w:pos="1110"/>
                    </w:tabs>
                    <w:jc w:val="center"/>
                    <w:rPr>
                      <w:szCs w:val="21"/>
                      <w:highlight w:val="none"/>
                    </w:rPr>
                  </w:pPr>
                  <w:r>
                    <w:rPr>
                      <w:rFonts w:hint="eastAsia"/>
                      <w:szCs w:val="21"/>
                      <w:highlight w:val="none"/>
                    </w:rPr>
                    <w:t>办公区等其他区域</w:t>
                  </w:r>
                </w:p>
              </w:tc>
              <w:tc>
                <w:tcPr>
                  <w:tcW w:w="665" w:type="pct"/>
                  <w:tcBorders>
                    <w:bottom w:val="single" w:color="auto" w:sz="4" w:space="0"/>
                  </w:tcBorders>
                  <w:vAlign w:val="center"/>
                </w:tcPr>
                <w:p>
                  <w:pPr>
                    <w:tabs>
                      <w:tab w:val="left" w:pos="1110"/>
                    </w:tabs>
                    <w:jc w:val="center"/>
                    <w:rPr>
                      <w:szCs w:val="21"/>
                      <w:highlight w:val="none"/>
                    </w:rPr>
                  </w:pPr>
                  <w:r>
                    <w:rPr>
                      <w:rFonts w:hint="eastAsia"/>
                      <w:szCs w:val="21"/>
                      <w:highlight w:val="none"/>
                    </w:rPr>
                    <w:t>地面</w:t>
                  </w:r>
                </w:p>
              </w:tc>
              <w:tc>
                <w:tcPr>
                  <w:tcW w:w="2150" w:type="pct"/>
                  <w:tcBorders>
                    <w:bottom w:val="single" w:color="auto" w:sz="4" w:space="0"/>
                  </w:tcBorders>
                  <w:vAlign w:val="center"/>
                </w:tcPr>
                <w:p>
                  <w:pPr>
                    <w:tabs>
                      <w:tab w:val="left" w:pos="1110"/>
                    </w:tabs>
                    <w:jc w:val="center"/>
                    <w:rPr>
                      <w:szCs w:val="21"/>
                      <w:highlight w:val="none"/>
                    </w:rPr>
                  </w:pPr>
                  <w:r>
                    <w:rPr>
                      <w:rFonts w:hint="eastAsia"/>
                      <w:szCs w:val="21"/>
                      <w:highlight w:val="none"/>
                    </w:rPr>
                    <w:t>一般地面硬化</w:t>
                  </w:r>
                </w:p>
              </w:tc>
            </w:tr>
          </w:tbl>
          <w:p>
            <w:pPr>
              <w:keepNext/>
              <w:keepLines/>
              <w:tabs>
                <w:tab w:val="left" w:pos="720"/>
              </w:tabs>
              <w:spacing w:line="360" w:lineRule="auto"/>
              <w:ind w:firstLine="480" w:firstLineChars="200"/>
              <w:outlineLvl w:val="3"/>
              <w:rPr>
                <w:sz w:val="24"/>
                <w:szCs w:val="20"/>
                <w:highlight w:val="none"/>
              </w:rPr>
            </w:pPr>
            <w:r>
              <w:rPr>
                <w:sz w:val="24"/>
                <w:szCs w:val="20"/>
                <w:highlight w:val="none"/>
              </w:rPr>
              <w:t>综上，在加强管理的前提下，污染物渗入地下的量极小，对区域地下水和土壤环境造成影响的可能性较小，污染物渗入地下的量极其轻微，不会对评价区地下水和土壤产生明显影响。</w:t>
            </w:r>
          </w:p>
          <w:p>
            <w:pPr>
              <w:adjustRightInd w:val="0"/>
              <w:snapToGrid w:val="0"/>
              <w:spacing w:line="360" w:lineRule="auto"/>
              <w:ind w:firstLine="441" w:firstLineChars="200"/>
              <w:rPr>
                <w:b/>
                <w:spacing w:val="-10"/>
                <w:sz w:val="24"/>
                <w:highlight w:val="none"/>
              </w:rPr>
            </w:pPr>
            <w:r>
              <w:rPr>
                <w:b/>
                <w:spacing w:val="-10"/>
                <w:sz w:val="24"/>
                <w:highlight w:val="none"/>
              </w:rPr>
              <w:t>6、环境风险</w:t>
            </w:r>
          </w:p>
          <w:p>
            <w:pPr>
              <w:spacing w:line="360" w:lineRule="auto"/>
              <w:ind w:firstLine="480" w:firstLineChars="200"/>
              <w:rPr>
                <w:sz w:val="24"/>
                <w:highlight w:val="none"/>
              </w:rPr>
            </w:pPr>
            <w:r>
              <w:rPr>
                <w:sz w:val="24"/>
                <w:highlight w:val="none"/>
              </w:rPr>
              <w:t>环境风险评价的目的是通过分析和预测项目存在的潜在危险、有害因素，建设项目运行期间可能发生的突发性事件或事故，引起有毒有害和易燃易爆等物质泄漏、爆炸和火灾，所造成的人身安全与环境影响和损害程度，提出合理可行的防范、应急与减缓措施，以使建设项目事故率达到可接受水平。</w:t>
            </w:r>
          </w:p>
          <w:p>
            <w:pPr>
              <w:spacing w:line="360" w:lineRule="auto"/>
              <w:ind w:firstLine="480" w:firstLineChars="200"/>
              <w:rPr>
                <w:sz w:val="24"/>
                <w:highlight w:val="none"/>
              </w:rPr>
            </w:pPr>
            <w:r>
              <w:rPr>
                <w:bCs/>
                <w:sz w:val="24"/>
                <w:highlight w:val="none"/>
              </w:rPr>
              <w:t>（1）风险调查</w:t>
            </w:r>
          </w:p>
          <w:p>
            <w:pPr>
              <w:spacing w:line="360" w:lineRule="auto"/>
              <w:ind w:firstLine="480" w:firstLineChars="200"/>
              <w:rPr>
                <w:bCs/>
                <w:sz w:val="24"/>
                <w:highlight w:val="none"/>
              </w:rPr>
            </w:pPr>
            <w:r>
              <w:rPr>
                <w:bCs/>
                <w:sz w:val="24"/>
                <w:highlight w:val="none"/>
              </w:rPr>
              <w:t>根据《建设项目环境风险评价技术导则》（HJ169-2018）</w:t>
            </w:r>
            <w:r>
              <w:rPr>
                <w:rFonts w:hint="eastAsia"/>
                <w:bCs/>
                <w:sz w:val="24"/>
                <w:highlight w:val="none"/>
              </w:rPr>
              <w:t>，本项目硝酸清洁剂（45%）、</w:t>
            </w:r>
            <w:r>
              <w:rPr>
                <w:rFonts w:hint="eastAsia"/>
                <w:bCs/>
                <w:sz w:val="24"/>
                <w:highlight w:val="none"/>
                <w:lang w:val="en-US" w:eastAsia="zh-CN"/>
              </w:rPr>
              <w:t>次氯酸钠、</w:t>
            </w:r>
            <w:r>
              <w:rPr>
                <w:rFonts w:hint="eastAsia"/>
                <w:bCs/>
                <w:sz w:val="24"/>
                <w:highlight w:val="none"/>
              </w:rPr>
              <w:t>废机油、</w:t>
            </w:r>
            <w:r>
              <w:rPr>
                <w:rFonts w:hint="eastAsia"/>
                <w:bCs/>
                <w:sz w:val="24"/>
                <w:highlight w:val="none"/>
                <w:lang w:val="en-US" w:eastAsia="zh-CN"/>
              </w:rPr>
              <w:t>检验固废</w:t>
            </w:r>
            <w:r>
              <w:rPr>
                <w:rFonts w:hint="eastAsia"/>
                <w:bCs/>
                <w:sz w:val="24"/>
                <w:highlight w:val="none"/>
              </w:rPr>
              <w:t>等属于风险物质</w:t>
            </w:r>
            <w:r>
              <w:rPr>
                <w:bCs/>
                <w:sz w:val="24"/>
                <w:highlight w:val="none"/>
              </w:rPr>
              <w:t>。</w:t>
            </w:r>
          </w:p>
          <w:p>
            <w:pPr>
              <w:spacing w:line="360" w:lineRule="auto"/>
              <w:ind w:firstLine="480" w:firstLineChars="200"/>
              <w:rPr>
                <w:bCs/>
                <w:sz w:val="24"/>
                <w:highlight w:val="none"/>
              </w:rPr>
            </w:pPr>
            <w:r>
              <w:rPr>
                <w:bCs/>
                <w:sz w:val="24"/>
                <w:highlight w:val="none"/>
              </w:rPr>
              <w:t>（2）环境风险潜势初判</w:t>
            </w:r>
          </w:p>
          <w:p>
            <w:pPr>
              <w:spacing w:line="360" w:lineRule="auto"/>
              <w:ind w:firstLine="480" w:firstLineChars="200"/>
              <w:rPr>
                <w:bCs/>
                <w:sz w:val="24"/>
                <w:highlight w:val="none"/>
              </w:rPr>
            </w:pPr>
            <w:r>
              <w:rPr>
                <w:bCs/>
                <w:sz w:val="24"/>
                <w:highlight w:val="none"/>
              </w:rPr>
              <w:t>根据《建设项目环境风险评价技术导则》（</w:t>
            </w:r>
            <w:r>
              <w:rPr>
                <w:bCs/>
                <w:color w:val="000000"/>
                <w:sz w:val="24"/>
                <w:highlight w:val="none"/>
              </w:rPr>
              <w:t>HJ 169-2018）附</w:t>
            </w:r>
            <w:r>
              <w:rPr>
                <w:bCs/>
                <w:sz w:val="24"/>
                <w:highlight w:val="none"/>
              </w:rPr>
              <w:t>录C，危险物质数量与临界量比值（Q）计算如下：</w:t>
            </w:r>
          </w:p>
          <w:p>
            <w:pPr>
              <w:spacing w:line="360" w:lineRule="auto"/>
              <w:ind w:firstLine="480" w:firstLineChars="200"/>
              <w:rPr>
                <w:bCs/>
                <w:sz w:val="24"/>
                <w:highlight w:val="none"/>
              </w:rPr>
            </w:pPr>
            <w:r>
              <w:rPr>
                <w:bCs/>
                <w:sz w:val="24"/>
                <w:highlight w:val="none"/>
              </w:rPr>
              <w:t>当只涉及一种危险物质时，计算该物质的总量与其临界量比值，即为Q；</w:t>
            </w:r>
          </w:p>
          <w:p>
            <w:pPr>
              <w:spacing w:line="360" w:lineRule="auto"/>
              <w:ind w:firstLine="480" w:firstLineChars="200"/>
              <w:rPr>
                <w:bCs/>
                <w:sz w:val="24"/>
                <w:highlight w:val="none"/>
              </w:rPr>
            </w:pPr>
            <w:r>
              <w:rPr>
                <w:bCs/>
                <w:sz w:val="24"/>
                <w:highlight w:val="none"/>
              </w:rPr>
              <w:t>当存在多种危险物质时，则按式（C.1）计算物质总量与其临界量比值（Q）：</w:t>
            </w:r>
          </w:p>
          <w:p>
            <w:pPr>
              <w:spacing w:line="360" w:lineRule="auto"/>
              <w:jc w:val="center"/>
              <w:rPr>
                <w:bCs/>
                <w:sz w:val="24"/>
                <w:highlight w:val="none"/>
              </w:rPr>
            </w:pPr>
            <w:r>
              <w:rPr>
                <w:bCs/>
                <w:position w:val="-38"/>
                <w:sz w:val="24"/>
                <w:highlight w:val="none"/>
              </w:rPr>
              <w:object>
                <v:shape id="_x0000_i1032" o:spt="75" type="#_x0000_t75" style="height:32.25pt;width:103.95pt;" o:ole="t" filled="f" o:preferrelative="t" stroked="f" coordsize="21600,21600">
                  <v:path/>
                  <v:fill on="f" focussize="0,0"/>
                  <v:stroke on="f" joinstyle="miter"/>
                  <v:imagedata r:id="rId38" o:title=""/>
                  <o:lock v:ext="edit" aspectratio="t"/>
                  <w10:wrap type="none"/>
                  <w10:anchorlock/>
                </v:shape>
                <o:OLEObject Type="Embed" ProgID="Equation.3" ShapeID="_x0000_i1032" DrawAspect="Content" ObjectID="_1468075732" r:id="rId37">
                  <o:LockedField>false</o:LockedField>
                </o:OLEObject>
              </w:object>
            </w:r>
          </w:p>
          <w:p>
            <w:pPr>
              <w:spacing w:line="360" w:lineRule="auto"/>
              <w:ind w:firstLine="480" w:firstLineChars="200"/>
              <w:rPr>
                <w:bCs/>
                <w:sz w:val="24"/>
                <w:highlight w:val="none"/>
              </w:rPr>
            </w:pPr>
            <w:r>
              <w:rPr>
                <w:bCs/>
                <w:sz w:val="24"/>
                <w:highlight w:val="none"/>
              </w:rPr>
              <w:t>式中：q</w:t>
            </w:r>
            <w:r>
              <w:rPr>
                <w:bCs/>
                <w:sz w:val="24"/>
                <w:highlight w:val="none"/>
                <w:vertAlign w:val="subscript"/>
              </w:rPr>
              <w:t>1</w:t>
            </w:r>
            <w:r>
              <w:rPr>
                <w:bCs/>
                <w:sz w:val="24"/>
                <w:highlight w:val="none"/>
              </w:rPr>
              <w:t>，q</w:t>
            </w:r>
            <w:r>
              <w:rPr>
                <w:bCs/>
                <w:sz w:val="24"/>
                <w:highlight w:val="none"/>
                <w:vertAlign w:val="subscript"/>
              </w:rPr>
              <w:t>2</w:t>
            </w:r>
            <w:r>
              <w:rPr>
                <w:bCs/>
                <w:sz w:val="24"/>
                <w:highlight w:val="none"/>
              </w:rPr>
              <w:t>，...，q</w:t>
            </w:r>
            <w:r>
              <w:rPr>
                <w:bCs/>
                <w:sz w:val="24"/>
                <w:highlight w:val="none"/>
                <w:vertAlign w:val="subscript"/>
              </w:rPr>
              <w:t>n</w:t>
            </w:r>
            <w:r>
              <w:rPr>
                <w:bCs/>
                <w:sz w:val="24"/>
                <w:highlight w:val="none"/>
              </w:rPr>
              <w:t>—每种危险物质的最大存在总量，t；</w:t>
            </w:r>
          </w:p>
          <w:p>
            <w:pPr>
              <w:spacing w:line="360" w:lineRule="auto"/>
              <w:ind w:firstLine="480" w:firstLineChars="200"/>
              <w:rPr>
                <w:bCs/>
                <w:sz w:val="24"/>
                <w:highlight w:val="none"/>
              </w:rPr>
            </w:pPr>
            <w:r>
              <w:rPr>
                <w:bCs/>
                <w:sz w:val="24"/>
                <w:highlight w:val="none"/>
              </w:rPr>
              <w:t>Q</w:t>
            </w:r>
            <w:r>
              <w:rPr>
                <w:bCs/>
                <w:sz w:val="24"/>
                <w:highlight w:val="none"/>
                <w:vertAlign w:val="subscript"/>
              </w:rPr>
              <w:t>1</w:t>
            </w:r>
            <w:r>
              <w:rPr>
                <w:rFonts w:hint="eastAsia"/>
                <w:bCs/>
                <w:sz w:val="24"/>
                <w:highlight w:val="none"/>
              </w:rPr>
              <w:t>，</w:t>
            </w:r>
            <w:r>
              <w:rPr>
                <w:bCs/>
                <w:sz w:val="24"/>
                <w:highlight w:val="none"/>
              </w:rPr>
              <w:t>Q</w:t>
            </w:r>
            <w:r>
              <w:rPr>
                <w:bCs/>
                <w:sz w:val="24"/>
                <w:highlight w:val="none"/>
                <w:vertAlign w:val="subscript"/>
              </w:rPr>
              <w:t>2</w:t>
            </w:r>
            <w:r>
              <w:rPr>
                <w:rFonts w:hint="eastAsia"/>
                <w:bCs/>
                <w:sz w:val="24"/>
                <w:highlight w:val="none"/>
              </w:rPr>
              <w:t>，</w:t>
            </w:r>
            <w:r>
              <w:rPr>
                <w:bCs/>
                <w:sz w:val="24"/>
                <w:highlight w:val="none"/>
              </w:rPr>
              <w:t>...，Q</w:t>
            </w:r>
            <w:r>
              <w:rPr>
                <w:bCs/>
                <w:sz w:val="24"/>
                <w:highlight w:val="none"/>
                <w:vertAlign w:val="subscript"/>
              </w:rPr>
              <w:t>n</w:t>
            </w:r>
            <w:r>
              <w:rPr>
                <w:bCs/>
                <w:sz w:val="24"/>
                <w:highlight w:val="none"/>
              </w:rPr>
              <w:t>—每种危险物质的临界量，t。</w:t>
            </w:r>
          </w:p>
          <w:p>
            <w:pPr>
              <w:pStyle w:val="146"/>
              <w:widowControl w:val="0"/>
              <w:spacing w:afterLines="0" w:line="360" w:lineRule="auto"/>
              <w:ind w:firstLine="480" w:firstLineChars="200"/>
              <w:jc w:val="left"/>
              <w:rPr>
                <w:b w:val="0"/>
                <w:color w:val="000000"/>
                <w:sz w:val="24"/>
                <w:highlight w:val="none"/>
              </w:rPr>
            </w:pPr>
            <w:r>
              <w:rPr>
                <w:b w:val="0"/>
                <w:color w:val="000000"/>
                <w:sz w:val="24"/>
                <w:highlight w:val="none"/>
              </w:rPr>
              <w:t>当Q＜1时，该项目环境风险潜势为</w:t>
            </w:r>
            <w:r>
              <w:rPr>
                <w:rFonts w:hint="eastAsia"/>
                <w:b w:val="0"/>
                <w:color w:val="000000"/>
                <w:sz w:val="24"/>
                <w:highlight w:val="none"/>
              </w:rPr>
              <w:t>I。</w:t>
            </w:r>
          </w:p>
          <w:p>
            <w:pPr>
              <w:pStyle w:val="146"/>
              <w:widowControl w:val="0"/>
              <w:spacing w:afterLines="0" w:line="360" w:lineRule="auto"/>
              <w:ind w:firstLine="480" w:firstLineChars="200"/>
              <w:jc w:val="left"/>
              <w:rPr>
                <w:b w:val="0"/>
                <w:bCs/>
                <w:sz w:val="24"/>
                <w:highlight w:val="none"/>
              </w:rPr>
            </w:pPr>
            <w:r>
              <w:rPr>
                <w:b w:val="0"/>
                <w:color w:val="000000"/>
                <w:sz w:val="24"/>
                <w:highlight w:val="none"/>
              </w:rPr>
              <w:t>当Q≥1时，将Q值划分为：</w:t>
            </w:r>
            <w:r>
              <w:rPr>
                <w:rFonts w:ascii="Cambria" w:hAnsi="Cambria" w:cs="Cambria"/>
                <w:b w:val="0"/>
                <w:color w:val="000000"/>
                <w:sz w:val="24"/>
                <w:highlight w:val="none"/>
              </w:rPr>
              <w:t>①</w:t>
            </w:r>
            <w:r>
              <w:rPr>
                <w:b w:val="0"/>
                <w:color w:val="000000"/>
                <w:sz w:val="24"/>
                <w:highlight w:val="none"/>
              </w:rPr>
              <w:t>1≤Q＜10；</w:t>
            </w:r>
            <w:r>
              <w:rPr>
                <w:rFonts w:ascii="Cambria" w:hAnsi="Cambria" w:cs="Cambria"/>
                <w:b w:val="0"/>
                <w:color w:val="000000"/>
                <w:sz w:val="24"/>
                <w:highlight w:val="none"/>
              </w:rPr>
              <w:t>②</w:t>
            </w:r>
            <w:r>
              <w:rPr>
                <w:b w:val="0"/>
                <w:color w:val="000000"/>
                <w:sz w:val="24"/>
                <w:highlight w:val="none"/>
              </w:rPr>
              <w:t>10≤Q＜100；</w:t>
            </w:r>
            <w:r>
              <w:rPr>
                <w:rFonts w:ascii="Cambria" w:hAnsi="Cambria" w:cs="Cambria"/>
                <w:b w:val="0"/>
                <w:color w:val="000000"/>
                <w:sz w:val="24"/>
                <w:highlight w:val="none"/>
              </w:rPr>
              <w:t>③</w:t>
            </w:r>
            <w:r>
              <w:rPr>
                <w:b w:val="0"/>
                <w:color w:val="000000"/>
                <w:sz w:val="24"/>
                <w:highlight w:val="none"/>
              </w:rPr>
              <w:t>Q≥100。</w:t>
            </w:r>
          </w:p>
          <w:p>
            <w:pPr>
              <w:wordWrap w:val="0"/>
              <w:spacing w:line="360" w:lineRule="auto"/>
              <w:ind w:firstLine="480" w:firstLineChars="200"/>
              <w:rPr>
                <w:b/>
                <w:color w:val="000000"/>
                <w:sz w:val="24"/>
                <w:highlight w:val="none"/>
              </w:rPr>
            </w:pPr>
            <w:r>
              <w:rPr>
                <w:bCs/>
                <w:color w:val="000000"/>
                <w:sz w:val="24"/>
                <w:highlight w:val="none"/>
              </w:rPr>
              <w:t>本项目涉及的危险物质最大贮存量、贮存方式及临界量</w:t>
            </w:r>
            <w:r>
              <w:rPr>
                <w:rFonts w:hint="eastAsia"/>
                <w:bCs/>
                <w:color w:val="000000"/>
                <w:sz w:val="24"/>
                <w:highlight w:val="none"/>
              </w:rPr>
              <w:t>、</w:t>
            </w:r>
            <w:r>
              <w:rPr>
                <w:bCs/>
                <w:sz w:val="24"/>
                <w:highlight w:val="none"/>
              </w:rPr>
              <w:t>项目Q值计算见表4-1</w:t>
            </w:r>
            <w:r>
              <w:rPr>
                <w:rFonts w:hint="eastAsia"/>
                <w:bCs/>
                <w:sz w:val="24"/>
                <w:highlight w:val="none"/>
              </w:rPr>
              <w:t>9</w:t>
            </w:r>
            <w:r>
              <w:rPr>
                <w:bCs/>
                <w:sz w:val="24"/>
                <w:highlight w:val="none"/>
              </w:rPr>
              <w:t>。</w:t>
            </w:r>
          </w:p>
          <w:p>
            <w:pPr>
              <w:keepNext/>
              <w:keepLines/>
              <w:tabs>
                <w:tab w:val="left" w:pos="720"/>
              </w:tabs>
              <w:jc w:val="center"/>
              <w:outlineLvl w:val="3"/>
              <w:rPr>
                <w:b/>
                <w:bCs/>
                <w:szCs w:val="21"/>
                <w:highlight w:val="none"/>
              </w:rPr>
            </w:pPr>
            <w:r>
              <w:rPr>
                <w:b/>
                <w:bCs/>
                <w:szCs w:val="21"/>
                <w:highlight w:val="none"/>
              </w:rPr>
              <w:t>表4-1</w:t>
            </w:r>
            <w:r>
              <w:rPr>
                <w:rFonts w:hint="eastAsia"/>
                <w:b/>
                <w:bCs/>
                <w:szCs w:val="21"/>
                <w:highlight w:val="none"/>
              </w:rPr>
              <w:t>9</w:t>
            </w:r>
            <w:r>
              <w:rPr>
                <w:b/>
                <w:bCs/>
                <w:szCs w:val="21"/>
                <w:highlight w:val="none"/>
              </w:rPr>
              <w:t xml:space="preserve"> 项目危险化学品临界量及最大存在量</w:t>
            </w:r>
          </w:p>
          <w:tbl>
            <w:tblPr>
              <w:tblStyle w:val="3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91"/>
              <w:gridCol w:w="1298"/>
              <w:gridCol w:w="1870"/>
              <w:gridCol w:w="1396"/>
              <w:gridCol w:w="14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l2br w:val="nil"/>
                    <w:tr2bl w:val="nil"/>
                  </w:tcBorders>
                  <w:vAlign w:val="center"/>
                </w:tcPr>
                <w:p>
                  <w:pPr>
                    <w:jc w:val="center"/>
                    <w:rPr>
                      <w:b/>
                      <w:bCs/>
                      <w:highlight w:val="none"/>
                    </w:rPr>
                  </w:pPr>
                  <w:r>
                    <w:rPr>
                      <w:b/>
                      <w:bCs/>
                      <w:highlight w:val="none"/>
                    </w:rPr>
                    <w:t>序号</w:t>
                  </w:r>
                </w:p>
              </w:tc>
              <w:tc>
                <w:tcPr>
                  <w:tcW w:w="1616" w:type="dxa"/>
                  <w:tcBorders>
                    <w:tl2br w:val="nil"/>
                    <w:tr2bl w:val="nil"/>
                  </w:tcBorders>
                  <w:vAlign w:val="center"/>
                </w:tcPr>
                <w:p>
                  <w:pPr>
                    <w:jc w:val="center"/>
                    <w:rPr>
                      <w:b/>
                      <w:bCs/>
                      <w:highlight w:val="none"/>
                    </w:rPr>
                  </w:pPr>
                  <w:r>
                    <w:rPr>
                      <w:b/>
                      <w:bCs/>
                      <w:highlight w:val="none"/>
                    </w:rPr>
                    <w:t>危险物质名称</w:t>
                  </w:r>
                </w:p>
              </w:tc>
              <w:tc>
                <w:tcPr>
                  <w:tcW w:w="1317" w:type="dxa"/>
                  <w:tcBorders>
                    <w:tl2br w:val="nil"/>
                    <w:tr2bl w:val="nil"/>
                  </w:tcBorders>
                  <w:vAlign w:val="center"/>
                </w:tcPr>
                <w:p>
                  <w:pPr>
                    <w:jc w:val="center"/>
                    <w:rPr>
                      <w:b/>
                      <w:bCs/>
                      <w:highlight w:val="none"/>
                    </w:rPr>
                  </w:pPr>
                  <w:r>
                    <w:rPr>
                      <w:rFonts w:hint="eastAsia"/>
                      <w:b/>
                      <w:bCs/>
                      <w:highlight w:val="none"/>
                    </w:rPr>
                    <w:t>CAS号</w:t>
                  </w:r>
                </w:p>
              </w:tc>
              <w:tc>
                <w:tcPr>
                  <w:tcW w:w="1900" w:type="dxa"/>
                  <w:tcBorders>
                    <w:tl2br w:val="nil"/>
                    <w:tr2bl w:val="nil"/>
                  </w:tcBorders>
                  <w:vAlign w:val="center"/>
                </w:tcPr>
                <w:p>
                  <w:pPr>
                    <w:jc w:val="center"/>
                    <w:rPr>
                      <w:b/>
                      <w:bCs/>
                      <w:highlight w:val="none"/>
                    </w:rPr>
                  </w:pPr>
                  <w:r>
                    <w:rPr>
                      <w:b/>
                      <w:bCs/>
                      <w:highlight w:val="none"/>
                    </w:rPr>
                    <w:t>最大存在总量q</w:t>
                  </w:r>
                  <w:r>
                    <w:rPr>
                      <w:b/>
                      <w:bCs/>
                      <w:highlight w:val="none"/>
                      <w:vertAlign w:val="subscript"/>
                    </w:rPr>
                    <w:t>n</w:t>
                  </w:r>
                  <w:r>
                    <w:rPr>
                      <w:rFonts w:hint="eastAsia"/>
                      <w:b/>
                      <w:bCs/>
                      <w:highlight w:val="none"/>
                    </w:rPr>
                    <w:t>/t</w:t>
                  </w:r>
                </w:p>
              </w:tc>
              <w:tc>
                <w:tcPr>
                  <w:tcW w:w="1417" w:type="dxa"/>
                  <w:tcBorders>
                    <w:tl2br w:val="nil"/>
                    <w:tr2bl w:val="nil"/>
                  </w:tcBorders>
                  <w:vAlign w:val="center"/>
                </w:tcPr>
                <w:p>
                  <w:pPr>
                    <w:jc w:val="center"/>
                    <w:rPr>
                      <w:b/>
                      <w:bCs/>
                      <w:highlight w:val="none"/>
                    </w:rPr>
                  </w:pPr>
                  <w:r>
                    <w:rPr>
                      <w:b/>
                      <w:bCs/>
                      <w:highlight w:val="none"/>
                    </w:rPr>
                    <w:t>临界量</w:t>
                  </w:r>
                  <w:r>
                    <w:rPr>
                      <w:rFonts w:hint="eastAsia"/>
                      <w:b/>
                      <w:bCs/>
                      <w:highlight w:val="none"/>
                    </w:rPr>
                    <w:t>Q</w:t>
                  </w:r>
                  <w:r>
                    <w:rPr>
                      <w:b/>
                      <w:bCs/>
                      <w:highlight w:val="none"/>
                      <w:vertAlign w:val="subscript"/>
                    </w:rPr>
                    <w:t>n</w:t>
                  </w:r>
                  <w:r>
                    <w:rPr>
                      <w:rFonts w:hint="eastAsia"/>
                      <w:b/>
                      <w:bCs/>
                      <w:highlight w:val="none"/>
                    </w:rPr>
                    <w:t>/t</w:t>
                  </w:r>
                </w:p>
              </w:tc>
              <w:tc>
                <w:tcPr>
                  <w:tcW w:w="1485" w:type="dxa"/>
                  <w:tcBorders>
                    <w:tl2br w:val="nil"/>
                    <w:tr2bl w:val="nil"/>
                  </w:tcBorders>
                  <w:vAlign w:val="center"/>
                </w:tcPr>
                <w:p>
                  <w:pPr>
                    <w:jc w:val="center"/>
                    <w:rPr>
                      <w:b/>
                      <w:bCs/>
                      <w:highlight w:val="none"/>
                    </w:rPr>
                  </w:pPr>
                  <w:r>
                    <w:rPr>
                      <w:rFonts w:hint="eastAsia"/>
                      <w:b/>
                      <w:bCs/>
                      <w:highlight w:val="none"/>
                    </w:rPr>
                    <w:t>Q值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l2br w:val="nil"/>
                    <w:tr2bl w:val="nil"/>
                  </w:tcBorders>
                  <w:vAlign w:val="center"/>
                </w:tcPr>
                <w:p>
                  <w:pPr>
                    <w:jc w:val="center"/>
                    <w:rPr>
                      <w:highlight w:val="none"/>
                    </w:rPr>
                  </w:pPr>
                  <w:r>
                    <w:rPr>
                      <w:rFonts w:hint="eastAsia"/>
                      <w:highlight w:val="none"/>
                    </w:rPr>
                    <w:t>1</w:t>
                  </w:r>
                </w:p>
              </w:tc>
              <w:tc>
                <w:tcPr>
                  <w:tcW w:w="1616" w:type="dxa"/>
                  <w:tcBorders>
                    <w:tl2br w:val="nil"/>
                    <w:tr2bl w:val="nil"/>
                  </w:tcBorders>
                  <w:vAlign w:val="center"/>
                </w:tcPr>
                <w:p>
                  <w:pPr>
                    <w:jc w:val="center"/>
                    <w:rPr>
                      <w:highlight w:val="none"/>
                    </w:rPr>
                  </w:pPr>
                  <w:r>
                    <w:rPr>
                      <w:rFonts w:hint="eastAsia"/>
                      <w:highlight w:val="none"/>
                    </w:rPr>
                    <w:t>废机油</w:t>
                  </w:r>
                </w:p>
              </w:tc>
              <w:tc>
                <w:tcPr>
                  <w:tcW w:w="1317" w:type="dxa"/>
                  <w:tcBorders>
                    <w:tl2br w:val="nil"/>
                    <w:tr2bl w:val="nil"/>
                  </w:tcBorders>
                  <w:vAlign w:val="center"/>
                </w:tcPr>
                <w:p>
                  <w:pPr>
                    <w:jc w:val="center"/>
                    <w:rPr>
                      <w:highlight w:val="none"/>
                    </w:rPr>
                  </w:pPr>
                  <w:r>
                    <w:rPr>
                      <w:rFonts w:hint="eastAsia"/>
                      <w:highlight w:val="none"/>
                    </w:rPr>
                    <w:t>/</w:t>
                  </w:r>
                </w:p>
              </w:tc>
              <w:tc>
                <w:tcPr>
                  <w:tcW w:w="1900" w:type="dxa"/>
                  <w:tcBorders>
                    <w:tl2br w:val="nil"/>
                    <w:tr2bl w:val="nil"/>
                  </w:tcBorders>
                  <w:vAlign w:val="center"/>
                </w:tcPr>
                <w:p>
                  <w:pPr>
                    <w:jc w:val="center"/>
                    <w:rPr>
                      <w:highlight w:val="none"/>
                    </w:rPr>
                  </w:pPr>
                  <w:r>
                    <w:rPr>
                      <w:rFonts w:hint="eastAsia"/>
                      <w:highlight w:val="none"/>
                    </w:rPr>
                    <w:t>0.25</w:t>
                  </w:r>
                </w:p>
              </w:tc>
              <w:tc>
                <w:tcPr>
                  <w:tcW w:w="1417" w:type="dxa"/>
                  <w:tcBorders>
                    <w:tl2br w:val="nil"/>
                    <w:tr2bl w:val="nil"/>
                  </w:tcBorders>
                  <w:vAlign w:val="center"/>
                </w:tcPr>
                <w:p>
                  <w:pPr>
                    <w:jc w:val="center"/>
                    <w:rPr>
                      <w:highlight w:val="none"/>
                    </w:rPr>
                  </w:pPr>
                  <w:r>
                    <w:rPr>
                      <w:rFonts w:hint="eastAsia"/>
                      <w:highlight w:val="none"/>
                    </w:rPr>
                    <w:t>2500</w:t>
                  </w:r>
                </w:p>
              </w:tc>
              <w:tc>
                <w:tcPr>
                  <w:tcW w:w="1485" w:type="dxa"/>
                  <w:tcBorders>
                    <w:tl2br w:val="nil"/>
                    <w:tr2bl w:val="nil"/>
                  </w:tcBorders>
                  <w:vAlign w:val="center"/>
                </w:tcPr>
                <w:p>
                  <w:pPr>
                    <w:jc w:val="center"/>
                    <w:rPr>
                      <w:highlight w:val="none"/>
                    </w:rPr>
                  </w:pPr>
                  <w:r>
                    <w:rPr>
                      <w:rFonts w:hint="eastAsia"/>
                      <w:highlight w:val="none"/>
                    </w:rPr>
                    <w:t>0.0001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l2br w:val="nil"/>
                    <w:tr2bl w:val="nil"/>
                  </w:tcBorders>
                  <w:vAlign w:val="center"/>
                </w:tcPr>
                <w:p>
                  <w:pPr>
                    <w:jc w:val="center"/>
                    <w:rPr>
                      <w:highlight w:val="none"/>
                    </w:rPr>
                  </w:pPr>
                  <w:r>
                    <w:rPr>
                      <w:rFonts w:hint="eastAsia"/>
                      <w:highlight w:val="none"/>
                    </w:rPr>
                    <w:t>2</w:t>
                  </w:r>
                </w:p>
              </w:tc>
              <w:tc>
                <w:tcPr>
                  <w:tcW w:w="1616" w:type="dxa"/>
                  <w:tcBorders>
                    <w:tl2br w:val="nil"/>
                    <w:tr2bl w:val="nil"/>
                  </w:tcBorders>
                  <w:vAlign w:val="center"/>
                </w:tcPr>
                <w:p>
                  <w:pPr>
                    <w:jc w:val="center"/>
                    <w:rPr>
                      <w:rFonts w:hint="eastAsia" w:eastAsia="宋体"/>
                      <w:color w:val="0000FF"/>
                      <w:highlight w:val="none"/>
                      <w:lang w:val="en-US" w:eastAsia="zh-CN"/>
                    </w:rPr>
                  </w:pPr>
                  <w:r>
                    <w:rPr>
                      <w:rFonts w:hint="eastAsia"/>
                      <w:color w:val="0000FF"/>
                      <w:highlight w:val="none"/>
                    </w:rPr>
                    <w:t>硝酸清洁剂（45%）</w:t>
                  </w:r>
                  <w:r>
                    <w:rPr>
                      <w:rFonts w:hint="eastAsia"/>
                      <w:color w:val="0000FF"/>
                      <w:highlight w:val="none"/>
                      <w:lang w:val="en-US" w:eastAsia="zh-CN"/>
                    </w:rPr>
                    <w:t>折纯</w:t>
                  </w:r>
                </w:p>
              </w:tc>
              <w:tc>
                <w:tcPr>
                  <w:tcW w:w="1317" w:type="dxa"/>
                  <w:tcBorders>
                    <w:tl2br w:val="nil"/>
                    <w:tr2bl w:val="nil"/>
                  </w:tcBorders>
                  <w:vAlign w:val="center"/>
                </w:tcPr>
                <w:p>
                  <w:pPr>
                    <w:jc w:val="center"/>
                    <w:rPr>
                      <w:color w:val="0000FF"/>
                      <w:highlight w:val="none"/>
                    </w:rPr>
                  </w:pPr>
                  <w:r>
                    <w:rPr>
                      <w:rFonts w:hint="eastAsia"/>
                      <w:color w:val="0000FF"/>
                      <w:highlight w:val="none"/>
                    </w:rPr>
                    <w:t>7697-37-2</w:t>
                  </w:r>
                </w:p>
              </w:tc>
              <w:tc>
                <w:tcPr>
                  <w:tcW w:w="1900" w:type="dxa"/>
                  <w:tcBorders>
                    <w:tl2br w:val="nil"/>
                    <w:tr2bl w:val="nil"/>
                  </w:tcBorders>
                  <w:vAlign w:val="center"/>
                </w:tcPr>
                <w:p>
                  <w:pPr>
                    <w:jc w:val="center"/>
                    <w:rPr>
                      <w:rFonts w:hint="default" w:eastAsia="宋体"/>
                      <w:color w:val="0000FF"/>
                      <w:highlight w:val="none"/>
                      <w:lang w:val="en-US" w:eastAsia="zh-CN"/>
                    </w:rPr>
                  </w:pPr>
                  <w:r>
                    <w:rPr>
                      <w:rFonts w:hint="eastAsia"/>
                      <w:color w:val="0000FF"/>
                      <w:highlight w:val="none"/>
                      <w:lang w:val="en-US" w:eastAsia="zh-CN"/>
                    </w:rPr>
                    <w:t>1.35</w:t>
                  </w:r>
                </w:p>
              </w:tc>
              <w:tc>
                <w:tcPr>
                  <w:tcW w:w="1417" w:type="dxa"/>
                  <w:tcBorders>
                    <w:tl2br w:val="nil"/>
                    <w:tr2bl w:val="nil"/>
                  </w:tcBorders>
                  <w:vAlign w:val="center"/>
                </w:tcPr>
                <w:p>
                  <w:pPr>
                    <w:jc w:val="center"/>
                    <w:rPr>
                      <w:color w:val="0000FF"/>
                      <w:highlight w:val="none"/>
                    </w:rPr>
                  </w:pPr>
                  <w:r>
                    <w:rPr>
                      <w:rFonts w:hint="eastAsia"/>
                      <w:color w:val="0000FF"/>
                      <w:highlight w:val="none"/>
                    </w:rPr>
                    <w:t>7.5</w:t>
                  </w:r>
                </w:p>
              </w:tc>
              <w:tc>
                <w:tcPr>
                  <w:tcW w:w="1485" w:type="dxa"/>
                  <w:tcBorders>
                    <w:tl2br w:val="nil"/>
                    <w:tr2bl w:val="nil"/>
                  </w:tcBorders>
                  <w:vAlign w:val="center"/>
                </w:tcPr>
                <w:p>
                  <w:pPr>
                    <w:jc w:val="center"/>
                    <w:rPr>
                      <w:rFonts w:hint="default" w:eastAsia="宋体"/>
                      <w:color w:val="0000FF"/>
                      <w:highlight w:val="none"/>
                      <w:lang w:val="en-US" w:eastAsia="zh-CN"/>
                    </w:rPr>
                  </w:pPr>
                  <w:r>
                    <w:rPr>
                      <w:rFonts w:hint="eastAsia"/>
                      <w:color w:val="0000FF"/>
                      <w:highlight w:val="none"/>
                      <w:lang w:val="en-US" w:eastAsia="zh-CN"/>
                    </w:rPr>
                    <w:t>0.18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698" w:type="dxa"/>
                  <w:tcBorders>
                    <w:tl2br w:val="nil"/>
                    <w:tr2bl w:val="nil"/>
                  </w:tcBorders>
                  <w:vAlign w:val="center"/>
                </w:tcPr>
                <w:p>
                  <w:pPr>
                    <w:jc w:val="center"/>
                    <w:rPr>
                      <w:rFonts w:hint="eastAsia" w:eastAsia="宋体"/>
                      <w:highlight w:val="none"/>
                      <w:lang w:val="en-US" w:eastAsia="zh-CN"/>
                    </w:rPr>
                  </w:pPr>
                  <w:r>
                    <w:rPr>
                      <w:rFonts w:hint="eastAsia"/>
                      <w:highlight w:val="none"/>
                      <w:lang w:val="en-US" w:eastAsia="zh-CN"/>
                    </w:rPr>
                    <w:t>3</w:t>
                  </w:r>
                </w:p>
              </w:tc>
              <w:tc>
                <w:tcPr>
                  <w:tcW w:w="1616" w:type="dxa"/>
                  <w:tcBorders>
                    <w:tl2br w:val="nil"/>
                    <w:tr2bl w:val="nil"/>
                  </w:tcBorders>
                  <w:vAlign w:val="center"/>
                </w:tcPr>
                <w:p>
                  <w:pPr>
                    <w:jc w:val="center"/>
                    <w:rPr>
                      <w:rFonts w:hint="eastAsia" w:eastAsia="宋体"/>
                      <w:color w:val="0000FF"/>
                      <w:highlight w:val="none"/>
                      <w:lang w:val="en-US" w:eastAsia="zh-CN"/>
                    </w:rPr>
                  </w:pPr>
                  <w:r>
                    <w:rPr>
                      <w:rFonts w:hint="eastAsia"/>
                      <w:color w:val="0000FF"/>
                      <w:highlight w:val="none"/>
                      <w:lang w:val="en-US" w:eastAsia="zh-CN"/>
                    </w:rPr>
                    <w:t>次氯酸钠（10%）折纯</w:t>
                  </w:r>
                </w:p>
              </w:tc>
              <w:tc>
                <w:tcPr>
                  <w:tcW w:w="1317" w:type="dxa"/>
                  <w:tcBorders>
                    <w:tl2br w:val="nil"/>
                    <w:tr2bl w:val="nil"/>
                  </w:tcBorders>
                  <w:vAlign w:val="center"/>
                </w:tcPr>
                <w:p>
                  <w:pPr>
                    <w:jc w:val="center"/>
                    <w:rPr>
                      <w:rFonts w:hint="eastAsia"/>
                      <w:color w:val="0000FF"/>
                      <w:highlight w:val="none"/>
                    </w:rPr>
                  </w:pPr>
                  <w:r>
                    <w:rPr>
                      <w:rFonts w:hint="default" w:ascii="Times New Roman" w:hAnsi="Times New Roman" w:eastAsia="宋体" w:cs="Times New Roman"/>
                      <w:color w:val="0000FF"/>
                      <w:highlight w:val="none"/>
                    </w:rPr>
                    <w:t>7681-52-9</w:t>
                  </w:r>
                </w:p>
              </w:tc>
              <w:tc>
                <w:tcPr>
                  <w:tcW w:w="1900" w:type="dxa"/>
                  <w:tcBorders>
                    <w:tl2br w:val="nil"/>
                    <w:tr2bl w:val="nil"/>
                  </w:tcBorders>
                  <w:vAlign w:val="center"/>
                </w:tcPr>
                <w:p>
                  <w:pPr>
                    <w:jc w:val="center"/>
                    <w:rPr>
                      <w:rFonts w:hint="default" w:eastAsia="宋体"/>
                      <w:color w:val="0000FF"/>
                      <w:highlight w:val="none"/>
                      <w:lang w:val="en-US" w:eastAsia="zh-CN"/>
                    </w:rPr>
                  </w:pPr>
                  <w:r>
                    <w:rPr>
                      <w:rFonts w:hint="eastAsia"/>
                      <w:color w:val="0000FF"/>
                      <w:highlight w:val="none"/>
                      <w:lang w:val="en-US" w:eastAsia="zh-CN"/>
                    </w:rPr>
                    <w:t>0.1</w:t>
                  </w:r>
                </w:p>
              </w:tc>
              <w:tc>
                <w:tcPr>
                  <w:tcW w:w="1417" w:type="dxa"/>
                  <w:tcBorders>
                    <w:tl2br w:val="nil"/>
                    <w:tr2bl w:val="nil"/>
                  </w:tcBorders>
                  <w:vAlign w:val="center"/>
                </w:tcPr>
                <w:p>
                  <w:pPr>
                    <w:jc w:val="center"/>
                    <w:rPr>
                      <w:rFonts w:hint="default" w:eastAsia="宋体"/>
                      <w:color w:val="0000FF"/>
                      <w:highlight w:val="none"/>
                      <w:lang w:val="en-US" w:eastAsia="zh-CN"/>
                    </w:rPr>
                  </w:pPr>
                  <w:r>
                    <w:rPr>
                      <w:rFonts w:hint="eastAsia"/>
                      <w:color w:val="0000FF"/>
                      <w:highlight w:val="none"/>
                      <w:lang w:val="en-US" w:eastAsia="zh-CN"/>
                    </w:rPr>
                    <w:t>290</w:t>
                  </w:r>
                </w:p>
              </w:tc>
              <w:tc>
                <w:tcPr>
                  <w:tcW w:w="1485" w:type="dxa"/>
                  <w:tcBorders>
                    <w:tl2br w:val="nil"/>
                    <w:tr2bl w:val="nil"/>
                  </w:tcBorders>
                  <w:vAlign w:val="center"/>
                </w:tcPr>
                <w:p>
                  <w:pPr>
                    <w:jc w:val="center"/>
                    <w:rPr>
                      <w:rFonts w:hint="default" w:eastAsia="宋体"/>
                      <w:color w:val="0000FF"/>
                      <w:highlight w:val="none"/>
                      <w:lang w:val="en-US" w:eastAsia="zh-CN"/>
                    </w:rPr>
                  </w:pPr>
                  <w:r>
                    <w:rPr>
                      <w:rFonts w:hint="eastAsia"/>
                      <w:color w:val="0000FF"/>
                      <w:highlight w:val="none"/>
                      <w:lang w:val="en-US" w:eastAsia="zh-CN"/>
                    </w:rPr>
                    <w:t>0.0003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l2br w:val="nil"/>
                    <w:tr2bl w:val="nil"/>
                  </w:tcBorders>
                  <w:vAlign w:val="center"/>
                </w:tcPr>
                <w:p>
                  <w:pPr>
                    <w:jc w:val="center"/>
                    <w:rPr>
                      <w:rFonts w:hint="eastAsia" w:eastAsia="宋体"/>
                      <w:highlight w:val="none"/>
                      <w:lang w:eastAsia="zh-CN"/>
                    </w:rPr>
                  </w:pPr>
                  <w:r>
                    <w:rPr>
                      <w:rFonts w:hint="eastAsia"/>
                      <w:highlight w:val="none"/>
                      <w:lang w:val="en-US" w:eastAsia="zh-CN"/>
                    </w:rPr>
                    <w:t>4</w:t>
                  </w:r>
                </w:p>
              </w:tc>
              <w:tc>
                <w:tcPr>
                  <w:tcW w:w="1616" w:type="dxa"/>
                  <w:tcBorders>
                    <w:tl2br w:val="nil"/>
                    <w:tr2bl w:val="nil"/>
                  </w:tcBorders>
                  <w:vAlign w:val="center"/>
                </w:tcPr>
                <w:p>
                  <w:pPr>
                    <w:jc w:val="center"/>
                    <w:rPr>
                      <w:rFonts w:hint="default" w:eastAsia="宋体"/>
                      <w:highlight w:val="none"/>
                      <w:lang w:val="en-US" w:eastAsia="zh-CN"/>
                    </w:rPr>
                  </w:pPr>
                  <w:r>
                    <w:rPr>
                      <w:rFonts w:hint="eastAsia"/>
                      <w:highlight w:val="none"/>
                      <w:lang w:val="en-US" w:eastAsia="zh-CN"/>
                    </w:rPr>
                    <w:t>检验室固废</w:t>
                  </w:r>
                </w:p>
              </w:tc>
              <w:tc>
                <w:tcPr>
                  <w:tcW w:w="1317" w:type="dxa"/>
                  <w:tcBorders>
                    <w:tl2br w:val="nil"/>
                    <w:tr2bl w:val="nil"/>
                  </w:tcBorders>
                  <w:vAlign w:val="center"/>
                </w:tcPr>
                <w:p>
                  <w:pPr>
                    <w:jc w:val="center"/>
                    <w:rPr>
                      <w:highlight w:val="none"/>
                    </w:rPr>
                  </w:pPr>
                  <w:r>
                    <w:rPr>
                      <w:rFonts w:hint="eastAsia"/>
                      <w:highlight w:val="none"/>
                    </w:rPr>
                    <w:t>/</w:t>
                  </w:r>
                </w:p>
              </w:tc>
              <w:tc>
                <w:tcPr>
                  <w:tcW w:w="1900" w:type="dxa"/>
                  <w:tcBorders>
                    <w:tl2br w:val="nil"/>
                    <w:tr2bl w:val="nil"/>
                  </w:tcBorders>
                  <w:vAlign w:val="center"/>
                </w:tcPr>
                <w:p>
                  <w:pPr>
                    <w:jc w:val="center"/>
                    <w:rPr>
                      <w:highlight w:val="none"/>
                    </w:rPr>
                  </w:pPr>
                  <w:r>
                    <w:rPr>
                      <w:rFonts w:hint="eastAsia"/>
                      <w:highlight w:val="none"/>
                    </w:rPr>
                    <w:t>0.25</w:t>
                  </w:r>
                </w:p>
              </w:tc>
              <w:tc>
                <w:tcPr>
                  <w:tcW w:w="1417" w:type="dxa"/>
                  <w:tcBorders>
                    <w:tl2br w:val="nil"/>
                    <w:tr2bl w:val="nil"/>
                  </w:tcBorders>
                  <w:vAlign w:val="center"/>
                </w:tcPr>
                <w:p>
                  <w:pPr>
                    <w:jc w:val="center"/>
                    <w:rPr>
                      <w:highlight w:val="none"/>
                    </w:rPr>
                  </w:pPr>
                  <w:r>
                    <w:rPr>
                      <w:rFonts w:hint="eastAsia"/>
                      <w:highlight w:val="none"/>
                    </w:rPr>
                    <w:t>100</w:t>
                  </w:r>
                </w:p>
              </w:tc>
              <w:tc>
                <w:tcPr>
                  <w:tcW w:w="1485" w:type="dxa"/>
                  <w:tcBorders>
                    <w:tl2br w:val="nil"/>
                    <w:tr2bl w:val="nil"/>
                  </w:tcBorders>
                  <w:vAlign w:val="center"/>
                </w:tcPr>
                <w:p>
                  <w:pPr>
                    <w:jc w:val="center"/>
                    <w:rPr>
                      <w:highlight w:val="none"/>
                    </w:rPr>
                  </w:pPr>
                  <w:r>
                    <w:rPr>
                      <w:rFonts w:hint="eastAsia"/>
                      <w:highlight w:val="none"/>
                    </w:rPr>
                    <w:t>0.0025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48" w:type="dxa"/>
                  <w:gridSpan w:val="5"/>
                  <w:tcBorders>
                    <w:tl2br w:val="nil"/>
                    <w:tr2bl w:val="nil"/>
                  </w:tcBorders>
                  <w:vAlign w:val="center"/>
                </w:tcPr>
                <w:p>
                  <w:pPr>
                    <w:jc w:val="center"/>
                    <w:rPr>
                      <w:highlight w:val="none"/>
                    </w:rPr>
                  </w:pPr>
                  <w:r>
                    <w:rPr>
                      <w:highlight w:val="none"/>
                    </w:rPr>
                    <w:t>合计</w:t>
                  </w:r>
                </w:p>
              </w:tc>
              <w:tc>
                <w:tcPr>
                  <w:tcW w:w="1485" w:type="dxa"/>
                  <w:tcBorders>
                    <w:tl2br w:val="nil"/>
                    <w:tr2bl w:val="nil"/>
                  </w:tcBorders>
                  <w:vAlign w:val="center"/>
                </w:tcPr>
                <w:p>
                  <w:pPr>
                    <w:jc w:val="center"/>
                    <w:rPr>
                      <w:rFonts w:hint="default" w:eastAsia="宋体"/>
                      <w:highlight w:val="none"/>
                      <w:lang w:val="en-US" w:eastAsia="zh-CN"/>
                    </w:rPr>
                  </w:pPr>
                  <w:r>
                    <w:rPr>
                      <w:rFonts w:hint="eastAsia"/>
                      <w:highlight w:val="none"/>
                      <w:lang w:val="en-US" w:eastAsia="zh-CN"/>
                    </w:rPr>
                    <w:t>0.1829</w:t>
                  </w:r>
                </w:p>
              </w:tc>
            </w:tr>
          </w:tbl>
          <w:p>
            <w:pPr>
              <w:wordWrap w:val="0"/>
              <w:spacing w:line="360" w:lineRule="auto"/>
              <w:ind w:firstLine="480" w:firstLineChars="200"/>
              <w:rPr>
                <w:bCs/>
                <w:sz w:val="24"/>
                <w:highlight w:val="none"/>
              </w:rPr>
            </w:pPr>
            <w:r>
              <w:rPr>
                <w:bCs/>
                <w:sz w:val="24"/>
                <w:highlight w:val="none"/>
              </w:rPr>
              <w:t>由表4-1</w:t>
            </w:r>
            <w:r>
              <w:rPr>
                <w:rFonts w:hint="eastAsia"/>
                <w:bCs/>
                <w:sz w:val="24"/>
                <w:highlight w:val="none"/>
              </w:rPr>
              <w:t>9</w:t>
            </w:r>
            <w:r>
              <w:rPr>
                <w:bCs/>
                <w:sz w:val="24"/>
                <w:highlight w:val="none"/>
              </w:rPr>
              <w:t>可知，</w:t>
            </w:r>
            <w:r>
              <w:rPr>
                <w:color w:val="000000"/>
                <w:sz w:val="24"/>
                <w:highlight w:val="none"/>
              </w:rPr>
              <w:t>Q</w:t>
            </w:r>
            <w:r>
              <w:rPr>
                <w:rFonts w:hint="eastAsia"/>
                <w:color w:val="000000"/>
                <w:sz w:val="24"/>
                <w:highlight w:val="none"/>
              </w:rPr>
              <w:t>&lt;</w:t>
            </w:r>
            <w:r>
              <w:rPr>
                <w:color w:val="000000"/>
                <w:sz w:val="24"/>
                <w:highlight w:val="none"/>
              </w:rPr>
              <w:t>1，</w:t>
            </w:r>
            <w:r>
              <w:rPr>
                <w:bCs/>
                <w:sz w:val="24"/>
                <w:highlight w:val="none"/>
              </w:rPr>
              <w:t>则该项目环境风险潜势为I级，按照《建设项目环境风险评价技术导则》（</w:t>
            </w:r>
            <w:r>
              <w:rPr>
                <w:bCs/>
                <w:color w:val="000000"/>
                <w:sz w:val="24"/>
                <w:highlight w:val="none"/>
              </w:rPr>
              <w:t>HJ 169-2018）</w:t>
            </w:r>
            <w:r>
              <w:rPr>
                <w:bCs/>
                <w:sz w:val="24"/>
                <w:highlight w:val="none"/>
              </w:rPr>
              <w:t>附录A进行简单分析。</w:t>
            </w:r>
          </w:p>
          <w:p>
            <w:pPr>
              <w:spacing w:line="360" w:lineRule="auto"/>
              <w:ind w:firstLine="480" w:firstLineChars="200"/>
              <w:rPr>
                <w:bCs/>
                <w:sz w:val="24"/>
                <w:highlight w:val="none"/>
              </w:rPr>
            </w:pPr>
            <w:r>
              <w:rPr>
                <w:bCs/>
                <w:sz w:val="24"/>
                <w:highlight w:val="none"/>
              </w:rPr>
              <w:t>（</w:t>
            </w:r>
            <w:r>
              <w:rPr>
                <w:rFonts w:hint="eastAsia"/>
                <w:bCs/>
                <w:sz w:val="24"/>
                <w:highlight w:val="none"/>
              </w:rPr>
              <w:t>3</w:t>
            </w:r>
            <w:r>
              <w:rPr>
                <w:bCs/>
                <w:sz w:val="24"/>
                <w:highlight w:val="none"/>
              </w:rPr>
              <w:t>）环境风险识别</w:t>
            </w:r>
          </w:p>
          <w:p>
            <w:pPr>
              <w:spacing w:line="360" w:lineRule="auto"/>
              <w:ind w:firstLine="480" w:firstLineChars="200"/>
              <w:rPr>
                <w:bCs/>
                <w:sz w:val="24"/>
                <w:highlight w:val="none"/>
              </w:rPr>
            </w:pPr>
            <w:r>
              <w:rPr>
                <w:bCs/>
                <w:sz w:val="24"/>
                <w:highlight w:val="none"/>
              </w:rPr>
              <w:t>根据《建设项目环境风险评价技术导则》（HJ 169-2018），物质危险性识别包括主要原辅材料、燃料、中间产品、副产品、最终产品、污染物、火灾和爆炸伴生/次生物等。本项目风险识别</w:t>
            </w:r>
            <w:r>
              <w:rPr>
                <w:rFonts w:hint="eastAsia"/>
                <w:bCs/>
                <w:sz w:val="24"/>
                <w:highlight w:val="none"/>
              </w:rPr>
              <w:t>见表4-20</w:t>
            </w:r>
            <w:r>
              <w:rPr>
                <w:bCs/>
                <w:sz w:val="24"/>
                <w:highlight w:val="none"/>
              </w:rPr>
              <w:t>。</w:t>
            </w:r>
          </w:p>
          <w:p>
            <w:pPr>
              <w:keepNext/>
              <w:keepLines/>
              <w:tabs>
                <w:tab w:val="left" w:pos="720"/>
              </w:tabs>
              <w:jc w:val="center"/>
              <w:outlineLvl w:val="3"/>
              <w:rPr>
                <w:b/>
                <w:bCs/>
                <w:szCs w:val="21"/>
                <w:highlight w:val="none"/>
              </w:rPr>
            </w:pPr>
            <w:r>
              <w:rPr>
                <w:b/>
                <w:bCs/>
                <w:szCs w:val="21"/>
                <w:highlight w:val="none"/>
              </w:rPr>
              <w:t>表</w:t>
            </w:r>
            <w:r>
              <w:rPr>
                <w:rFonts w:hint="eastAsia"/>
                <w:b/>
                <w:bCs/>
                <w:szCs w:val="21"/>
                <w:highlight w:val="none"/>
              </w:rPr>
              <w:t xml:space="preserve">4-20 </w:t>
            </w:r>
            <w:r>
              <w:rPr>
                <w:b/>
                <w:bCs/>
                <w:szCs w:val="21"/>
                <w:highlight w:val="none"/>
              </w:rPr>
              <w:t xml:space="preserve"> 建设项目环境风险识别表</w:t>
            </w:r>
          </w:p>
          <w:tbl>
            <w:tblPr>
              <w:tblStyle w:val="40"/>
              <w:tblW w:w="8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30"/>
              <w:gridCol w:w="2005"/>
              <w:gridCol w:w="1762"/>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shd w:val="clear" w:color="auto" w:fill="auto"/>
                  <w:vAlign w:val="center"/>
                </w:tcPr>
                <w:p>
                  <w:pPr>
                    <w:jc w:val="center"/>
                    <w:rPr>
                      <w:b/>
                      <w:color w:val="000000"/>
                      <w:szCs w:val="21"/>
                      <w:highlight w:val="none"/>
                    </w:rPr>
                  </w:pPr>
                  <w:r>
                    <w:rPr>
                      <w:rFonts w:hint="eastAsia"/>
                      <w:b/>
                      <w:color w:val="000000"/>
                      <w:szCs w:val="21"/>
                      <w:highlight w:val="none"/>
                    </w:rPr>
                    <w:t>序号</w:t>
                  </w:r>
                </w:p>
              </w:tc>
              <w:tc>
                <w:tcPr>
                  <w:tcW w:w="1630" w:type="dxa"/>
                  <w:shd w:val="clear" w:color="auto" w:fill="auto"/>
                  <w:vAlign w:val="center"/>
                </w:tcPr>
                <w:p>
                  <w:pPr>
                    <w:jc w:val="center"/>
                    <w:rPr>
                      <w:b/>
                      <w:color w:val="000000"/>
                      <w:szCs w:val="21"/>
                      <w:highlight w:val="none"/>
                    </w:rPr>
                  </w:pPr>
                  <w:r>
                    <w:rPr>
                      <w:rFonts w:hint="eastAsia"/>
                      <w:b/>
                      <w:color w:val="000000"/>
                      <w:szCs w:val="21"/>
                      <w:highlight w:val="none"/>
                    </w:rPr>
                    <w:t>风险源</w:t>
                  </w:r>
                </w:p>
              </w:tc>
              <w:tc>
                <w:tcPr>
                  <w:tcW w:w="2005" w:type="dxa"/>
                  <w:shd w:val="clear" w:color="auto" w:fill="auto"/>
                  <w:vAlign w:val="center"/>
                </w:tcPr>
                <w:p>
                  <w:pPr>
                    <w:jc w:val="center"/>
                    <w:rPr>
                      <w:b/>
                      <w:color w:val="000000"/>
                      <w:szCs w:val="21"/>
                      <w:highlight w:val="none"/>
                    </w:rPr>
                  </w:pPr>
                  <w:r>
                    <w:rPr>
                      <w:rFonts w:hint="eastAsia"/>
                      <w:b/>
                      <w:color w:val="000000"/>
                      <w:szCs w:val="21"/>
                      <w:highlight w:val="none"/>
                    </w:rPr>
                    <w:t>主要危险物质</w:t>
                  </w:r>
                </w:p>
              </w:tc>
              <w:tc>
                <w:tcPr>
                  <w:tcW w:w="1762" w:type="dxa"/>
                  <w:shd w:val="clear" w:color="auto" w:fill="auto"/>
                  <w:vAlign w:val="center"/>
                </w:tcPr>
                <w:p>
                  <w:pPr>
                    <w:jc w:val="center"/>
                    <w:rPr>
                      <w:b/>
                      <w:color w:val="000000"/>
                      <w:szCs w:val="21"/>
                      <w:highlight w:val="none"/>
                    </w:rPr>
                  </w:pPr>
                  <w:r>
                    <w:rPr>
                      <w:rFonts w:hint="eastAsia"/>
                      <w:b/>
                      <w:color w:val="000000"/>
                      <w:szCs w:val="21"/>
                      <w:highlight w:val="none"/>
                    </w:rPr>
                    <w:t>环境风险类型</w:t>
                  </w:r>
                </w:p>
              </w:tc>
              <w:tc>
                <w:tcPr>
                  <w:tcW w:w="2245" w:type="dxa"/>
                  <w:tcBorders>
                    <w:right w:val="nil"/>
                  </w:tcBorders>
                  <w:shd w:val="clear" w:color="auto" w:fill="auto"/>
                  <w:vAlign w:val="center"/>
                </w:tcPr>
                <w:p>
                  <w:pPr>
                    <w:jc w:val="center"/>
                    <w:rPr>
                      <w:b/>
                      <w:color w:val="000000"/>
                      <w:szCs w:val="21"/>
                      <w:highlight w:val="none"/>
                    </w:rPr>
                  </w:pPr>
                  <w:r>
                    <w:rPr>
                      <w:rFonts w:hint="eastAsia"/>
                      <w:b/>
                      <w:color w:val="000000"/>
                      <w:szCs w:val="21"/>
                      <w:highlight w:val="none"/>
                    </w:rPr>
                    <w:t>环境影响途径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jc w:val="center"/>
                    <w:rPr>
                      <w:bCs/>
                      <w:color w:val="000000"/>
                      <w:szCs w:val="21"/>
                      <w:highlight w:val="none"/>
                    </w:rPr>
                  </w:pPr>
                  <w:r>
                    <w:rPr>
                      <w:rFonts w:hint="eastAsia"/>
                      <w:bCs/>
                      <w:color w:val="000000"/>
                      <w:szCs w:val="21"/>
                      <w:highlight w:val="none"/>
                    </w:rPr>
                    <w:t>1</w:t>
                  </w:r>
                </w:p>
              </w:tc>
              <w:tc>
                <w:tcPr>
                  <w:tcW w:w="1630" w:type="dxa"/>
                  <w:vAlign w:val="center"/>
                </w:tcPr>
                <w:p>
                  <w:pPr>
                    <w:jc w:val="center"/>
                    <w:rPr>
                      <w:bCs/>
                      <w:color w:val="000000"/>
                      <w:szCs w:val="21"/>
                      <w:highlight w:val="none"/>
                    </w:rPr>
                  </w:pPr>
                  <w:r>
                    <w:rPr>
                      <w:rFonts w:hint="eastAsia"/>
                      <w:bCs/>
                      <w:color w:val="000000"/>
                      <w:szCs w:val="21"/>
                      <w:highlight w:val="none"/>
                    </w:rPr>
                    <w:t>化学品库</w:t>
                  </w:r>
                </w:p>
              </w:tc>
              <w:tc>
                <w:tcPr>
                  <w:tcW w:w="2005" w:type="dxa"/>
                  <w:vAlign w:val="center"/>
                </w:tcPr>
                <w:p>
                  <w:pPr>
                    <w:jc w:val="center"/>
                    <w:rPr>
                      <w:bCs/>
                      <w:color w:val="000000"/>
                      <w:szCs w:val="21"/>
                      <w:highlight w:val="none"/>
                    </w:rPr>
                  </w:pPr>
                  <w:r>
                    <w:rPr>
                      <w:rFonts w:hint="eastAsia"/>
                      <w:highlight w:val="none"/>
                    </w:rPr>
                    <w:t>硝酸清洁剂（45%）</w:t>
                  </w:r>
                </w:p>
              </w:tc>
              <w:tc>
                <w:tcPr>
                  <w:tcW w:w="1762" w:type="dxa"/>
                  <w:vAlign w:val="center"/>
                </w:tcPr>
                <w:p>
                  <w:pPr>
                    <w:jc w:val="center"/>
                    <w:rPr>
                      <w:bCs/>
                      <w:color w:val="000000"/>
                      <w:szCs w:val="21"/>
                      <w:highlight w:val="none"/>
                    </w:rPr>
                  </w:pPr>
                  <w:r>
                    <w:rPr>
                      <w:rFonts w:hint="eastAsia"/>
                      <w:bCs/>
                      <w:color w:val="000000"/>
                      <w:szCs w:val="21"/>
                      <w:highlight w:val="none"/>
                    </w:rPr>
                    <w:t>泄漏</w:t>
                  </w:r>
                </w:p>
              </w:tc>
              <w:tc>
                <w:tcPr>
                  <w:tcW w:w="2245" w:type="dxa"/>
                  <w:tcBorders>
                    <w:right w:val="nil"/>
                  </w:tcBorders>
                  <w:vAlign w:val="center"/>
                </w:tcPr>
                <w:p>
                  <w:pPr>
                    <w:jc w:val="center"/>
                    <w:rPr>
                      <w:bCs/>
                      <w:color w:val="000000"/>
                      <w:szCs w:val="21"/>
                      <w:highlight w:val="none"/>
                    </w:rPr>
                  </w:pPr>
                  <w:r>
                    <w:rPr>
                      <w:rFonts w:hint="eastAsia"/>
                      <w:bCs/>
                      <w:color w:val="000000"/>
                      <w:szCs w:val="21"/>
                      <w:highlight w:val="none"/>
                    </w:rPr>
                    <w:t>大气、地表水、地下水和土壤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jc w:val="center"/>
                    <w:rPr>
                      <w:bCs/>
                      <w:color w:val="000000"/>
                      <w:szCs w:val="21"/>
                      <w:highlight w:val="none"/>
                    </w:rPr>
                  </w:pPr>
                  <w:r>
                    <w:rPr>
                      <w:rFonts w:hint="eastAsia"/>
                      <w:bCs/>
                      <w:color w:val="000000"/>
                      <w:szCs w:val="21"/>
                      <w:highlight w:val="none"/>
                    </w:rPr>
                    <w:t>2</w:t>
                  </w:r>
                </w:p>
              </w:tc>
              <w:tc>
                <w:tcPr>
                  <w:tcW w:w="1630" w:type="dxa"/>
                  <w:vAlign w:val="center"/>
                </w:tcPr>
                <w:p>
                  <w:pPr>
                    <w:jc w:val="center"/>
                    <w:rPr>
                      <w:bCs/>
                      <w:color w:val="000000"/>
                      <w:szCs w:val="21"/>
                      <w:highlight w:val="none"/>
                    </w:rPr>
                  </w:pPr>
                  <w:r>
                    <w:rPr>
                      <w:rFonts w:hint="eastAsia"/>
                      <w:bCs/>
                      <w:color w:val="000000"/>
                      <w:szCs w:val="21"/>
                      <w:highlight w:val="none"/>
                    </w:rPr>
                    <w:t>危废库</w:t>
                  </w:r>
                </w:p>
              </w:tc>
              <w:tc>
                <w:tcPr>
                  <w:tcW w:w="2005" w:type="dxa"/>
                  <w:vAlign w:val="center"/>
                </w:tcPr>
                <w:p>
                  <w:pPr>
                    <w:jc w:val="center"/>
                    <w:rPr>
                      <w:rFonts w:hint="default" w:eastAsia="宋体"/>
                      <w:bCs/>
                      <w:color w:val="000000"/>
                      <w:szCs w:val="21"/>
                      <w:highlight w:val="none"/>
                      <w:lang w:val="en-US" w:eastAsia="zh-CN"/>
                    </w:rPr>
                  </w:pPr>
                  <w:r>
                    <w:rPr>
                      <w:rFonts w:hint="eastAsia"/>
                      <w:bCs/>
                      <w:color w:val="000000"/>
                      <w:szCs w:val="21"/>
                      <w:highlight w:val="none"/>
                    </w:rPr>
                    <w:t>废机油、</w:t>
                  </w:r>
                  <w:r>
                    <w:rPr>
                      <w:rFonts w:hint="eastAsia"/>
                      <w:bCs/>
                      <w:color w:val="000000"/>
                      <w:szCs w:val="21"/>
                      <w:highlight w:val="none"/>
                      <w:lang w:val="en-US" w:eastAsia="zh-CN"/>
                    </w:rPr>
                    <w:t>检验固废</w:t>
                  </w:r>
                </w:p>
              </w:tc>
              <w:tc>
                <w:tcPr>
                  <w:tcW w:w="1762" w:type="dxa"/>
                  <w:vAlign w:val="center"/>
                </w:tcPr>
                <w:p>
                  <w:pPr>
                    <w:jc w:val="center"/>
                    <w:rPr>
                      <w:bCs/>
                      <w:color w:val="000000"/>
                      <w:szCs w:val="21"/>
                      <w:highlight w:val="none"/>
                    </w:rPr>
                  </w:pPr>
                  <w:r>
                    <w:rPr>
                      <w:rFonts w:hint="eastAsia"/>
                      <w:bCs/>
                      <w:color w:val="000000"/>
                      <w:szCs w:val="21"/>
                      <w:highlight w:val="none"/>
                    </w:rPr>
                    <w:t>泄漏</w:t>
                  </w:r>
                </w:p>
              </w:tc>
              <w:tc>
                <w:tcPr>
                  <w:tcW w:w="2245" w:type="dxa"/>
                  <w:tcBorders>
                    <w:right w:val="nil"/>
                  </w:tcBorders>
                  <w:vAlign w:val="center"/>
                </w:tcPr>
                <w:p>
                  <w:pPr>
                    <w:jc w:val="center"/>
                    <w:rPr>
                      <w:bCs/>
                      <w:color w:val="000000"/>
                      <w:szCs w:val="21"/>
                      <w:highlight w:val="none"/>
                    </w:rPr>
                  </w:pPr>
                  <w:r>
                    <w:rPr>
                      <w:rFonts w:hint="eastAsia"/>
                      <w:bCs/>
                      <w:color w:val="000000"/>
                      <w:szCs w:val="21"/>
                      <w:highlight w:val="none"/>
                    </w:rPr>
                    <w:t>地表水、地下水和土壤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1" w:type="dxa"/>
                  <w:tcBorders>
                    <w:left w:val="nil"/>
                  </w:tcBorders>
                  <w:vAlign w:val="center"/>
                </w:tcPr>
                <w:p>
                  <w:pPr>
                    <w:jc w:val="center"/>
                    <w:rPr>
                      <w:bCs/>
                      <w:color w:val="000000"/>
                      <w:szCs w:val="21"/>
                      <w:highlight w:val="none"/>
                    </w:rPr>
                  </w:pPr>
                  <w:r>
                    <w:rPr>
                      <w:rFonts w:hint="eastAsia"/>
                      <w:bCs/>
                      <w:color w:val="000000"/>
                      <w:szCs w:val="21"/>
                      <w:highlight w:val="none"/>
                    </w:rPr>
                    <w:t>3</w:t>
                  </w:r>
                </w:p>
              </w:tc>
              <w:tc>
                <w:tcPr>
                  <w:tcW w:w="1630" w:type="dxa"/>
                  <w:vMerge w:val="restart"/>
                  <w:vAlign w:val="center"/>
                </w:tcPr>
                <w:p>
                  <w:pPr>
                    <w:jc w:val="center"/>
                    <w:rPr>
                      <w:bCs/>
                      <w:color w:val="000000"/>
                      <w:szCs w:val="21"/>
                      <w:highlight w:val="none"/>
                    </w:rPr>
                  </w:pPr>
                  <w:r>
                    <w:rPr>
                      <w:rFonts w:hint="eastAsia"/>
                      <w:bCs/>
                      <w:color w:val="000000"/>
                      <w:szCs w:val="21"/>
                      <w:highlight w:val="none"/>
                    </w:rPr>
                    <w:t>污水处理站</w:t>
                  </w:r>
                </w:p>
              </w:tc>
              <w:tc>
                <w:tcPr>
                  <w:tcW w:w="2005" w:type="dxa"/>
                  <w:vAlign w:val="center"/>
                </w:tcPr>
                <w:p>
                  <w:pPr>
                    <w:jc w:val="center"/>
                    <w:rPr>
                      <w:bCs/>
                      <w:color w:val="000000"/>
                      <w:szCs w:val="21"/>
                      <w:highlight w:val="none"/>
                    </w:rPr>
                  </w:pPr>
                  <w:r>
                    <w:rPr>
                      <w:rFonts w:hint="eastAsia"/>
                      <w:bCs/>
                      <w:color w:val="000000"/>
                      <w:szCs w:val="21"/>
                      <w:highlight w:val="none"/>
                    </w:rPr>
                    <w:t>生产废水</w:t>
                  </w:r>
                </w:p>
              </w:tc>
              <w:tc>
                <w:tcPr>
                  <w:tcW w:w="1762" w:type="dxa"/>
                  <w:vAlign w:val="center"/>
                </w:tcPr>
                <w:p>
                  <w:pPr>
                    <w:jc w:val="center"/>
                    <w:rPr>
                      <w:bCs/>
                      <w:color w:val="000000"/>
                      <w:szCs w:val="21"/>
                      <w:highlight w:val="none"/>
                    </w:rPr>
                  </w:pPr>
                  <w:r>
                    <w:rPr>
                      <w:rFonts w:hint="eastAsia"/>
                      <w:bCs/>
                      <w:color w:val="000000"/>
                      <w:szCs w:val="21"/>
                      <w:highlight w:val="none"/>
                    </w:rPr>
                    <w:t>泄漏</w:t>
                  </w:r>
                </w:p>
              </w:tc>
              <w:tc>
                <w:tcPr>
                  <w:tcW w:w="2245" w:type="dxa"/>
                  <w:vMerge w:val="restart"/>
                  <w:tcBorders>
                    <w:right w:val="nil"/>
                  </w:tcBorders>
                  <w:vAlign w:val="center"/>
                </w:tcPr>
                <w:p>
                  <w:pPr>
                    <w:jc w:val="center"/>
                    <w:rPr>
                      <w:bCs/>
                      <w:color w:val="000000"/>
                      <w:szCs w:val="21"/>
                      <w:highlight w:val="none"/>
                    </w:rPr>
                  </w:pPr>
                  <w:r>
                    <w:rPr>
                      <w:rFonts w:hint="eastAsia"/>
                      <w:bCs/>
                      <w:color w:val="000000"/>
                      <w:szCs w:val="21"/>
                      <w:highlight w:val="none"/>
                    </w:rPr>
                    <w:t>地表水、地下水和土壤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jc w:val="center"/>
                    <w:rPr>
                      <w:rFonts w:hint="eastAsia" w:eastAsia="宋体"/>
                      <w:bCs/>
                      <w:color w:val="000000"/>
                      <w:szCs w:val="21"/>
                      <w:highlight w:val="none"/>
                      <w:lang w:val="en-US" w:eastAsia="zh-CN"/>
                    </w:rPr>
                  </w:pPr>
                  <w:r>
                    <w:rPr>
                      <w:rFonts w:hint="eastAsia"/>
                      <w:bCs/>
                      <w:color w:val="000000"/>
                      <w:szCs w:val="21"/>
                      <w:highlight w:val="none"/>
                      <w:lang w:val="en-US" w:eastAsia="zh-CN"/>
                    </w:rPr>
                    <w:t>4</w:t>
                  </w:r>
                </w:p>
              </w:tc>
              <w:tc>
                <w:tcPr>
                  <w:tcW w:w="1630" w:type="dxa"/>
                  <w:vMerge w:val="continue"/>
                  <w:vAlign w:val="center"/>
                </w:tcPr>
                <w:p>
                  <w:pPr>
                    <w:jc w:val="center"/>
                    <w:rPr>
                      <w:rFonts w:hint="eastAsia"/>
                      <w:bCs/>
                      <w:color w:val="000000"/>
                      <w:szCs w:val="21"/>
                      <w:highlight w:val="none"/>
                    </w:rPr>
                  </w:pPr>
                </w:p>
              </w:tc>
              <w:tc>
                <w:tcPr>
                  <w:tcW w:w="2005" w:type="dxa"/>
                  <w:vAlign w:val="center"/>
                </w:tcPr>
                <w:p>
                  <w:pPr>
                    <w:jc w:val="center"/>
                    <w:rPr>
                      <w:rFonts w:hint="eastAsia" w:eastAsia="宋体"/>
                      <w:bCs/>
                      <w:color w:val="000000"/>
                      <w:szCs w:val="21"/>
                      <w:highlight w:val="none"/>
                      <w:lang w:val="en-US" w:eastAsia="zh-CN"/>
                    </w:rPr>
                  </w:pPr>
                  <w:r>
                    <w:rPr>
                      <w:rFonts w:hint="eastAsia"/>
                      <w:bCs/>
                      <w:color w:val="000000"/>
                      <w:szCs w:val="21"/>
                      <w:highlight w:val="none"/>
                      <w:lang w:val="en-US" w:eastAsia="zh-CN"/>
                    </w:rPr>
                    <w:t>次氯酸钠（10%）</w:t>
                  </w:r>
                </w:p>
              </w:tc>
              <w:tc>
                <w:tcPr>
                  <w:tcW w:w="1762" w:type="dxa"/>
                  <w:vAlign w:val="center"/>
                </w:tcPr>
                <w:p>
                  <w:pPr>
                    <w:jc w:val="center"/>
                    <w:rPr>
                      <w:rFonts w:hint="eastAsia"/>
                      <w:bCs/>
                      <w:color w:val="000000"/>
                      <w:szCs w:val="21"/>
                      <w:highlight w:val="none"/>
                    </w:rPr>
                  </w:pPr>
                  <w:r>
                    <w:rPr>
                      <w:rFonts w:hint="eastAsia"/>
                      <w:bCs/>
                      <w:color w:val="000000"/>
                      <w:szCs w:val="21"/>
                      <w:highlight w:val="none"/>
                    </w:rPr>
                    <w:t>泄漏</w:t>
                  </w:r>
                </w:p>
              </w:tc>
              <w:tc>
                <w:tcPr>
                  <w:tcW w:w="2245" w:type="dxa"/>
                  <w:vMerge w:val="continue"/>
                  <w:tcBorders>
                    <w:right w:val="nil"/>
                  </w:tcBorders>
                  <w:vAlign w:val="center"/>
                </w:tcPr>
                <w:p>
                  <w:pPr>
                    <w:jc w:val="center"/>
                    <w:rPr>
                      <w:rFonts w:hint="eastAsia"/>
                      <w:bCs/>
                      <w:color w:val="000000"/>
                      <w:szCs w:val="21"/>
                      <w:highlight w:val="none"/>
                    </w:rPr>
                  </w:pPr>
                </w:p>
              </w:tc>
            </w:tr>
          </w:tbl>
          <w:p>
            <w:pPr>
              <w:spacing w:line="360" w:lineRule="auto"/>
              <w:ind w:firstLine="480" w:firstLineChars="200"/>
              <w:rPr>
                <w:bCs/>
                <w:sz w:val="24"/>
                <w:highlight w:val="none"/>
              </w:rPr>
            </w:pPr>
            <w:r>
              <w:rPr>
                <w:bCs/>
                <w:sz w:val="24"/>
                <w:highlight w:val="none"/>
              </w:rPr>
              <w:t>（4）环境风险分析</w:t>
            </w:r>
          </w:p>
          <w:p>
            <w:pPr>
              <w:spacing w:line="360" w:lineRule="auto"/>
              <w:ind w:firstLine="480" w:firstLineChars="200"/>
              <w:rPr>
                <w:sz w:val="24"/>
                <w:highlight w:val="none"/>
              </w:rPr>
            </w:pPr>
            <w:r>
              <w:rPr>
                <w:sz w:val="24"/>
                <w:highlight w:val="none"/>
              </w:rPr>
              <w:t>1）大气环境</w:t>
            </w:r>
          </w:p>
          <w:p>
            <w:pPr>
              <w:spacing w:line="360" w:lineRule="auto"/>
              <w:ind w:firstLine="480" w:firstLineChars="200"/>
              <w:rPr>
                <w:sz w:val="24"/>
                <w:highlight w:val="none"/>
              </w:rPr>
            </w:pPr>
            <w:r>
              <w:rPr>
                <w:sz w:val="24"/>
                <w:highlight w:val="none"/>
              </w:rPr>
              <w:t>本项目可能对大气环境造成影响的事故情形为</w:t>
            </w:r>
            <w:r>
              <w:rPr>
                <w:rFonts w:hint="eastAsia"/>
                <w:sz w:val="24"/>
                <w:highlight w:val="none"/>
              </w:rPr>
              <w:t>化学品库</w:t>
            </w:r>
            <w:r>
              <w:rPr>
                <w:sz w:val="24"/>
                <w:highlight w:val="none"/>
              </w:rPr>
              <w:t>的化学物质泄漏对周边大气环境的影响。一旦危险物质出现泄漏，挥发的气体等释放至大气环境中，对周边大气环境带来影响，对本企业及周边企业职工健康造成危害。</w:t>
            </w:r>
          </w:p>
          <w:p>
            <w:pPr>
              <w:spacing w:line="360" w:lineRule="auto"/>
              <w:ind w:firstLine="480" w:firstLineChars="200"/>
              <w:rPr>
                <w:sz w:val="24"/>
                <w:highlight w:val="none"/>
              </w:rPr>
            </w:pPr>
            <w:r>
              <w:rPr>
                <w:sz w:val="24"/>
                <w:highlight w:val="none"/>
              </w:rPr>
              <w:t>公司采取加强职工安全防范培训，强化生产操作规程，人员巡查点检等制度性措施，能够及时</w:t>
            </w:r>
            <w:r>
              <w:rPr>
                <w:rFonts w:hint="eastAsia"/>
                <w:sz w:val="24"/>
                <w:highlight w:val="none"/>
              </w:rPr>
              <w:t>地</w:t>
            </w:r>
            <w:r>
              <w:rPr>
                <w:sz w:val="24"/>
                <w:highlight w:val="none"/>
              </w:rPr>
              <w:t>发现泄漏情况，并及时进行处置。因此，</w:t>
            </w:r>
            <w:r>
              <w:rPr>
                <w:rFonts w:hint="eastAsia"/>
                <w:sz w:val="24"/>
                <w:highlight w:val="none"/>
              </w:rPr>
              <w:t>化学品库</w:t>
            </w:r>
            <w:r>
              <w:rPr>
                <w:sz w:val="24"/>
                <w:highlight w:val="none"/>
              </w:rPr>
              <w:t>内危险物质泄漏释放的污染物、废气处理措施故障释放的污染物对周边大气环境的影响可控。</w:t>
            </w:r>
          </w:p>
          <w:p>
            <w:pPr>
              <w:spacing w:line="360" w:lineRule="auto"/>
              <w:ind w:firstLine="480" w:firstLineChars="200"/>
              <w:rPr>
                <w:sz w:val="24"/>
                <w:highlight w:val="none"/>
              </w:rPr>
            </w:pPr>
            <w:r>
              <w:rPr>
                <w:sz w:val="24"/>
                <w:highlight w:val="none"/>
              </w:rPr>
              <w:t>2）水环境和土壤环境</w:t>
            </w:r>
          </w:p>
          <w:p>
            <w:pPr>
              <w:spacing w:line="360" w:lineRule="auto"/>
              <w:ind w:firstLine="480" w:firstLineChars="200"/>
              <w:rPr>
                <w:sz w:val="24"/>
                <w:highlight w:val="none"/>
              </w:rPr>
            </w:pPr>
            <w:r>
              <w:rPr>
                <w:sz w:val="24"/>
                <w:highlight w:val="none"/>
              </w:rPr>
              <w:t>本项目可能对水环境、土壤环境造成影响的事故情形为污水处理站废水、</w:t>
            </w:r>
            <w:r>
              <w:rPr>
                <w:rFonts w:hint="eastAsia"/>
                <w:sz w:val="24"/>
                <w:highlight w:val="none"/>
              </w:rPr>
              <w:t>危废库</w:t>
            </w:r>
            <w:r>
              <w:rPr>
                <w:sz w:val="24"/>
                <w:highlight w:val="none"/>
              </w:rPr>
              <w:t>存储的液体物质泄漏，并经雨污管线后地表漫流等接入周边水环境对水环境</w:t>
            </w:r>
            <w:r>
              <w:rPr>
                <w:rFonts w:hint="eastAsia"/>
                <w:sz w:val="24"/>
                <w:highlight w:val="none"/>
                <w:lang w:eastAsia="zh-CN"/>
              </w:rPr>
              <w:t>（</w:t>
            </w:r>
            <w:r>
              <w:rPr>
                <w:sz w:val="24"/>
                <w:highlight w:val="none"/>
              </w:rPr>
              <w:t>地表水环境和地下水环境</w:t>
            </w:r>
            <w:r>
              <w:rPr>
                <w:rFonts w:hint="eastAsia"/>
                <w:sz w:val="24"/>
                <w:highlight w:val="none"/>
                <w:lang w:eastAsia="zh-CN"/>
              </w:rPr>
              <w:t>）</w:t>
            </w:r>
            <w:r>
              <w:rPr>
                <w:rFonts w:hint="eastAsia"/>
                <w:sz w:val="24"/>
                <w:highlight w:val="none"/>
              </w:rPr>
              <w:t>、土壤环境</w:t>
            </w:r>
            <w:r>
              <w:rPr>
                <w:sz w:val="24"/>
                <w:highlight w:val="none"/>
              </w:rPr>
              <w:t>造成污染。</w:t>
            </w:r>
            <w:r>
              <w:rPr>
                <w:rFonts w:hint="eastAsia"/>
                <w:sz w:val="24"/>
                <w:highlight w:val="none"/>
              </w:rPr>
              <w:t>通过对危废间和污水处理站</w:t>
            </w:r>
            <w:r>
              <w:rPr>
                <w:sz w:val="24"/>
                <w:highlight w:val="none"/>
              </w:rPr>
              <w:t>采取分区防渗措施，泄漏物料不会经地面进入土壤环境和地下水环境。</w:t>
            </w:r>
          </w:p>
          <w:p>
            <w:pPr>
              <w:wordWrap w:val="0"/>
              <w:spacing w:line="360" w:lineRule="auto"/>
              <w:ind w:firstLine="480" w:firstLineChars="200"/>
              <w:rPr>
                <w:sz w:val="24"/>
                <w:highlight w:val="none"/>
              </w:rPr>
            </w:pPr>
            <w:r>
              <w:rPr>
                <w:sz w:val="24"/>
                <w:highlight w:val="none"/>
              </w:rPr>
              <w:t>（5）风险防范措施</w:t>
            </w:r>
          </w:p>
          <w:p>
            <w:pPr>
              <w:wordWrap w:val="0"/>
              <w:spacing w:line="360" w:lineRule="auto"/>
              <w:ind w:firstLine="480" w:firstLineChars="200"/>
              <w:rPr>
                <w:sz w:val="24"/>
                <w:highlight w:val="none"/>
              </w:rPr>
            </w:pPr>
            <w:r>
              <w:rPr>
                <w:sz w:val="24"/>
                <w:highlight w:val="none"/>
              </w:rPr>
              <w:t>本次评价主要关注事故发生前的预防和发现措施，以减轻事故对环境的危害。对于安全生产相关措施要求，企业须根据安全评价内容落实。</w:t>
            </w:r>
          </w:p>
          <w:p>
            <w:pPr>
              <w:wordWrap w:val="0"/>
              <w:spacing w:line="360" w:lineRule="auto"/>
              <w:ind w:firstLine="480" w:firstLineChars="200"/>
              <w:rPr>
                <w:sz w:val="24"/>
                <w:highlight w:val="none"/>
              </w:rPr>
            </w:pPr>
            <w:r>
              <w:rPr>
                <w:sz w:val="24"/>
                <w:highlight w:val="none"/>
              </w:rPr>
              <w:t>1）大气环境风险防范措施</w:t>
            </w:r>
          </w:p>
          <w:p>
            <w:pPr>
              <w:wordWrap w:val="0"/>
              <w:spacing w:line="360" w:lineRule="auto"/>
              <w:ind w:firstLine="480" w:firstLineChars="200"/>
              <w:rPr>
                <w:sz w:val="24"/>
                <w:highlight w:val="none"/>
              </w:rPr>
            </w:pPr>
            <w:r>
              <w:rPr>
                <w:sz w:val="24"/>
                <w:highlight w:val="none"/>
              </w:rPr>
              <w:t>①设置健全的视频监控设施，健全管理制度、巡视点检制度等；</w:t>
            </w:r>
          </w:p>
          <w:p>
            <w:pPr>
              <w:wordWrap w:val="0"/>
              <w:spacing w:line="360" w:lineRule="auto"/>
              <w:ind w:firstLine="480" w:firstLineChars="200"/>
              <w:rPr>
                <w:sz w:val="24"/>
                <w:highlight w:val="none"/>
              </w:rPr>
            </w:pPr>
            <w:r>
              <w:rPr>
                <w:rFonts w:hint="eastAsia"/>
                <w:sz w:val="24"/>
                <w:highlight w:val="none"/>
                <w:lang w:val="en-US" w:eastAsia="zh-CN"/>
              </w:rPr>
              <w:t>②</w:t>
            </w:r>
            <w:r>
              <w:rPr>
                <w:rFonts w:hint="eastAsia"/>
                <w:sz w:val="24"/>
                <w:highlight w:val="none"/>
              </w:rPr>
              <w:t>化学品库</w:t>
            </w:r>
            <w:r>
              <w:rPr>
                <w:sz w:val="24"/>
                <w:highlight w:val="none"/>
              </w:rPr>
              <w:t>等设置应急抽风系统。</w:t>
            </w:r>
          </w:p>
          <w:p>
            <w:pPr>
              <w:wordWrap w:val="0"/>
              <w:spacing w:line="360" w:lineRule="auto"/>
              <w:ind w:firstLine="480" w:firstLineChars="200"/>
              <w:rPr>
                <w:sz w:val="24"/>
                <w:highlight w:val="none"/>
              </w:rPr>
            </w:pPr>
            <w:r>
              <w:rPr>
                <w:sz w:val="24"/>
                <w:highlight w:val="none"/>
              </w:rPr>
              <w:t>2）水环境</w:t>
            </w:r>
            <w:r>
              <w:rPr>
                <w:rFonts w:hint="eastAsia"/>
                <w:sz w:val="24"/>
                <w:highlight w:val="none"/>
              </w:rPr>
              <w:t>和土壤环境</w:t>
            </w:r>
            <w:r>
              <w:rPr>
                <w:sz w:val="24"/>
                <w:highlight w:val="none"/>
              </w:rPr>
              <w:t>风险防范措施</w:t>
            </w:r>
          </w:p>
          <w:p>
            <w:pPr>
              <w:wordWrap w:val="0"/>
              <w:spacing w:line="360" w:lineRule="auto"/>
              <w:ind w:firstLine="480" w:firstLineChars="200"/>
              <w:rPr>
                <w:sz w:val="24"/>
                <w:highlight w:val="none"/>
              </w:rPr>
            </w:pPr>
            <w:r>
              <w:rPr>
                <w:sz w:val="24"/>
                <w:highlight w:val="none"/>
              </w:rPr>
              <w:t>本项目地表水环境风险物质主要为泄漏的物料以及危险废物。为了有效发现、拦截泄漏物料，企业应采取如下措施：</w:t>
            </w:r>
          </w:p>
          <w:p>
            <w:pPr>
              <w:wordWrap w:val="0"/>
              <w:spacing w:line="360" w:lineRule="auto"/>
              <w:ind w:firstLine="480" w:firstLineChars="200"/>
              <w:rPr>
                <w:sz w:val="24"/>
                <w:highlight w:val="none"/>
              </w:rPr>
            </w:pPr>
            <w:r>
              <w:rPr>
                <w:sz w:val="24"/>
                <w:highlight w:val="none"/>
              </w:rPr>
              <w:t>①采取分区防渗措施；</w:t>
            </w:r>
          </w:p>
          <w:p>
            <w:pPr>
              <w:wordWrap w:val="0"/>
              <w:spacing w:line="360" w:lineRule="auto"/>
              <w:ind w:firstLine="480" w:firstLineChars="200"/>
              <w:rPr>
                <w:sz w:val="24"/>
                <w:highlight w:val="none"/>
              </w:rPr>
            </w:pPr>
            <w:r>
              <w:rPr>
                <w:sz w:val="24"/>
                <w:highlight w:val="none"/>
              </w:rPr>
              <w:t>②设置健全的视频监控设施，并安排专人值守中控室</w:t>
            </w:r>
            <w:r>
              <w:rPr>
                <w:rFonts w:hint="eastAsia"/>
                <w:sz w:val="24"/>
                <w:highlight w:val="none"/>
              </w:rPr>
              <w:t>；</w:t>
            </w:r>
            <w:r>
              <w:rPr>
                <w:sz w:val="24"/>
                <w:highlight w:val="none"/>
              </w:rPr>
              <w:t>设立完善的巡视点检制度；定期巡查化学品库和危废间内包装桶是否发生渗漏，及时进行处理。危废间内粘贴警示标志，周边严禁烟火，防止发生火灾爆炸等危险。</w:t>
            </w:r>
          </w:p>
          <w:p>
            <w:pPr>
              <w:wordWrap w:val="0"/>
              <w:spacing w:line="360" w:lineRule="auto"/>
              <w:ind w:firstLine="480" w:firstLineChars="200"/>
              <w:rPr>
                <w:color w:val="0000FF"/>
                <w:sz w:val="24"/>
                <w:highlight w:val="none"/>
              </w:rPr>
            </w:pPr>
            <w:r>
              <w:rPr>
                <w:color w:val="0000FF"/>
                <w:sz w:val="24"/>
                <w:highlight w:val="none"/>
              </w:rPr>
              <w:t>③仓库内物料分类堆放；</w:t>
            </w:r>
          </w:p>
          <w:p>
            <w:pPr>
              <w:wordWrap w:val="0"/>
              <w:spacing w:line="360" w:lineRule="auto"/>
              <w:ind w:firstLine="480" w:firstLineChars="200"/>
              <w:rPr>
                <w:color w:val="0000FF"/>
                <w:sz w:val="24"/>
                <w:highlight w:val="none"/>
              </w:rPr>
            </w:pPr>
            <w:r>
              <w:rPr>
                <w:color w:val="0000FF"/>
                <w:sz w:val="24"/>
                <w:highlight w:val="none"/>
              </w:rPr>
              <w:t>④危废库内危险废物按照《危险废物贮存污染控制标准》</w:t>
            </w:r>
            <w:r>
              <w:rPr>
                <w:rFonts w:hint="eastAsia"/>
                <w:color w:val="0000FF"/>
                <w:sz w:val="24"/>
                <w:highlight w:val="none"/>
                <w:lang w:eastAsia="zh-CN"/>
              </w:rPr>
              <w:t>（</w:t>
            </w:r>
            <w:r>
              <w:rPr>
                <w:color w:val="0000FF"/>
                <w:sz w:val="24"/>
                <w:highlight w:val="none"/>
              </w:rPr>
              <w:t>GB18597-2023</w:t>
            </w:r>
            <w:r>
              <w:rPr>
                <w:rFonts w:hint="eastAsia"/>
                <w:color w:val="0000FF"/>
                <w:sz w:val="24"/>
                <w:highlight w:val="none"/>
                <w:lang w:eastAsia="zh-CN"/>
              </w:rPr>
              <w:t>）</w:t>
            </w:r>
            <w:r>
              <w:rPr>
                <w:color w:val="0000FF"/>
                <w:sz w:val="24"/>
                <w:highlight w:val="none"/>
              </w:rPr>
              <w:t>要求进行贮存；</w:t>
            </w:r>
          </w:p>
          <w:p>
            <w:pPr>
              <w:wordWrap w:val="0"/>
              <w:spacing w:line="360" w:lineRule="auto"/>
              <w:ind w:firstLine="480" w:firstLineChars="200"/>
              <w:rPr>
                <w:color w:val="0000FF"/>
                <w:sz w:val="24"/>
                <w:highlight w:val="none"/>
              </w:rPr>
            </w:pPr>
            <w:r>
              <w:rPr>
                <w:color w:val="0000FF"/>
                <w:sz w:val="24"/>
                <w:highlight w:val="none"/>
              </w:rPr>
              <w:t>⑤设置完善物料管理体系，优化物料使用</w:t>
            </w:r>
            <w:r>
              <w:rPr>
                <w:rFonts w:hint="eastAsia"/>
                <w:color w:val="0000FF"/>
                <w:sz w:val="24"/>
                <w:highlight w:val="none"/>
              </w:rPr>
              <w:t>批次</w:t>
            </w:r>
            <w:r>
              <w:rPr>
                <w:color w:val="0000FF"/>
                <w:sz w:val="24"/>
                <w:highlight w:val="none"/>
              </w:rPr>
              <w:t>减少生产区液态物料暂存量；</w:t>
            </w:r>
          </w:p>
          <w:p>
            <w:pPr>
              <w:wordWrap w:val="0"/>
              <w:spacing w:line="360" w:lineRule="auto"/>
              <w:ind w:firstLine="480" w:firstLineChars="200"/>
              <w:rPr>
                <w:sz w:val="24"/>
                <w:highlight w:val="none"/>
              </w:rPr>
            </w:pPr>
            <w:r>
              <w:rPr>
                <w:sz w:val="24"/>
                <w:highlight w:val="none"/>
              </w:rPr>
              <w:t>⑥厂区污水总排口和雨水总排口设置截止阀，并安排专人管理。</w:t>
            </w:r>
          </w:p>
          <w:p>
            <w:pPr>
              <w:wordWrap w:val="0"/>
              <w:spacing w:line="360" w:lineRule="auto"/>
              <w:ind w:firstLine="480" w:firstLineChars="200"/>
              <w:rPr>
                <w:color w:val="0000FF"/>
                <w:sz w:val="24"/>
                <w:highlight w:val="none"/>
              </w:rPr>
            </w:pPr>
            <w:r>
              <w:rPr>
                <w:color w:val="0000FF"/>
                <w:sz w:val="24"/>
                <w:highlight w:val="none"/>
              </w:rPr>
              <w:t>⑦发生危险物质泄漏时，应急人员在做好自身防护措施下，立即堵漏并采用吸附材料将泄漏物质吸附后转移至专用密闭容器内，并用沙土做好围堰防止泄漏物扩散，泄漏物交由具有危险废物处理资质的单位进行处理；事后对地面区域洗消。</w:t>
            </w:r>
          </w:p>
          <w:p>
            <w:pPr>
              <w:keepNext w:val="0"/>
              <w:keepLines w:val="0"/>
              <w:suppressLineNumbers w:val="0"/>
              <w:bidi w:val="0"/>
              <w:spacing w:before="0" w:beforeAutospacing="0" w:after="0" w:afterAutospacing="0" w:line="360" w:lineRule="auto"/>
              <w:ind w:left="0" w:right="0" w:firstLine="480" w:firstLineChars="200"/>
              <w:rPr>
                <w:rFonts w:hint="eastAsia"/>
                <w:color w:val="auto"/>
                <w:sz w:val="24"/>
                <w:szCs w:val="24"/>
                <w:highlight w:val="none"/>
                <w:lang w:eastAsia="zh-CN"/>
              </w:rPr>
            </w:pPr>
            <w:r>
              <w:rPr>
                <w:rFonts w:hint="eastAsia" w:ascii="Times New Roman" w:hAnsi="Times New Roman" w:eastAsia="宋体"/>
                <w:color w:val="auto"/>
                <w:sz w:val="24"/>
                <w:szCs w:val="24"/>
                <w:highlight w:val="none"/>
                <w:lang w:val="en-US" w:eastAsia="zh-CN"/>
              </w:rPr>
              <w:t>⑧废水泄漏主要为处理设备、输送管道等破损，导致超标废水泄漏，流至外环境，对外界水体造成污染影响，若发生该类事故，应停止前端废水输送，将项目废水暂存于污水处理站调节池内，利用应急沙等对泄漏废水进行吸附，同时通知设计施工单位对破损位置进行维修。</w:t>
            </w:r>
          </w:p>
          <w:p>
            <w:pPr>
              <w:wordWrap w:val="0"/>
              <w:spacing w:line="360" w:lineRule="auto"/>
              <w:ind w:firstLine="480" w:firstLineChars="200"/>
              <w:rPr>
                <w:rFonts w:hint="eastAsia"/>
                <w:color w:val="0000FF"/>
                <w:sz w:val="24"/>
                <w:highlight w:val="none"/>
              </w:rPr>
            </w:pPr>
            <w:r>
              <w:rPr>
                <w:rFonts w:hint="eastAsia"/>
                <w:color w:val="0000FF"/>
                <w:sz w:val="24"/>
                <w:highlight w:val="none"/>
              </w:rPr>
              <w:t>为防范废水输送至池塘过程中发生泄漏、漫溢或超标排放等环境风险，项目采取以下主要防范措施：</w:t>
            </w:r>
          </w:p>
          <w:p>
            <w:pPr>
              <w:wordWrap w:val="0"/>
              <w:spacing w:line="360" w:lineRule="auto"/>
              <w:ind w:firstLine="480" w:firstLineChars="200"/>
              <w:rPr>
                <w:rFonts w:hint="eastAsia"/>
                <w:color w:val="0000FF"/>
                <w:sz w:val="24"/>
                <w:highlight w:val="none"/>
              </w:rPr>
            </w:pPr>
            <w:r>
              <w:rPr>
                <w:rFonts w:hint="eastAsia"/>
                <w:color w:val="0000FF"/>
                <w:sz w:val="24"/>
                <w:highlight w:val="none"/>
              </w:rPr>
              <w:t>废水输送管道采用耐腐蚀材质，全程架空或明管敷设；关键节点设置远程控制紧急切断阀，并配备流量、压力监控报警装置。</w:t>
            </w:r>
          </w:p>
          <w:p>
            <w:pPr>
              <w:wordWrap w:val="0"/>
              <w:spacing w:line="360" w:lineRule="auto"/>
              <w:ind w:firstLine="480" w:firstLineChars="200"/>
              <w:rPr>
                <w:rFonts w:hint="eastAsia"/>
                <w:color w:val="0000FF"/>
                <w:sz w:val="24"/>
                <w:highlight w:val="none"/>
              </w:rPr>
            </w:pPr>
            <w:r>
              <w:rPr>
                <w:rFonts w:hint="eastAsia"/>
                <w:color w:val="0000FF"/>
                <w:sz w:val="24"/>
                <w:highlight w:val="none"/>
              </w:rPr>
              <w:t>池塘出口设置可控制闸门，确保事故状态下能够有效截留。</w:t>
            </w:r>
          </w:p>
          <w:p>
            <w:pPr>
              <w:wordWrap w:val="0"/>
              <w:spacing w:line="360" w:lineRule="auto"/>
              <w:ind w:firstLine="480" w:firstLineChars="200"/>
              <w:rPr>
                <w:rFonts w:hint="eastAsia"/>
                <w:color w:val="0000FF"/>
                <w:sz w:val="24"/>
                <w:highlight w:val="none"/>
              </w:rPr>
            </w:pPr>
            <w:r>
              <w:rPr>
                <w:rFonts w:hint="eastAsia"/>
                <w:color w:val="0000FF"/>
                <w:sz w:val="24"/>
                <w:highlight w:val="none"/>
              </w:rPr>
              <w:t>建立定期巡检、维护制度；编制突发环境事件应急预案并备案；配备堵漏器材、便携检测仪等应急物资；定期开展演练。</w:t>
            </w:r>
          </w:p>
          <w:p>
            <w:pPr>
              <w:wordWrap w:val="0"/>
              <w:spacing w:line="360" w:lineRule="auto"/>
              <w:ind w:firstLine="480" w:firstLineChars="200"/>
              <w:rPr>
                <w:color w:val="0000FF"/>
                <w:sz w:val="24"/>
                <w:highlight w:val="none"/>
              </w:rPr>
            </w:pPr>
            <w:r>
              <w:rPr>
                <w:rFonts w:hint="eastAsia"/>
                <w:color w:val="0000FF"/>
                <w:sz w:val="24"/>
                <w:highlight w:val="none"/>
              </w:rPr>
              <w:t>通过以上措施，可有效管控废水输送至池塘的环境风险，确保事故可控、响应及时、影响最小化。</w:t>
            </w:r>
          </w:p>
          <w:p>
            <w:pPr>
              <w:wordWrap w:val="0"/>
              <w:spacing w:line="360" w:lineRule="auto"/>
              <w:ind w:firstLine="480" w:firstLineChars="200"/>
              <w:rPr>
                <w:sz w:val="24"/>
                <w:highlight w:val="none"/>
              </w:rPr>
            </w:pPr>
            <w:r>
              <w:rPr>
                <w:sz w:val="24"/>
                <w:highlight w:val="none"/>
              </w:rPr>
              <w:t>3）应急措施要求</w:t>
            </w:r>
          </w:p>
          <w:p>
            <w:pPr>
              <w:wordWrap w:val="0"/>
              <w:spacing w:line="360" w:lineRule="auto"/>
              <w:ind w:firstLine="480" w:firstLineChars="200"/>
              <w:rPr>
                <w:sz w:val="24"/>
                <w:highlight w:val="none"/>
              </w:rPr>
            </w:pPr>
            <w:r>
              <w:rPr>
                <w:sz w:val="24"/>
                <w:highlight w:val="none"/>
              </w:rPr>
              <w:t>制定风险事故应急预案的</w:t>
            </w:r>
            <w:r>
              <w:rPr>
                <w:rFonts w:hint="eastAsia"/>
                <w:sz w:val="24"/>
                <w:highlight w:val="none"/>
                <w:lang w:eastAsia="zh-CN"/>
              </w:rPr>
              <w:t>目的是</w:t>
            </w:r>
            <w:r>
              <w:rPr>
                <w:sz w:val="24"/>
                <w:highlight w:val="none"/>
              </w:rPr>
              <w:t>在发生风险事故时，能以最快的速度发挥最大的效能，有序</w:t>
            </w:r>
            <w:r>
              <w:rPr>
                <w:rFonts w:hint="eastAsia"/>
                <w:sz w:val="24"/>
                <w:highlight w:val="none"/>
              </w:rPr>
              <w:t>地</w:t>
            </w:r>
            <w:r>
              <w:rPr>
                <w:sz w:val="24"/>
                <w:highlight w:val="none"/>
              </w:rPr>
              <w:t>实施救援，尽快控制事态的发展，降低事故造成的危害，减少事故造成的损失。</w:t>
            </w:r>
          </w:p>
          <w:p>
            <w:pPr>
              <w:wordWrap w:val="0"/>
              <w:spacing w:line="360" w:lineRule="auto"/>
              <w:ind w:firstLine="480" w:firstLineChars="200"/>
              <w:rPr>
                <w:sz w:val="24"/>
                <w:highlight w:val="none"/>
              </w:rPr>
            </w:pPr>
            <w:r>
              <w:rPr>
                <w:sz w:val="24"/>
                <w:highlight w:val="none"/>
              </w:rPr>
              <w:t>企业应根据《关于印发</w:t>
            </w:r>
            <w:r>
              <w:rPr>
                <w:rFonts w:hint="eastAsia"/>
                <w:sz w:val="24"/>
                <w:highlight w:val="none"/>
              </w:rPr>
              <w:t>〈</w:t>
            </w:r>
            <w:r>
              <w:rPr>
                <w:sz w:val="24"/>
                <w:highlight w:val="none"/>
              </w:rPr>
              <w:t>企业事业单位突发环境事件应急预案备案管理办法</w:t>
            </w:r>
            <w:r>
              <w:rPr>
                <w:rFonts w:hint="eastAsia"/>
                <w:sz w:val="24"/>
                <w:highlight w:val="none"/>
              </w:rPr>
              <w:t>（</w:t>
            </w:r>
            <w:r>
              <w:rPr>
                <w:sz w:val="24"/>
                <w:highlight w:val="none"/>
              </w:rPr>
              <w:t>试行</w:t>
            </w:r>
            <w:r>
              <w:rPr>
                <w:rFonts w:hint="eastAsia"/>
                <w:sz w:val="24"/>
                <w:highlight w:val="none"/>
              </w:rPr>
              <w:t>）〉的通知》（</w:t>
            </w:r>
            <w:r>
              <w:rPr>
                <w:sz w:val="24"/>
                <w:highlight w:val="none"/>
              </w:rPr>
              <w:t>环发〔20</w:t>
            </w:r>
            <w:r>
              <w:rPr>
                <w:rFonts w:hint="eastAsia"/>
                <w:sz w:val="24"/>
                <w:highlight w:val="none"/>
              </w:rPr>
              <w:t>15</w:t>
            </w:r>
            <w:r>
              <w:rPr>
                <w:sz w:val="24"/>
                <w:highlight w:val="none"/>
              </w:rPr>
              <w:t>〕号</w:t>
            </w:r>
            <w:r>
              <w:rPr>
                <w:rFonts w:hint="eastAsia"/>
                <w:sz w:val="24"/>
                <w:highlight w:val="none"/>
              </w:rPr>
              <w:t>）</w:t>
            </w:r>
            <w:r>
              <w:rPr>
                <w:sz w:val="24"/>
                <w:highlight w:val="none"/>
              </w:rPr>
              <w:t>的相关要求编制环境应急预案，并结合实际情况，开展环境应急预案的培训、宣传和必要的应急演练</w:t>
            </w:r>
            <w:r>
              <w:rPr>
                <w:rFonts w:hint="eastAsia"/>
                <w:sz w:val="24"/>
                <w:highlight w:val="none"/>
              </w:rPr>
              <w:t>，在</w:t>
            </w:r>
            <w:r>
              <w:rPr>
                <w:sz w:val="24"/>
                <w:highlight w:val="none"/>
              </w:rPr>
              <w:t>发生或者可能发生突发环境事件时及时启动环境应急预案，如需进行试生产，要在项目试生产前完成评估与备案，在环境应急预案通过环境应急预案评估并由本单位主要负责人签署</w:t>
            </w:r>
            <w:r>
              <w:rPr>
                <w:rFonts w:hint="eastAsia"/>
                <w:sz w:val="24"/>
                <w:highlight w:val="none"/>
                <w:lang w:val="en-US" w:eastAsia="zh-CN"/>
              </w:rPr>
              <w:t>发布</w:t>
            </w:r>
            <w:r>
              <w:rPr>
                <w:color w:val="0000FF"/>
                <w:sz w:val="24"/>
                <w:highlight w:val="none"/>
              </w:rPr>
              <w:t>之日起</w:t>
            </w:r>
            <w:r>
              <w:rPr>
                <w:rFonts w:hint="eastAsia"/>
                <w:color w:val="0000FF"/>
                <w:sz w:val="24"/>
                <w:highlight w:val="none"/>
              </w:rPr>
              <w:t>20个工作日内，向</w:t>
            </w:r>
            <w:r>
              <w:rPr>
                <w:rFonts w:hint="eastAsia"/>
                <w:color w:val="0000FF"/>
                <w:sz w:val="24"/>
                <w:highlight w:val="none"/>
                <w:lang w:val="en-US" w:eastAsia="zh-CN"/>
              </w:rPr>
              <w:t>企业</w:t>
            </w:r>
            <w:r>
              <w:rPr>
                <w:rFonts w:hint="eastAsia"/>
                <w:color w:val="0000FF"/>
                <w:sz w:val="24"/>
                <w:highlight w:val="none"/>
              </w:rPr>
              <w:t>所在地县级</w:t>
            </w:r>
            <w:r>
              <w:rPr>
                <w:rFonts w:hint="eastAsia"/>
                <w:color w:val="0000FF"/>
                <w:sz w:val="24"/>
                <w:highlight w:val="none"/>
                <w:lang w:val="en-US" w:eastAsia="zh-CN"/>
              </w:rPr>
              <w:t>生态</w:t>
            </w:r>
            <w:r>
              <w:rPr>
                <w:rFonts w:hint="eastAsia"/>
                <w:color w:val="0000FF"/>
                <w:sz w:val="24"/>
                <w:highlight w:val="none"/>
              </w:rPr>
              <w:t>环境主管部门备案</w:t>
            </w:r>
            <w:r>
              <w:rPr>
                <w:sz w:val="24"/>
                <w:highlight w:val="none"/>
              </w:rPr>
              <w:t>。定期开展环境应急演练，加强应急管理和培训，根据演</w:t>
            </w:r>
            <w:r>
              <w:rPr>
                <w:rFonts w:hint="eastAsia"/>
                <w:sz w:val="24"/>
                <w:highlight w:val="none"/>
              </w:rPr>
              <w:t>练中</w:t>
            </w:r>
            <w:r>
              <w:rPr>
                <w:sz w:val="24"/>
                <w:highlight w:val="none"/>
              </w:rPr>
              <w:t>暴露出的问题对预案内容进一步修订完善。</w:t>
            </w:r>
          </w:p>
          <w:p>
            <w:pPr>
              <w:wordWrap w:val="0"/>
              <w:spacing w:line="360" w:lineRule="auto"/>
              <w:ind w:firstLine="480" w:firstLineChars="200"/>
              <w:rPr>
                <w:sz w:val="24"/>
                <w:highlight w:val="none"/>
              </w:rPr>
            </w:pPr>
            <w:r>
              <w:rPr>
                <w:rFonts w:hint="eastAsia"/>
                <w:sz w:val="24"/>
                <w:highlight w:val="none"/>
              </w:rPr>
              <w:t>（6）</w:t>
            </w:r>
            <w:r>
              <w:rPr>
                <w:sz w:val="24"/>
                <w:highlight w:val="none"/>
              </w:rPr>
              <w:t>风险分析结论</w:t>
            </w:r>
          </w:p>
          <w:p>
            <w:pPr>
              <w:wordWrap w:val="0"/>
              <w:spacing w:line="360" w:lineRule="auto"/>
              <w:ind w:firstLine="480" w:firstLineChars="200"/>
              <w:rPr>
                <w:sz w:val="24"/>
                <w:highlight w:val="none"/>
              </w:rPr>
            </w:pPr>
            <w:r>
              <w:rPr>
                <w:sz w:val="24"/>
                <w:highlight w:val="none"/>
              </w:rPr>
              <w:t>建设单位将严格采取实施上述提出的要求措施后，可有效防止项目产生的污染物进入环境，有效降低了对周围环境存在的风险影响。并且通过上述措施，建设单位可将</w:t>
            </w:r>
            <w:r>
              <w:rPr>
                <w:rFonts w:hint="eastAsia"/>
                <w:sz w:val="24"/>
                <w:highlight w:val="none"/>
              </w:rPr>
              <w:t>环境风险</w:t>
            </w:r>
            <w:r>
              <w:rPr>
                <w:sz w:val="24"/>
                <w:highlight w:val="none"/>
              </w:rPr>
              <w:t>在可接受的范围内，不</w:t>
            </w:r>
            <w:r>
              <w:rPr>
                <w:rFonts w:hint="eastAsia"/>
                <w:sz w:val="24"/>
                <w:highlight w:val="none"/>
              </w:rPr>
              <w:t>会对</w:t>
            </w:r>
            <w:r>
              <w:rPr>
                <w:sz w:val="24"/>
                <w:highlight w:val="none"/>
              </w:rPr>
              <w:t>人体及水体、大气、土壤等造成明显</w:t>
            </w:r>
            <w:r>
              <w:rPr>
                <w:rFonts w:hint="eastAsia"/>
                <w:sz w:val="24"/>
                <w:highlight w:val="none"/>
              </w:rPr>
              <w:t>不利影响</w:t>
            </w:r>
            <w:r>
              <w:rPr>
                <w:sz w:val="24"/>
                <w:highlight w:val="none"/>
              </w:rPr>
              <w:t>。</w:t>
            </w:r>
          </w:p>
          <w:p>
            <w:pPr>
              <w:keepNext/>
              <w:keepLines/>
              <w:tabs>
                <w:tab w:val="left" w:pos="720"/>
              </w:tabs>
              <w:spacing w:line="360" w:lineRule="auto"/>
              <w:ind w:firstLine="481" w:firstLineChars="200"/>
              <w:outlineLvl w:val="3"/>
              <w:rPr>
                <w:sz w:val="24"/>
                <w:szCs w:val="20"/>
                <w:highlight w:val="none"/>
                <w:lang w:val="zh-CN"/>
              </w:rPr>
            </w:pPr>
            <w:r>
              <w:rPr>
                <w:b/>
                <w:bCs/>
                <w:sz w:val="24"/>
                <w:szCs w:val="20"/>
                <w:highlight w:val="none"/>
              </w:rPr>
              <w:t>7</w:t>
            </w:r>
            <w:r>
              <w:rPr>
                <w:b/>
                <w:bCs/>
                <w:sz w:val="24"/>
                <w:szCs w:val="20"/>
                <w:highlight w:val="none"/>
                <w:lang w:val="zh-CN"/>
              </w:rPr>
              <w:t>、环境管理</w:t>
            </w:r>
          </w:p>
          <w:p>
            <w:pPr>
              <w:keepNext/>
              <w:keepLines/>
              <w:tabs>
                <w:tab w:val="left" w:pos="720"/>
              </w:tabs>
              <w:spacing w:line="360" w:lineRule="auto"/>
              <w:ind w:firstLine="480" w:firstLineChars="200"/>
              <w:outlineLvl w:val="3"/>
              <w:rPr>
                <w:sz w:val="24"/>
                <w:szCs w:val="20"/>
                <w:highlight w:val="none"/>
                <w:lang w:val="zh-CN"/>
              </w:rPr>
            </w:pPr>
            <w:r>
              <w:rPr>
                <w:rFonts w:hint="eastAsia"/>
                <w:sz w:val="24"/>
                <w:szCs w:val="20"/>
                <w:highlight w:val="none"/>
                <w:lang w:val="zh-CN"/>
              </w:rPr>
              <w:t>根据本项目的生产特点，对环境管理机构的设置建议如下：</w:t>
            </w:r>
          </w:p>
          <w:p>
            <w:pPr>
              <w:keepNext/>
              <w:keepLines/>
              <w:tabs>
                <w:tab w:val="left" w:pos="720"/>
              </w:tabs>
              <w:spacing w:line="360" w:lineRule="auto"/>
              <w:ind w:firstLine="480" w:firstLineChars="200"/>
              <w:outlineLvl w:val="3"/>
              <w:rPr>
                <w:rFonts w:ascii="宋体" w:hAnsi="仿宋" w:cs="仿宋"/>
                <w:spacing w:val="-4"/>
                <w:sz w:val="24"/>
                <w:szCs w:val="32"/>
                <w:highlight w:val="none"/>
                <w:lang w:val="zh-CN" w:bidi="zh-CN"/>
              </w:rPr>
            </w:pPr>
            <w:r>
              <w:rPr>
                <w:rFonts w:hint="eastAsia"/>
                <w:sz w:val="24"/>
                <w:szCs w:val="20"/>
                <w:highlight w:val="none"/>
                <w:lang w:val="zh-CN"/>
              </w:rPr>
              <w:t>环境管理应由总经理主管负责，下设环境保护专职机构，</w:t>
            </w:r>
            <w:r>
              <w:rPr>
                <w:rFonts w:hint="eastAsia" w:ascii="宋体" w:hAnsi="仿宋" w:cs="仿宋"/>
                <w:spacing w:val="-4"/>
                <w:sz w:val="24"/>
                <w:szCs w:val="32"/>
                <w:highlight w:val="none"/>
                <w:lang w:val="zh-CN" w:bidi="zh-CN"/>
              </w:rPr>
              <w:t>并与各职能部门保持密切的联系，由专职环境保护管理和工作人员实施全公司的环境管理工作，其主要职责是：</w:t>
            </w:r>
          </w:p>
          <w:p>
            <w:pPr>
              <w:spacing w:line="364" w:lineRule="auto"/>
              <w:ind w:left="532" w:right="82"/>
              <w:rPr>
                <w:rFonts w:ascii="宋体" w:hAnsi="仿宋" w:cs="仿宋"/>
                <w:spacing w:val="-4"/>
                <w:sz w:val="24"/>
                <w:szCs w:val="32"/>
                <w:highlight w:val="none"/>
                <w:lang w:val="zh-CN" w:bidi="zh-CN"/>
              </w:rPr>
            </w:pPr>
            <w:r>
              <w:rPr>
                <w:spacing w:val="-4"/>
                <w:sz w:val="24"/>
                <w:szCs w:val="32"/>
                <w:highlight w:val="none"/>
                <w:lang w:val="zh-CN" w:bidi="zh-CN"/>
              </w:rPr>
              <w:t>①</w:t>
            </w:r>
            <w:r>
              <w:rPr>
                <w:rFonts w:hint="eastAsia"/>
                <w:spacing w:val="-4"/>
                <w:sz w:val="24"/>
                <w:szCs w:val="32"/>
                <w:highlight w:val="none"/>
                <w:lang w:val="en-US" w:bidi="zh-CN"/>
              </w:rPr>
              <w:t>贯</w:t>
            </w:r>
            <w:r>
              <w:rPr>
                <w:rFonts w:hint="eastAsia" w:ascii="宋体" w:hAnsi="仿宋" w:cs="仿宋"/>
                <w:spacing w:val="-4"/>
                <w:sz w:val="24"/>
                <w:szCs w:val="32"/>
                <w:highlight w:val="none"/>
                <w:lang w:val="zh-CN" w:bidi="zh-CN"/>
              </w:rPr>
              <w:t>彻执行国家和地方的环境保护法规和标准；</w:t>
            </w:r>
          </w:p>
          <w:p>
            <w:pPr>
              <w:spacing w:line="364" w:lineRule="auto"/>
              <w:ind w:left="112" w:right="82" w:firstLine="420"/>
              <w:rPr>
                <w:rFonts w:ascii="宋体" w:hAnsi="仿宋" w:cs="仿宋"/>
                <w:spacing w:val="-4"/>
                <w:sz w:val="24"/>
                <w:szCs w:val="32"/>
                <w:highlight w:val="none"/>
                <w:lang w:val="zh-CN" w:bidi="zh-CN"/>
              </w:rPr>
            </w:pPr>
            <w:r>
              <w:rPr>
                <w:rFonts w:hint="eastAsia" w:ascii="宋体" w:hAnsi="仿宋" w:cs="仿宋"/>
                <w:spacing w:val="-4"/>
                <w:sz w:val="24"/>
                <w:szCs w:val="32"/>
                <w:highlight w:val="none"/>
                <w:lang w:val="zh-CN" w:bidi="zh-CN"/>
              </w:rPr>
              <w:t>②接受生态环境主管部门的检查监督，定期上报各项环境管理工作的执行情况；</w:t>
            </w:r>
          </w:p>
          <w:p>
            <w:pPr>
              <w:spacing w:line="364" w:lineRule="auto"/>
              <w:ind w:left="112" w:right="82" w:firstLine="420"/>
              <w:rPr>
                <w:rFonts w:ascii="宋体" w:hAnsi="仿宋" w:cs="仿宋"/>
                <w:spacing w:val="-4"/>
                <w:sz w:val="24"/>
                <w:szCs w:val="32"/>
                <w:highlight w:val="none"/>
                <w:lang w:val="zh-CN" w:bidi="zh-CN"/>
              </w:rPr>
            </w:pPr>
            <w:r>
              <w:rPr>
                <w:rFonts w:hint="eastAsia" w:ascii="宋体" w:hAnsi="仿宋" w:cs="仿宋"/>
                <w:spacing w:val="-4"/>
                <w:sz w:val="24"/>
                <w:szCs w:val="32"/>
                <w:highlight w:val="none"/>
                <w:lang w:val="zh-CN" w:bidi="zh-CN"/>
              </w:rPr>
              <w:t>③组织制定公司各部门的环境管理规章制度；</w:t>
            </w:r>
          </w:p>
          <w:p>
            <w:pPr>
              <w:spacing w:line="364" w:lineRule="auto"/>
              <w:ind w:left="112" w:right="82" w:firstLine="420"/>
              <w:rPr>
                <w:rFonts w:ascii="宋体" w:hAnsi="仿宋" w:cs="仿宋"/>
                <w:spacing w:val="-4"/>
                <w:sz w:val="24"/>
                <w:szCs w:val="32"/>
                <w:highlight w:val="none"/>
                <w:lang w:val="zh-CN" w:bidi="zh-CN"/>
              </w:rPr>
            </w:pPr>
            <w:r>
              <w:rPr>
                <w:rFonts w:hint="eastAsia" w:ascii="宋体" w:hAnsi="仿宋" w:cs="仿宋"/>
                <w:spacing w:val="-4"/>
                <w:sz w:val="24"/>
                <w:szCs w:val="32"/>
                <w:highlight w:val="none"/>
                <w:lang w:val="zh-CN" w:bidi="zh-CN"/>
              </w:rPr>
              <w:t>④负责环保设施的正常运转，以及环境监测计划的实施。</w:t>
            </w:r>
          </w:p>
          <w:p>
            <w:pPr>
              <w:spacing w:line="360" w:lineRule="auto"/>
              <w:ind w:firstLine="481" w:firstLineChars="200"/>
              <w:rPr>
                <w:b/>
                <w:bCs/>
                <w:sz w:val="24"/>
                <w:highlight w:val="none"/>
              </w:rPr>
            </w:pPr>
            <w:bookmarkStart w:id="10" w:name="_Toc17979"/>
            <w:bookmarkStart w:id="11" w:name="_Toc24958"/>
            <w:bookmarkStart w:id="12" w:name="_Toc6156"/>
            <w:bookmarkStart w:id="13" w:name="_Toc22915"/>
            <w:bookmarkStart w:id="14" w:name="_Toc15128"/>
            <w:bookmarkStart w:id="15" w:name="_Toc28728"/>
            <w:bookmarkStart w:id="16" w:name="_Toc396723244"/>
            <w:bookmarkStart w:id="17" w:name="_Toc130"/>
            <w:bookmarkStart w:id="18" w:name="_Toc23293"/>
            <w:bookmarkStart w:id="19" w:name="_Toc337733282"/>
            <w:bookmarkStart w:id="20" w:name="_Toc8444"/>
            <w:bookmarkStart w:id="21" w:name="_Toc655"/>
            <w:bookmarkStart w:id="22" w:name="_Toc320797716"/>
            <w:r>
              <w:rPr>
                <w:rFonts w:hint="eastAsia"/>
                <w:b/>
                <w:bCs/>
                <w:sz w:val="24"/>
                <w:highlight w:val="none"/>
              </w:rPr>
              <w:t>8、</w:t>
            </w:r>
            <w:r>
              <w:rPr>
                <w:b/>
                <w:bCs/>
                <w:sz w:val="24"/>
                <w:highlight w:val="none"/>
              </w:rPr>
              <w:t>排污口规范化要求</w:t>
            </w:r>
            <w:bookmarkEnd w:id="10"/>
            <w:bookmarkEnd w:id="11"/>
            <w:bookmarkEnd w:id="12"/>
            <w:bookmarkEnd w:id="13"/>
            <w:bookmarkEnd w:id="14"/>
            <w:bookmarkEnd w:id="15"/>
            <w:bookmarkEnd w:id="16"/>
            <w:bookmarkEnd w:id="17"/>
            <w:bookmarkEnd w:id="18"/>
            <w:bookmarkEnd w:id="19"/>
            <w:bookmarkEnd w:id="20"/>
            <w:bookmarkEnd w:id="21"/>
            <w:bookmarkEnd w:id="22"/>
          </w:p>
          <w:p>
            <w:pPr>
              <w:spacing w:line="360" w:lineRule="auto"/>
              <w:ind w:firstLine="480" w:firstLineChars="200"/>
              <w:rPr>
                <w:sz w:val="24"/>
                <w:highlight w:val="none"/>
              </w:rPr>
            </w:pPr>
            <w:r>
              <w:rPr>
                <w:sz w:val="24"/>
                <w:highlight w:val="none"/>
              </w:rPr>
              <w:t>根据国家标准《环境保护图形标志-排放口（源）》和国家环保总局《排污口规范化整治要求（试行）》的技术要求，企业所有排放口，包括水、气、声、固体废物，必须按照</w:t>
            </w:r>
            <w:r>
              <w:rPr>
                <w:rFonts w:hint="eastAsia"/>
                <w:sz w:val="24"/>
                <w:highlight w:val="none"/>
              </w:rPr>
              <w:t>“</w:t>
            </w:r>
            <w:r>
              <w:rPr>
                <w:sz w:val="24"/>
                <w:highlight w:val="none"/>
              </w:rPr>
              <w:t>便于计量监测、便于日常现场监督检查</w:t>
            </w:r>
            <w:r>
              <w:rPr>
                <w:rFonts w:hint="eastAsia"/>
                <w:sz w:val="24"/>
                <w:highlight w:val="none"/>
              </w:rPr>
              <w:t>”</w:t>
            </w:r>
            <w:r>
              <w:rPr>
                <w:sz w:val="24"/>
                <w:highlight w:val="none"/>
              </w:rPr>
              <w:t>的原则和规范化要求，设置与之相适应的环境保护图形标志牌，绘制企业排污口分布图，同时对污水排放口安装流量计，对治理设施安装运行监控装置。排污口的规范化要符合</w:t>
            </w:r>
            <w:r>
              <w:rPr>
                <w:rFonts w:hint="eastAsia"/>
                <w:sz w:val="24"/>
                <w:highlight w:val="none"/>
              </w:rPr>
              <w:t>生态环境</w:t>
            </w:r>
            <w:r>
              <w:rPr>
                <w:sz w:val="24"/>
                <w:highlight w:val="none"/>
              </w:rPr>
              <w:t>部门的有关要求。</w:t>
            </w:r>
          </w:p>
          <w:p>
            <w:pPr>
              <w:spacing w:line="360" w:lineRule="auto"/>
              <w:ind w:firstLine="480" w:firstLineChars="200"/>
              <w:rPr>
                <w:sz w:val="24"/>
                <w:highlight w:val="none"/>
              </w:rPr>
            </w:pPr>
            <w:r>
              <w:rPr>
                <w:rFonts w:hint="eastAsia"/>
                <w:sz w:val="24"/>
                <w:highlight w:val="none"/>
              </w:rPr>
              <w:t>（1）</w:t>
            </w:r>
            <w:r>
              <w:rPr>
                <w:sz w:val="24"/>
                <w:highlight w:val="none"/>
              </w:rPr>
              <w:t>排放口整治要求</w:t>
            </w:r>
          </w:p>
          <w:p>
            <w:pPr>
              <w:spacing w:line="360" w:lineRule="auto"/>
              <w:ind w:firstLine="480" w:firstLineChars="200"/>
              <w:rPr>
                <w:sz w:val="24"/>
                <w:highlight w:val="none"/>
              </w:rPr>
            </w:pPr>
            <w:r>
              <w:rPr>
                <w:sz w:val="24"/>
                <w:highlight w:val="none"/>
              </w:rPr>
              <w:t>废水排污口、废气排气筒应设置便于采样、监测</w:t>
            </w:r>
            <w:r>
              <w:rPr>
                <w:rFonts w:hint="eastAsia"/>
                <w:sz w:val="24"/>
                <w:highlight w:val="none"/>
              </w:rPr>
              <w:t>，</w:t>
            </w:r>
            <w:r>
              <w:rPr>
                <w:sz w:val="24"/>
                <w:highlight w:val="none"/>
              </w:rPr>
              <w:t>并符合</w:t>
            </w:r>
            <w:r>
              <w:rPr>
                <w:rFonts w:hint="eastAsia"/>
                <w:color w:val="0000FF"/>
                <w:sz w:val="24"/>
                <w:highlight w:val="none"/>
              </w:rPr>
              <w:t>《固定源废气监测技术规范》（HJ/T 397-2007）、《排污单位污染物排放口监测点位设置技术规范》（HJ 1405-2024）</w:t>
            </w:r>
            <w:r>
              <w:rPr>
                <w:sz w:val="24"/>
                <w:highlight w:val="none"/>
              </w:rPr>
              <w:t>要求的采样口和采样平台，无法满足</w:t>
            </w:r>
            <w:r>
              <w:rPr>
                <w:rFonts w:hint="eastAsia"/>
                <w:sz w:val="24"/>
                <w:highlight w:val="none"/>
                <w:lang w:val="en-US" w:eastAsia="zh-CN"/>
              </w:rPr>
              <w:t>规范</w:t>
            </w:r>
            <w:r>
              <w:rPr>
                <w:sz w:val="24"/>
                <w:highlight w:val="none"/>
              </w:rPr>
              <w:t>要求的应由环境监测部门确认采样口位置。对无组织排放的有毒有害气体，应加装引风装置，进行收集、处理，并设置采样点。固体废物贮存、堆放场整治要求。一般固体废物应设置专用贮存、堆放场地。有毒有害固体废物等废物应设置有防扬散、防流失、防渗漏等防治措施的专用堆放场所。在厂界噪声敏感处按</w:t>
            </w:r>
            <w:r>
              <w:rPr>
                <w:rFonts w:hint="eastAsia"/>
                <w:color w:val="0000FF"/>
                <w:sz w:val="24"/>
                <w:highlight w:val="none"/>
              </w:rPr>
              <w:t>《排污单位污染物排放口监测点位设置技术规范》（HJ 1405-2024）</w:t>
            </w:r>
            <w:r>
              <w:rPr>
                <w:sz w:val="24"/>
                <w:highlight w:val="none"/>
              </w:rPr>
              <w:t>设置该噪声源的监测点。具体要求如下：</w:t>
            </w:r>
          </w:p>
          <w:p>
            <w:pPr>
              <w:spacing w:line="360" w:lineRule="auto"/>
              <w:ind w:firstLine="480" w:firstLineChars="200"/>
              <w:rPr>
                <w:sz w:val="24"/>
                <w:highlight w:val="none"/>
              </w:rPr>
            </w:pPr>
            <w:r>
              <w:rPr>
                <w:rFonts w:hint="eastAsia"/>
                <w:sz w:val="24"/>
                <w:highlight w:val="none"/>
              </w:rPr>
              <w:t>①</w:t>
            </w:r>
            <w:r>
              <w:rPr>
                <w:sz w:val="24"/>
                <w:highlight w:val="none"/>
              </w:rPr>
              <w:t>废水排放口</w:t>
            </w:r>
          </w:p>
          <w:p>
            <w:pPr>
              <w:spacing w:line="360" w:lineRule="auto"/>
              <w:ind w:firstLine="480" w:firstLineChars="200"/>
              <w:rPr>
                <w:sz w:val="24"/>
                <w:highlight w:val="none"/>
              </w:rPr>
            </w:pPr>
            <w:r>
              <w:rPr>
                <w:sz w:val="24"/>
                <w:highlight w:val="none"/>
              </w:rPr>
              <w:t>项目污水管网</w:t>
            </w:r>
            <w:r>
              <w:rPr>
                <w:rFonts w:hint="eastAsia"/>
                <w:sz w:val="24"/>
                <w:highlight w:val="none"/>
              </w:rPr>
              <w:t>和</w:t>
            </w:r>
            <w:r>
              <w:rPr>
                <w:sz w:val="24"/>
                <w:highlight w:val="none"/>
              </w:rPr>
              <w:t>废水排放口必须满足</w:t>
            </w:r>
            <w:r>
              <w:rPr>
                <w:rFonts w:hint="eastAsia"/>
                <w:color w:val="0000FF"/>
                <w:sz w:val="24"/>
                <w:highlight w:val="none"/>
              </w:rPr>
              <w:t>《排污单位污染物排放口监测点位设置技术规范》（HJ 1405-2024）</w:t>
            </w:r>
            <w:r>
              <w:rPr>
                <w:sz w:val="24"/>
                <w:highlight w:val="none"/>
              </w:rPr>
              <w:t>要求。</w:t>
            </w:r>
          </w:p>
          <w:p>
            <w:pPr>
              <w:spacing w:line="360" w:lineRule="auto"/>
              <w:ind w:firstLine="480" w:firstLineChars="200"/>
              <w:rPr>
                <w:sz w:val="24"/>
                <w:highlight w:val="none"/>
              </w:rPr>
            </w:pPr>
            <w:r>
              <w:rPr>
                <w:rFonts w:hint="eastAsia"/>
                <w:sz w:val="24"/>
                <w:highlight w:val="none"/>
              </w:rPr>
              <w:t>②</w:t>
            </w:r>
            <w:r>
              <w:rPr>
                <w:sz w:val="24"/>
                <w:highlight w:val="none"/>
              </w:rPr>
              <w:t>废气排放口</w:t>
            </w:r>
          </w:p>
          <w:p>
            <w:pPr>
              <w:spacing w:line="360" w:lineRule="auto"/>
              <w:ind w:firstLine="480" w:firstLineChars="200"/>
              <w:rPr>
                <w:sz w:val="24"/>
                <w:highlight w:val="none"/>
              </w:rPr>
            </w:pPr>
            <w:r>
              <w:rPr>
                <w:sz w:val="24"/>
                <w:highlight w:val="none"/>
              </w:rPr>
              <w:t>废气排放口必须符合规定的高度和按</w:t>
            </w:r>
            <w:r>
              <w:rPr>
                <w:rFonts w:hint="eastAsia"/>
                <w:color w:val="0000FF"/>
                <w:sz w:val="24"/>
                <w:highlight w:val="none"/>
              </w:rPr>
              <w:t>《固定源废气监测技术规范》（HJ/T 397-2007）、《排污单位污染物排放口监测点位设置技术规范》（HJ 1405-2024）</w:t>
            </w:r>
            <w:r>
              <w:rPr>
                <w:sz w:val="24"/>
                <w:highlight w:val="none"/>
              </w:rPr>
              <w:t>便于采样、监测的要求，设置直径不小于75mm的采样口。如无法满足要求的，其采样口与环境监测部门共同确认。</w:t>
            </w:r>
          </w:p>
          <w:p>
            <w:pPr>
              <w:spacing w:line="360" w:lineRule="auto"/>
              <w:ind w:firstLine="480" w:firstLineChars="200"/>
              <w:rPr>
                <w:sz w:val="24"/>
                <w:highlight w:val="none"/>
              </w:rPr>
            </w:pPr>
            <w:r>
              <w:rPr>
                <w:rFonts w:hint="eastAsia"/>
                <w:sz w:val="24"/>
                <w:highlight w:val="none"/>
              </w:rPr>
              <w:t>③</w:t>
            </w:r>
            <w:r>
              <w:rPr>
                <w:sz w:val="24"/>
                <w:highlight w:val="none"/>
              </w:rPr>
              <w:t>固定噪声源</w:t>
            </w:r>
          </w:p>
          <w:p>
            <w:pPr>
              <w:spacing w:line="360" w:lineRule="auto"/>
              <w:ind w:firstLine="480" w:firstLineChars="200"/>
              <w:rPr>
                <w:sz w:val="24"/>
                <w:highlight w:val="none"/>
              </w:rPr>
            </w:pPr>
            <w:r>
              <w:rPr>
                <w:sz w:val="24"/>
                <w:highlight w:val="none"/>
              </w:rPr>
              <w:t>按规定对固定噪声源进行治理，并在边界噪声敏感点，且对外界影响最大处设置标志牌。</w:t>
            </w:r>
          </w:p>
          <w:p>
            <w:pPr>
              <w:spacing w:line="360" w:lineRule="auto"/>
              <w:ind w:firstLine="480" w:firstLineChars="200"/>
              <w:rPr>
                <w:sz w:val="24"/>
                <w:highlight w:val="none"/>
              </w:rPr>
            </w:pPr>
            <w:r>
              <w:rPr>
                <w:rFonts w:hint="eastAsia"/>
                <w:sz w:val="24"/>
                <w:highlight w:val="none"/>
              </w:rPr>
              <w:t>④</w:t>
            </w:r>
            <w:r>
              <w:rPr>
                <w:sz w:val="24"/>
                <w:highlight w:val="none"/>
              </w:rPr>
              <w:t>固体废物储存场</w:t>
            </w:r>
          </w:p>
          <w:p>
            <w:pPr>
              <w:spacing w:line="360" w:lineRule="auto"/>
              <w:ind w:firstLine="480" w:firstLineChars="200"/>
              <w:rPr>
                <w:sz w:val="24"/>
                <w:highlight w:val="none"/>
              </w:rPr>
            </w:pPr>
            <w:r>
              <w:rPr>
                <w:sz w:val="24"/>
                <w:highlight w:val="none"/>
              </w:rPr>
              <w:t>固体废物应采取防止二次扬尘措施，废物的堆存场必须设置专用堆放场地，有防扬散、防流失、防渗漏等措施。</w:t>
            </w:r>
          </w:p>
          <w:p>
            <w:pPr>
              <w:spacing w:line="360" w:lineRule="auto"/>
              <w:ind w:firstLine="480" w:firstLineChars="200"/>
              <w:rPr>
                <w:sz w:val="24"/>
                <w:highlight w:val="none"/>
              </w:rPr>
            </w:pPr>
            <w:r>
              <w:rPr>
                <w:rFonts w:hint="eastAsia"/>
                <w:sz w:val="24"/>
                <w:highlight w:val="none"/>
              </w:rPr>
              <w:t>（2）</w:t>
            </w:r>
            <w:r>
              <w:rPr>
                <w:sz w:val="24"/>
                <w:highlight w:val="none"/>
              </w:rPr>
              <w:t>排放口立标、建档要求</w:t>
            </w:r>
          </w:p>
          <w:p>
            <w:pPr>
              <w:spacing w:line="360" w:lineRule="auto"/>
              <w:ind w:firstLine="480" w:firstLineChars="200"/>
              <w:rPr>
                <w:sz w:val="24"/>
                <w:highlight w:val="none"/>
              </w:rPr>
            </w:pPr>
            <w:r>
              <w:rPr>
                <w:rFonts w:hint="eastAsia"/>
                <w:sz w:val="24"/>
                <w:highlight w:val="none"/>
              </w:rPr>
              <w:t>①</w:t>
            </w:r>
            <w:r>
              <w:rPr>
                <w:sz w:val="24"/>
                <w:highlight w:val="none"/>
              </w:rPr>
              <w:t>排放口立标要求</w:t>
            </w:r>
          </w:p>
          <w:p>
            <w:pPr>
              <w:spacing w:line="360" w:lineRule="auto"/>
              <w:ind w:firstLine="480" w:firstLineChars="200"/>
              <w:rPr>
                <w:sz w:val="24"/>
                <w:highlight w:val="none"/>
              </w:rPr>
            </w:pPr>
            <w:r>
              <w:rPr>
                <w:sz w:val="24"/>
                <w:highlight w:val="none"/>
              </w:rPr>
              <w:t>污染物排放口（源）及固体废物贮存、堆放场必须按照国家标准《环境保护图形标志》</w:t>
            </w:r>
            <w:r>
              <w:rPr>
                <w:rFonts w:hint="eastAsia"/>
                <w:sz w:val="24"/>
                <w:highlight w:val="none"/>
              </w:rPr>
              <w:t>（</w:t>
            </w:r>
            <w:r>
              <w:rPr>
                <w:sz w:val="24"/>
                <w:highlight w:val="none"/>
              </w:rPr>
              <w:t>GB15562.1-1995</w:t>
            </w:r>
            <w:r>
              <w:rPr>
                <w:rFonts w:hint="eastAsia"/>
                <w:sz w:val="24"/>
                <w:highlight w:val="none"/>
              </w:rPr>
              <w:t>）</w:t>
            </w:r>
            <w:r>
              <w:rPr>
                <w:sz w:val="24"/>
                <w:highlight w:val="none"/>
              </w:rPr>
              <w:t>的规定设置与之相适应的环境保护图形标志牌。环境保护图形标志牌设置位置应距污染物排放口（源）、固体废物贮存</w:t>
            </w:r>
            <w:r>
              <w:rPr>
                <w:rFonts w:hint="eastAsia"/>
                <w:sz w:val="24"/>
                <w:highlight w:val="none"/>
              </w:rPr>
              <w:t>（</w:t>
            </w:r>
            <w:r>
              <w:rPr>
                <w:sz w:val="24"/>
                <w:highlight w:val="none"/>
              </w:rPr>
              <w:t>堆放</w:t>
            </w:r>
            <w:r>
              <w:rPr>
                <w:rFonts w:hint="eastAsia"/>
                <w:sz w:val="24"/>
                <w:highlight w:val="none"/>
              </w:rPr>
              <w:t>）</w:t>
            </w:r>
            <w:r>
              <w:rPr>
                <w:sz w:val="24"/>
                <w:highlight w:val="none"/>
              </w:rPr>
              <w:t>场或采样点较近且醒目处，并能长久保留。一般污染物排放口（源）、固体废物贮存（堆放）场设置提示性环境保护图形标志牌；危险废物贮存（堆放）场应设置警告性环境保护图形标志牌。</w:t>
            </w:r>
          </w:p>
          <w:p>
            <w:pPr>
              <w:spacing w:line="360" w:lineRule="auto"/>
              <w:ind w:firstLine="480" w:firstLineChars="200"/>
              <w:rPr>
                <w:sz w:val="24"/>
                <w:highlight w:val="none"/>
              </w:rPr>
            </w:pPr>
            <w:r>
              <w:rPr>
                <w:rFonts w:hint="eastAsia"/>
                <w:sz w:val="24"/>
                <w:highlight w:val="none"/>
              </w:rPr>
              <w:t>②</w:t>
            </w:r>
            <w:r>
              <w:rPr>
                <w:sz w:val="24"/>
                <w:highlight w:val="none"/>
              </w:rPr>
              <w:t>排放口建档要求</w:t>
            </w:r>
          </w:p>
          <w:p>
            <w:pPr>
              <w:spacing w:line="360" w:lineRule="auto"/>
              <w:ind w:firstLine="480" w:firstLineChars="200"/>
              <w:rPr>
                <w:sz w:val="24"/>
                <w:highlight w:val="none"/>
              </w:rPr>
            </w:pPr>
            <w:r>
              <w:rPr>
                <w:sz w:val="24"/>
                <w:highlight w:val="none"/>
              </w:rPr>
              <w:t>建设单位应使用</w:t>
            </w:r>
            <w:r>
              <w:rPr>
                <w:rFonts w:hint="eastAsia"/>
                <w:sz w:val="24"/>
                <w:highlight w:val="none"/>
                <w:lang w:val="en-US" w:eastAsia="zh-CN"/>
              </w:rPr>
              <w:t>生态环境</w:t>
            </w:r>
            <w:r>
              <w:rPr>
                <w:sz w:val="24"/>
                <w:highlight w:val="none"/>
              </w:rPr>
              <w:t>部门</w:t>
            </w:r>
            <w:r>
              <w:rPr>
                <w:rFonts w:hint="eastAsia"/>
                <w:sz w:val="24"/>
                <w:highlight w:val="none"/>
              </w:rPr>
              <w:t>签发</w:t>
            </w:r>
            <w:r>
              <w:rPr>
                <w:sz w:val="24"/>
                <w:highlight w:val="none"/>
              </w:rPr>
              <w:t>的《中华人民共和国规范化排放口登记证》并按要求认真填写。登记证与标志牌配套使用，根据登记证的内容建立排放口管理档案，包括排污单位名称、排污口性质及编号、排污口地理位置、排放主要污染物种类、数量、浓度、排污去向、立标情况、处理设施运行情况及整改意见等。</w:t>
            </w:r>
          </w:p>
          <w:p>
            <w:pPr>
              <w:spacing w:line="360" w:lineRule="auto"/>
              <w:ind w:firstLine="480" w:firstLineChars="200"/>
              <w:rPr>
                <w:sz w:val="24"/>
                <w:highlight w:val="none"/>
              </w:rPr>
            </w:pPr>
            <w:r>
              <w:rPr>
                <w:sz w:val="24"/>
                <w:highlight w:val="none"/>
              </w:rPr>
              <w:t>水、气、声、固排污口（源）挂牌标识</w:t>
            </w:r>
            <w:r>
              <w:rPr>
                <w:rFonts w:hint="eastAsia"/>
                <w:sz w:val="24"/>
                <w:highlight w:val="none"/>
              </w:rPr>
              <w:t>见</w:t>
            </w:r>
            <w:r>
              <w:rPr>
                <w:sz w:val="24"/>
                <w:highlight w:val="none"/>
              </w:rPr>
              <w:t>表</w:t>
            </w:r>
            <w:r>
              <w:rPr>
                <w:rFonts w:hint="eastAsia"/>
                <w:sz w:val="24"/>
                <w:highlight w:val="none"/>
              </w:rPr>
              <w:t>4-21</w:t>
            </w:r>
            <w:r>
              <w:rPr>
                <w:sz w:val="24"/>
                <w:highlight w:val="none"/>
              </w:rPr>
              <w:t>。</w:t>
            </w:r>
          </w:p>
          <w:p>
            <w:pPr>
              <w:jc w:val="center"/>
              <w:rPr>
                <w:b/>
                <w:bCs/>
                <w:highlight w:val="none"/>
              </w:rPr>
            </w:pPr>
            <w:r>
              <w:rPr>
                <w:b/>
                <w:bCs/>
                <w:highlight w:val="none"/>
              </w:rPr>
              <w:t>表</w:t>
            </w:r>
            <w:r>
              <w:rPr>
                <w:rFonts w:hint="eastAsia"/>
                <w:b/>
                <w:bCs/>
                <w:highlight w:val="none"/>
              </w:rPr>
              <w:t>4-21</w:t>
            </w:r>
            <w:r>
              <w:rPr>
                <w:b/>
                <w:bCs/>
                <w:highlight w:val="none"/>
              </w:rPr>
              <w:t xml:space="preserve"> </w:t>
            </w:r>
            <w:r>
              <w:rPr>
                <w:rFonts w:hint="eastAsia"/>
                <w:b/>
                <w:bCs/>
                <w:highlight w:val="none"/>
              </w:rPr>
              <w:t xml:space="preserve"> </w:t>
            </w:r>
            <w:r>
              <w:rPr>
                <w:b/>
                <w:bCs/>
                <w:highlight w:val="none"/>
              </w:rPr>
              <w:t>环境保护图形符号一览表</w:t>
            </w:r>
          </w:p>
          <w:tbl>
            <w:tblPr>
              <w:tblStyle w:val="39"/>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881"/>
              <w:gridCol w:w="1702"/>
              <w:gridCol w:w="1605"/>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vAlign w:val="center"/>
                </w:tcPr>
                <w:p>
                  <w:pPr>
                    <w:jc w:val="center"/>
                    <w:rPr>
                      <w:highlight w:val="none"/>
                    </w:rPr>
                  </w:pPr>
                  <w:r>
                    <w:rPr>
                      <w:b/>
                      <w:bCs/>
                      <w:highlight w:val="none"/>
                    </w:rPr>
                    <w:t>序号</w:t>
                  </w:r>
                </w:p>
              </w:tc>
              <w:tc>
                <w:tcPr>
                  <w:tcW w:w="1881" w:type="dxa"/>
                  <w:vAlign w:val="center"/>
                </w:tcPr>
                <w:p>
                  <w:pPr>
                    <w:jc w:val="center"/>
                    <w:rPr>
                      <w:szCs w:val="21"/>
                      <w:highlight w:val="none"/>
                    </w:rPr>
                  </w:pPr>
                  <w:r>
                    <w:rPr>
                      <w:b/>
                      <w:bCs/>
                      <w:highlight w:val="none"/>
                    </w:rPr>
                    <w:t>提示图形符号</w:t>
                  </w:r>
                </w:p>
              </w:tc>
              <w:tc>
                <w:tcPr>
                  <w:tcW w:w="1702" w:type="dxa"/>
                  <w:vAlign w:val="center"/>
                </w:tcPr>
                <w:p>
                  <w:pPr>
                    <w:jc w:val="center"/>
                    <w:rPr>
                      <w:highlight w:val="none"/>
                    </w:rPr>
                  </w:pPr>
                  <w:r>
                    <w:rPr>
                      <w:b/>
                      <w:bCs/>
                      <w:highlight w:val="none"/>
                    </w:rPr>
                    <w:t>警告图形符号</w:t>
                  </w:r>
                </w:p>
              </w:tc>
              <w:tc>
                <w:tcPr>
                  <w:tcW w:w="1605" w:type="dxa"/>
                  <w:vAlign w:val="center"/>
                </w:tcPr>
                <w:p>
                  <w:pPr>
                    <w:jc w:val="center"/>
                    <w:rPr>
                      <w:highlight w:val="none"/>
                    </w:rPr>
                  </w:pPr>
                  <w:r>
                    <w:rPr>
                      <w:b/>
                      <w:bCs/>
                      <w:highlight w:val="none"/>
                    </w:rPr>
                    <w:t>名称</w:t>
                  </w:r>
                </w:p>
              </w:tc>
              <w:tc>
                <w:tcPr>
                  <w:tcW w:w="2608" w:type="dxa"/>
                  <w:tcBorders>
                    <w:right w:val="nil"/>
                  </w:tcBorders>
                  <w:vAlign w:val="center"/>
                </w:tcPr>
                <w:p>
                  <w:pPr>
                    <w:jc w:val="center"/>
                    <w:rPr>
                      <w:highlight w:val="none"/>
                    </w:rPr>
                  </w:pPr>
                  <w:r>
                    <w:rPr>
                      <w:b/>
                      <w:bCs/>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vAlign w:val="center"/>
                </w:tcPr>
                <w:p>
                  <w:pPr>
                    <w:jc w:val="center"/>
                    <w:rPr>
                      <w:highlight w:val="none"/>
                    </w:rPr>
                  </w:pPr>
                  <w:r>
                    <w:rPr>
                      <w:highlight w:val="none"/>
                    </w:rPr>
                    <w:t>1</w:t>
                  </w:r>
                </w:p>
              </w:tc>
              <w:tc>
                <w:tcPr>
                  <w:tcW w:w="1881" w:type="dxa"/>
                  <w:vAlign w:val="center"/>
                </w:tcPr>
                <w:p>
                  <w:pPr>
                    <w:jc w:val="center"/>
                    <w:rPr>
                      <w:highlight w:val="none"/>
                    </w:rPr>
                  </w:pPr>
                  <w:r>
                    <w:rPr>
                      <w:szCs w:val="21"/>
                      <w:highlight w:val="none"/>
                    </w:rPr>
                    <w:fldChar w:fldCharType="begin"/>
                  </w:r>
                  <w:r>
                    <w:rPr>
                      <w:szCs w:val="21"/>
                      <w:highlight w:val="none"/>
                    </w:rPr>
                    <w:instrText xml:space="preserve"> INCLUDEPICTURE  "http://www.jjj999.com/anquanbiaozhi/images/13001.gif" \* MERGEFORMATINET </w:instrText>
                  </w:r>
                  <w:r>
                    <w:rPr>
                      <w:szCs w:val="21"/>
                      <w:highlight w:val="none"/>
                    </w:rPr>
                    <w:fldChar w:fldCharType="separate"/>
                  </w:r>
                  <w:r>
                    <w:rPr>
                      <w:szCs w:val="21"/>
                      <w:highlight w:val="none"/>
                    </w:rPr>
                    <w:drawing>
                      <wp:inline distT="0" distB="0" distL="114300" distR="114300">
                        <wp:extent cx="623570" cy="554355"/>
                        <wp:effectExtent l="0" t="0" r="5080" b="17145"/>
                        <wp:docPr id="5" name="图片 10" descr="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13001"/>
                                <pic:cNvPicPr>
                                  <a:picLocks noChangeAspect="1"/>
                                </pic:cNvPicPr>
                              </pic:nvPicPr>
                              <pic:blipFill>
                                <a:blip r:embed="rId39"/>
                                <a:stretch>
                                  <a:fillRect/>
                                </a:stretch>
                              </pic:blipFill>
                              <pic:spPr>
                                <a:xfrm>
                                  <a:off x="0" y="0"/>
                                  <a:ext cx="623570" cy="554355"/>
                                </a:xfrm>
                                <a:prstGeom prst="rect">
                                  <a:avLst/>
                                </a:prstGeom>
                                <a:noFill/>
                                <a:ln>
                                  <a:noFill/>
                                </a:ln>
                              </pic:spPr>
                            </pic:pic>
                          </a:graphicData>
                        </a:graphic>
                      </wp:inline>
                    </w:drawing>
                  </w:r>
                  <w:r>
                    <w:rPr>
                      <w:szCs w:val="21"/>
                      <w:highlight w:val="none"/>
                    </w:rPr>
                    <w:fldChar w:fldCharType="end"/>
                  </w:r>
                </w:p>
              </w:tc>
              <w:tc>
                <w:tcPr>
                  <w:tcW w:w="1702" w:type="dxa"/>
                  <w:vAlign w:val="center"/>
                </w:tcPr>
                <w:p>
                  <w:pPr>
                    <w:jc w:val="center"/>
                    <w:rPr>
                      <w:highlight w:val="none"/>
                    </w:rPr>
                  </w:pPr>
                  <w:r>
                    <w:rPr>
                      <w:szCs w:val="21"/>
                      <w:highlight w:val="none"/>
                    </w:rPr>
                    <w:fldChar w:fldCharType="begin"/>
                  </w:r>
                  <w:r>
                    <w:rPr>
                      <w:szCs w:val="21"/>
                      <w:highlight w:val="none"/>
                    </w:rPr>
                    <w:instrText xml:space="preserve"> INCLUDEPICTURE  "http://www.jjj999.com/anquanbiaozhi/images/13002.gif" \* MERGEFORMATINET </w:instrText>
                  </w:r>
                  <w:r>
                    <w:rPr>
                      <w:szCs w:val="21"/>
                      <w:highlight w:val="none"/>
                    </w:rPr>
                    <w:fldChar w:fldCharType="separate"/>
                  </w:r>
                  <w:r>
                    <w:rPr>
                      <w:szCs w:val="21"/>
                      <w:highlight w:val="none"/>
                    </w:rPr>
                    <w:drawing>
                      <wp:inline distT="0" distB="0" distL="114300" distR="114300">
                        <wp:extent cx="549910" cy="554355"/>
                        <wp:effectExtent l="0" t="0" r="2540" b="17145"/>
                        <wp:docPr id="3" name="图片 11" descr="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13002"/>
                                <pic:cNvPicPr>
                                  <a:picLocks noChangeAspect="1"/>
                                </pic:cNvPicPr>
                              </pic:nvPicPr>
                              <pic:blipFill>
                                <a:blip r:embed="rId40"/>
                                <a:stretch>
                                  <a:fillRect/>
                                </a:stretch>
                              </pic:blipFill>
                              <pic:spPr>
                                <a:xfrm>
                                  <a:off x="0" y="0"/>
                                  <a:ext cx="549910" cy="554355"/>
                                </a:xfrm>
                                <a:prstGeom prst="rect">
                                  <a:avLst/>
                                </a:prstGeom>
                                <a:noFill/>
                                <a:ln>
                                  <a:noFill/>
                                </a:ln>
                              </pic:spPr>
                            </pic:pic>
                          </a:graphicData>
                        </a:graphic>
                      </wp:inline>
                    </w:drawing>
                  </w:r>
                  <w:r>
                    <w:rPr>
                      <w:szCs w:val="21"/>
                      <w:highlight w:val="none"/>
                    </w:rPr>
                    <w:fldChar w:fldCharType="end"/>
                  </w:r>
                </w:p>
              </w:tc>
              <w:tc>
                <w:tcPr>
                  <w:tcW w:w="1605" w:type="dxa"/>
                  <w:vAlign w:val="center"/>
                </w:tcPr>
                <w:p>
                  <w:pPr>
                    <w:jc w:val="center"/>
                    <w:rPr>
                      <w:highlight w:val="none"/>
                    </w:rPr>
                  </w:pPr>
                  <w:r>
                    <w:rPr>
                      <w:highlight w:val="none"/>
                    </w:rPr>
                    <w:t>废水排放口</w:t>
                  </w:r>
                </w:p>
              </w:tc>
              <w:tc>
                <w:tcPr>
                  <w:tcW w:w="2608" w:type="dxa"/>
                  <w:tcBorders>
                    <w:right w:val="nil"/>
                  </w:tcBorders>
                  <w:vAlign w:val="center"/>
                </w:tcPr>
                <w:p>
                  <w:pPr>
                    <w:jc w:val="center"/>
                    <w:rPr>
                      <w:highlight w:val="none"/>
                    </w:rPr>
                  </w:pPr>
                  <w:r>
                    <w:rPr>
                      <w:highlight w:val="none"/>
                    </w:rPr>
                    <w:t>表示废水向水体排放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vAlign w:val="center"/>
                </w:tcPr>
                <w:p>
                  <w:pPr>
                    <w:jc w:val="center"/>
                    <w:rPr>
                      <w:highlight w:val="none"/>
                    </w:rPr>
                  </w:pPr>
                  <w:r>
                    <w:rPr>
                      <w:highlight w:val="none"/>
                    </w:rPr>
                    <w:t>2</w:t>
                  </w:r>
                </w:p>
              </w:tc>
              <w:tc>
                <w:tcPr>
                  <w:tcW w:w="1881" w:type="dxa"/>
                  <w:vAlign w:val="center"/>
                </w:tcPr>
                <w:p>
                  <w:pPr>
                    <w:jc w:val="center"/>
                    <w:rPr>
                      <w:highlight w:val="none"/>
                    </w:rPr>
                  </w:pPr>
                  <w:r>
                    <w:rPr>
                      <w:szCs w:val="21"/>
                      <w:highlight w:val="none"/>
                    </w:rPr>
                    <w:drawing>
                      <wp:inline distT="0" distB="0" distL="114300" distR="114300">
                        <wp:extent cx="544195" cy="554355"/>
                        <wp:effectExtent l="0" t="0" r="8255" b="17145"/>
                        <wp:docPr id="41" name="图片 40"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descr="13003"/>
                                <pic:cNvPicPr>
                                  <a:picLocks noChangeAspect="1"/>
                                </pic:cNvPicPr>
                              </pic:nvPicPr>
                              <pic:blipFill>
                                <a:blip r:embed="rId41"/>
                                <a:stretch>
                                  <a:fillRect/>
                                </a:stretch>
                              </pic:blipFill>
                              <pic:spPr>
                                <a:xfrm>
                                  <a:off x="0" y="0"/>
                                  <a:ext cx="544195" cy="554355"/>
                                </a:xfrm>
                                <a:prstGeom prst="rect">
                                  <a:avLst/>
                                </a:prstGeom>
                                <a:noFill/>
                                <a:ln>
                                  <a:noFill/>
                                </a:ln>
                              </pic:spPr>
                            </pic:pic>
                          </a:graphicData>
                        </a:graphic>
                      </wp:inline>
                    </w:drawing>
                  </w:r>
                </w:p>
              </w:tc>
              <w:tc>
                <w:tcPr>
                  <w:tcW w:w="1702" w:type="dxa"/>
                  <w:vAlign w:val="center"/>
                </w:tcPr>
                <w:p>
                  <w:pPr>
                    <w:jc w:val="center"/>
                    <w:rPr>
                      <w:highlight w:val="none"/>
                    </w:rPr>
                  </w:pPr>
                  <w:r>
                    <w:rPr>
                      <w:szCs w:val="21"/>
                      <w:highlight w:val="none"/>
                    </w:rPr>
                    <w:drawing>
                      <wp:inline distT="0" distB="0" distL="114300" distR="114300">
                        <wp:extent cx="554355" cy="554355"/>
                        <wp:effectExtent l="0" t="0" r="17145" b="17145"/>
                        <wp:docPr id="38" name="图片 4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1" descr="4"/>
                                <pic:cNvPicPr>
                                  <a:picLocks noChangeAspect="1"/>
                                </pic:cNvPicPr>
                              </pic:nvPicPr>
                              <pic:blipFill>
                                <a:blip r:embed="rId42"/>
                                <a:stretch>
                                  <a:fillRect/>
                                </a:stretch>
                              </pic:blipFill>
                              <pic:spPr>
                                <a:xfrm>
                                  <a:off x="0" y="0"/>
                                  <a:ext cx="554355" cy="554355"/>
                                </a:xfrm>
                                <a:prstGeom prst="rect">
                                  <a:avLst/>
                                </a:prstGeom>
                                <a:noFill/>
                                <a:ln>
                                  <a:noFill/>
                                </a:ln>
                              </pic:spPr>
                            </pic:pic>
                          </a:graphicData>
                        </a:graphic>
                      </wp:inline>
                    </w:drawing>
                  </w:r>
                </w:p>
              </w:tc>
              <w:tc>
                <w:tcPr>
                  <w:tcW w:w="1605" w:type="dxa"/>
                  <w:vAlign w:val="center"/>
                </w:tcPr>
                <w:p>
                  <w:pPr>
                    <w:jc w:val="center"/>
                    <w:rPr>
                      <w:highlight w:val="none"/>
                    </w:rPr>
                  </w:pPr>
                  <w:r>
                    <w:rPr>
                      <w:highlight w:val="none"/>
                    </w:rPr>
                    <w:t>废气排放口</w:t>
                  </w:r>
                </w:p>
              </w:tc>
              <w:tc>
                <w:tcPr>
                  <w:tcW w:w="2608" w:type="dxa"/>
                  <w:tcBorders>
                    <w:right w:val="nil"/>
                  </w:tcBorders>
                  <w:vAlign w:val="center"/>
                </w:tcPr>
                <w:p>
                  <w:pPr>
                    <w:jc w:val="center"/>
                    <w:rPr>
                      <w:highlight w:val="none"/>
                    </w:rPr>
                  </w:pPr>
                  <w:r>
                    <w:rPr>
                      <w:highlight w:val="none"/>
                    </w:rPr>
                    <w:t>表示废气向大气环境排放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vAlign w:val="center"/>
                </w:tcPr>
                <w:p>
                  <w:pPr>
                    <w:jc w:val="center"/>
                    <w:rPr>
                      <w:highlight w:val="none"/>
                    </w:rPr>
                  </w:pPr>
                  <w:r>
                    <w:rPr>
                      <w:highlight w:val="none"/>
                    </w:rPr>
                    <w:t>3</w:t>
                  </w:r>
                </w:p>
              </w:tc>
              <w:tc>
                <w:tcPr>
                  <w:tcW w:w="1881" w:type="dxa"/>
                  <w:vAlign w:val="center"/>
                </w:tcPr>
                <w:p>
                  <w:pPr>
                    <w:jc w:val="center"/>
                    <w:rPr>
                      <w:highlight w:val="none"/>
                    </w:rPr>
                  </w:pPr>
                  <w:r>
                    <w:rPr>
                      <w:szCs w:val="21"/>
                      <w:highlight w:val="none"/>
                    </w:rPr>
                    <w:drawing>
                      <wp:inline distT="0" distB="0" distL="114300" distR="114300">
                        <wp:extent cx="544830" cy="554355"/>
                        <wp:effectExtent l="0" t="0" r="7620" b="17145"/>
                        <wp:docPr id="36" name="图片 42"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2" descr="14001"/>
                                <pic:cNvPicPr>
                                  <a:picLocks noChangeAspect="1"/>
                                </pic:cNvPicPr>
                              </pic:nvPicPr>
                              <pic:blipFill>
                                <a:blip r:embed="rId43"/>
                                <a:stretch>
                                  <a:fillRect/>
                                </a:stretch>
                              </pic:blipFill>
                              <pic:spPr>
                                <a:xfrm>
                                  <a:off x="0" y="0"/>
                                  <a:ext cx="544830" cy="554355"/>
                                </a:xfrm>
                                <a:prstGeom prst="rect">
                                  <a:avLst/>
                                </a:prstGeom>
                                <a:noFill/>
                                <a:ln>
                                  <a:noFill/>
                                </a:ln>
                              </pic:spPr>
                            </pic:pic>
                          </a:graphicData>
                        </a:graphic>
                      </wp:inline>
                    </w:drawing>
                  </w:r>
                </w:p>
              </w:tc>
              <w:tc>
                <w:tcPr>
                  <w:tcW w:w="1702" w:type="dxa"/>
                  <w:vAlign w:val="center"/>
                </w:tcPr>
                <w:p>
                  <w:pPr>
                    <w:jc w:val="center"/>
                    <w:rPr>
                      <w:highlight w:val="none"/>
                    </w:rPr>
                  </w:pPr>
                  <w:r>
                    <w:rPr>
                      <w:szCs w:val="21"/>
                      <w:highlight w:val="none"/>
                    </w:rPr>
                    <w:drawing>
                      <wp:inline distT="0" distB="0" distL="114300" distR="114300">
                        <wp:extent cx="585470" cy="554355"/>
                        <wp:effectExtent l="0" t="0" r="5080" b="17145"/>
                        <wp:docPr id="37" name="图片 43"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3" descr="14002"/>
                                <pic:cNvPicPr>
                                  <a:picLocks noChangeAspect="1"/>
                                </pic:cNvPicPr>
                              </pic:nvPicPr>
                              <pic:blipFill>
                                <a:blip r:embed="rId44"/>
                                <a:stretch>
                                  <a:fillRect/>
                                </a:stretch>
                              </pic:blipFill>
                              <pic:spPr>
                                <a:xfrm>
                                  <a:off x="0" y="0"/>
                                  <a:ext cx="585470" cy="554355"/>
                                </a:xfrm>
                                <a:prstGeom prst="rect">
                                  <a:avLst/>
                                </a:prstGeom>
                                <a:noFill/>
                                <a:ln>
                                  <a:noFill/>
                                </a:ln>
                              </pic:spPr>
                            </pic:pic>
                          </a:graphicData>
                        </a:graphic>
                      </wp:inline>
                    </w:drawing>
                  </w:r>
                </w:p>
              </w:tc>
              <w:tc>
                <w:tcPr>
                  <w:tcW w:w="1605" w:type="dxa"/>
                  <w:vAlign w:val="center"/>
                </w:tcPr>
                <w:p>
                  <w:pPr>
                    <w:jc w:val="center"/>
                    <w:rPr>
                      <w:highlight w:val="none"/>
                    </w:rPr>
                  </w:pPr>
                  <w:r>
                    <w:rPr>
                      <w:highlight w:val="none"/>
                    </w:rPr>
                    <w:t>一般固体废物</w:t>
                  </w:r>
                </w:p>
              </w:tc>
              <w:tc>
                <w:tcPr>
                  <w:tcW w:w="2608" w:type="dxa"/>
                  <w:tcBorders>
                    <w:right w:val="nil"/>
                  </w:tcBorders>
                  <w:vAlign w:val="center"/>
                </w:tcPr>
                <w:p>
                  <w:pPr>
                    <w:jc w:val="center"/>
                    <w:rPr>
                      <w:highlight w:val="none"/>
                    </w:rPr>
                  </w:pPr>
                  <w:r>
                    <w:rPr>
                      <w:highlight w:val="none"/>
                    </w:rPr>
                    <w:t>表示一般固体废物贮存、处置场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vAlign w:val="center"/>
                </w:tcPr>
                <w:p>
                  <w:pPr>
                    <w:jc w:val="center"/>
                    <w:rPr>
                      <w:highlight w:val="none"/>
                    </w:rPr>
                  </w:pPr>
                  <w:r>
                    <w:rPr>
                      <w:rFonts w:hint="eastAsia"/>
                      <w:highlight w:val="none"/>
                    </w:rPr>
                    <w:t>4</w:t>
                  </w:r>
                </w:p>
              </w:tc>
              <w:tc>
                <w:tcPr>
                  <w:tcW w:w="1881" w:type="dxa"/>
                  <w:vAlign w:val="center"/>
                </w:tcPr>
                <w:p>
                  <w:pPr>
                    <w:jc w:val="center"/>
                    <w:rPr>
                      <w:highlight w:val="none"/>
                    </w:rPr>
                  </w:pPr>
                </w:p>
              </w:tc>
              <w:tc>
                <w:tcPr>
                  <w:tcW w:w="1702" w:type="dxa"/>
                  <w:vAlign w:val="center"/>
                </w:tcPr>
                <w:p>
                  <w:pPr>
                    <w:jc w:val="center"/>
                    <w:rPr>
                      <w:highlight w:val="none"/>
                    </w:rPr>
                  </w:pPr>
                  <w:r>
                    <w:rPr>
                      <w:rFonts w:hint="eastAsia"/>
                      <w:highlight w:val="none"/>
                    </w:rPr>
                    <w:drawing>
                      <wp:inline distT="0" distB="0" distL="114300" distR="114300">
                        <wp:extent cx="612775" cy="554355"/>
                        <wp:effectExtent l="0" t="0" r="15875" b="17145"/>
                        <wp:docPr id="35" name="图片 45" descr="0d89d1e1607fb44b6b589d290f9b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5" descr="0d89d1e1607fb44b6b589d290f9b9c3"/>
                                <pic:cNvPicPr>
                                  <a:picLocks noChangeAspect="1"/>
                                </pic:cNvPicPr>
                              </pic:nvPicPr>
                              <pic:blipFill>
                                <a:blip r:embed="rId45"/>
                                <a:srcRect l="53519" b="20764"/>
                                <a:stretch>
                                  <a:fillRect/>
                                </a:stretch>
                              </pic:blipFill>
                              <pic:spPr>
                                <a:xfrm>
                                  <a:off x="0" y="0"/>
                                  <a:ext cx="612775" cy="554355"/>
                                </a:xfrm>
                                <a:prstGeom prst="rect">
                                  <a:avLst/>
                                </a:prstGeom>
                                <a:noFill/>
                                <a:ln>
                                  <a:noFill/>
                                </a:ln>
                              </pic:spPr>
                            </pic:pic>
                          </a:graphicData>
                        </a:graphic>
                      </wp:inline>
                    </w:drawing>
                  </w:r>
                </w:p>
              </w:tc>
              <w:tc>
                <w:tcPr>
                  <w:tcW w:w="1605" w:type="dxa"/>
                  <w:vAlign w:val="center"/>
                </w:tcPr>
                <w:p>
                  <w:pPr>
                    <w:jc w:val="center"/>
                    <w:rPr>
                      <w:highlight w:val="none"/>
                    </w:rPr>
                  </w:pPr>
                  <w:r>
                    <w:rPr>
                      <w:rFonts w:hint="eastAsia"/>
                      <w:highlight w:val="none"/>
                    </w:rPr>
                    <w:t>危险废物</w:t>
                  </w:r>
                </w:p>
              </w:tc>
              <w:tc>
                <w:tcPr>
                  <w:tcW w:w="2608" w:type="dxa"/>
                  <w:tcBorders>
                    <w:right w:val="nil"/>
                  </w:tcBorders>
                  <w:vAlign w:val="center"/>
                </w:tcPr>
                <w:p>
                  <w:pPr>
                    <w:jc w:val="center"/>
                    <w:rPr>
                      <w:highlight w:val="none"/>
                    </w:rPr>
                  </w:pPr>
                  <w:r>
                    <w:rPr>
                      <w:highlight w:val="none"/>
                    </w:rPr>
                    <w:t>表示</w:t>
                  </w:r>
                  <w:r>
                    <w:rPr>
                      <w:rFonts w:hint="eastAsia"/>
                      <w:highlight w:val="none"/>
                    </w:rPr>
                    <w:t>危险废物</w:t>
                  </w:r>
                  <w:r>
                    <w:rPr>
                      <w:highlight w:val="none"/>
                    </w:rPr>
                    <w:t>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vAlign w:val="center"/>
                </w:tcPr>
                <w:p>
                  <w:pPr>
                    <w:jc w:val="center"/>
                    <w:rPr>
                      <w:highlight w:val="none"/>
                    </w:rPr>
                  </w:pPr>
                  <w:r>
                    <w:rPr>
                      <w:rFonts w:hint="eastAsia"/>
                      <w:highlight w:val="none"/>
                    </w:rPr>
                    <w:t>5</w:t>
                  </w:r>
                </w:p>
              </w:tc>
              <w:tc>
                <w:tcPr>
                  <w:tcW w:w="1881" w:type="dxa"/>
                  <w:vAlign w:val="center"/>
                </w:tcPr>
                <w:p>
                  <w:pPr>
                    <w:jc w:val="center"/>
                    <w:rPr>
                      <w:highlight w:val="none"/>
                    </w:rPr>
                  </w:pPr>
                  <w:r>
                    <w:rPr>
                      <w:szCs w:val="21"/>
                      <w:highlight w:val="none"/>
                    </w:rPr>
                    <w:drawing>
                      <wp:inline distT="0" distB="0" distL="114300" distR="114300">
                        <wp:extent cx="554355" cy="554355"/>
                        <wp:effectExtent l="0" t="0" r="17145" b="17145"/>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pic:cNvPicPr>
                              </pic:nvPicPr>
                              <pic:blipFill>
                                <a:blip r:embed="rId46"/>
                                <a:stretch>
                                  <a:fillRect/>
                                </a:stretch>
                              </pic:blipFill>
                              <pic:spPr>
                                <a:xfrm>
                                  <a:off x="0" y="0"/>
                                  <a:ext cx="554355" cy="554355"/>
                                </a:xfrm>
                                <a:prstGeom prst="rect">
                                  <a:avLst/>
                                </a:prstGeom>
                                <a:noFill/>
                                <a:ln>
                                  <a:noFill/>
                                </a:ln>
                              </pic:spPr>
                            </pic:pic>
                          </a:graphicData>
                        </a:graphic>
                      </wp:inline>
                    </w:drawing>
                  </w:r>
                </w:p>
              </w:tc>
              <w:tc>
                <w:tcPr>
                  <w:tcW w:w="1702" w:type="dxa"/>
                  <w:vAlign w:val="center"/>
                </w:tcPr>
                <w:p>
                  <w:pPr>
                    <w:jc w:val="center"/>
                    <w:rPr>
                      <w:highlight w:val="none"/>
                    </w:rPr>
                  </w:pPr>
                  <w:r>
                    <w:rPr>
                      <w:szCs w:val="21"/>
                      <w:highlight w:val="none"/>
                    </w:rPr>
                    <w:drawing>
                      <wp:inline distT="0" distB="0" distL="114300" distR="114300">
                        <wp:extent cx="623570" cy="554355"/>
                        <wp:effectExtent l="0" t="0" r="5080" b="17145"/>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47"/>
                                <a:stretch>
                                  <a:fillRect/>
                                </a:stretch>
                              </pic:blipFill>
                              <pic:spPr>
                                <a:xfrm>
                                  <a:off x="0" y="0"/>
                                  <a:ext cx="623570" cy="554355"/>
                                </a:xfrm>
                                <a:prstGeom prst="rect">
                                  <a:avLst/>
                                </a:prstGeom>
                                <a:noFill/>
                                <a:ln>
                                  <a:noFill/>
                                </a:ln>
                              </pic:spPr>
                            </pic:pic>
                          </a:graphicData>
                        </a:graphic>
                      </wp:inline>
                    </w:drawing>
                  </w:r>
                </w:p>
              </w:tc>
              <w:tc>
                <w:tcPr>
                  <w:tcW w:w="1605" w:type="dxa"/>
                  <w:vAlign w:val="center"/>
                </w:tcPr>
                <w:p>
                  <w:pPr>
                    <w:jc w:val="center"/>
                    <w:rPr>
                      <w:highlight w:val="none"/>
                    </w:rPr>
                  </w:pPr>
                  <w:r>
                    <w:rPr>
                      <w:highlight w:val="none"/>
                    </w:rPr>
                    <w:t>噪声排放源</w:t>
                  </w:r>
                </w:p>
              </w:tc>
              <w:tc>
                <w:tcPr>
                  <w:tcW w:w="2608" w:type="dxa"/>
                  <w:tcBorders>
                    <w:right w:val="nil"/>
                  </w:tcBorders>
                  <w:vAlign w:val="center"/>
                </w:tcPr>
                <w:p>
                  <w:pPr>
                    <w:jc w:val="center"/>
                    <w:rPr>
                      <w:highlight w:val="none"/>
                    </w:rPr>
                  </w:pPr>
                  <w:r>
                    <w:rPr>
                      <w:highlight w:val="none"/>
                    </w:rPr>
                    <w:t>表示噪声向外环境排放</w:t>
                  </w:r>
                </w:p>
              </w:tc>
            </w:tr>
          </w:tbl>
          <w:p>
            <w:pPr>
              <w:spacing w:before="120" w:beforeLines="50"/>
              <w:jc w:val="center"/>
              <w:rPr>
                <w:b/>
                <w:bCs/>
                <w:highlight w:val="none"/>
              </w:rPr>
            </w:pPr>
            <w:bookmarkStart w:id="23" w:name="_Ref515821956"/>
            <w:r>
              <w:rPr>
                <w:b/>
                <w:bCs/>
                <w:highlight w:val="none"/>
              </w:rPr>
              <w:t>表</w:t>
            </w:r>
            <w:bookmarkEnd w:id="23"/>
            <w:r>
              <w:rPr>
                <w:rFonts w:hint="eastAsia"/>
                <w:b/>
                <w:bCs/>
                <w:highlight w:val="none"/>
              </w:rPr>
              <w:t xml:space="preserve">4-22  </w:t>
            </w:r>
            <w:r>
              <w:rPr>
                <w:b/>
                <w:bCs/>
                <w:highlight w:val="none"/>
              </w:rPr>
              <w:t>环境保护图形标志的形状及颜色表</w:t>
            </w:r>
          </w:p>
          <w:tbl>
            <w:tblPr>
              <w:tblStyle w:val="39"/>
              <w:tblW w:w="84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2162"/>
              <w:gridCol w:w="216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2" w:type="dxa"/>
                  <w:tcBorders>
                    <w:left w:val="nil"/>
                  </w:tcBorders>
                  <w:vAlign w:val="center"/>
                </w:tcPr>
                <w:p>
                  <w:pPr>
                    <w:jc w:val="center"/>
                    <w:rPr>
                      <w:b/>
                      <w:bCs/>
                      <w:highlight w:val="none"/>
                    </w:rPr>
                  </w:pPr>
                  <w:r>
                    <w:rPr>
                      <w:b/>
                      <w:bCs/>
                      <w:highlight w:val="none"/>
                    </w:rPr>
                    <w:t>标志名称</w:t>
                  </w:r>
                </w:p>
              </w:tc>
              <w:tc>
                <w:tcPr>
                  <w:tcW w:w="2162" w:type="dxa"/>
                  <w:vAlign w:val="center"/>
                </w:tcPr>
                <w:p>
                  <w:pPr>
                    <w:jc w:val="center"/>
                    <w:rPr>
                      <w:b/>
                      <w:bCs/>
                      <w:highlight w:val="none"/>
                    </w:rPr>
                  </w:pPr>
                  <w:r>
                    <w:rPr>
                      <w:b/>
                      <w:bCs/>
                      <w:highlight w:val="none"/>
                    </w:rPr>
                    <w:t>形状</w:t>
                  </w:r>
                </w:p>
              </w:tc>
              <w:tc>
                <w:tcPr>
                  <w:tcW w:w="2163" w:type="dxa"/>
                  <w:vAlign w:val="center"/>
                </w:tcPr>
                <w:p>
                  <w:pPr>
                    <w:jc w:val="center"/>
                    <w:rPr>
                      <w:b/>
                      <w:bCs/>
                      <w:highlight w:val="none"/>
                    </w:rPr>
                  </w:pPr>
                  <w:r>
                    <w:rPr>
                      <w:b/>
                      <w:bCs/>
                      <w:highlight w:val="none"/>
                    </w:rPr>
                    <w:t>背景颜色</w:t>
                  </w:r>
                </w:p>
              </w:tc>
              <w:tc>
                <w:tcPr>
                  <w:tcW w:w="1979" w:type="dxa"/>
                  <w:tcBorders>
                    <w:right w:val="nil"/>
                  </w:tcBorders>
                  <w:vAlign w:val="center"/>
                </w:tcPr>
                <w:p>
                  <w:pPr>
                    <w:jc w:val="center"/>
                    <w:rPr>
                      <w:b/>
                      <w:bCs/>
                      <w:highlight w:val="none"/>
                    </w:rPr>
                  </w:pPr>
                  <w:r>
                    <w:rPr>
                      <w:b/>
                      <w:bCs/>
                      <w:highlight w:val="none"/>
                    </w:rPr>
                    <w:t>图形颜色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2162" w:type="dxa"/>
                  <w:tcBorders>
                    <w:left w:val="nil"/>
                  </w:tcBorders>
                  <w:vAlign w:val="center"/>
                </w:tcPr>
                <w:p>
                  <w:pPr>
                    <w:jc w:val="center"/>
                    <w:rPr>
                      <w:highlight w:val="none"/>
                    </w:rPr>
                  </w:pPr>
                  <w:r>
                    <w:rPr>
                      <w:highlight w:val="none"/>
                    </w:rPr>
                    <w:t>警告标志</w:t>
                  </w:r>
                </w:p>
              </w:tc>
              <w:tc>
                <w:tcPr>
                  <w:tcW w:w="2162" w:type="dxa"/>
                  <w:vAlign w:val="center"/>
                </w:tcPr>
                <w:p>
                  <w:pPr>
                    <w:jc w:val="center"/>
                    <w:rPr>
                      <w:highlight w:val="none"/>
                    </w:rPr>
                  </w:pPr>
                  <w:r>
                    <w:rPr>
                      <w:highlight w:val="none"/>
                    </w:rPr>
                    <w:t>三角形边框</w:t>
                  </w:r>
                </w:p>
              </w:tc>
              <w:tc>
                <w:tcPr>
                  <w:tcW w:w="2163" w:type="dxa"/>
                  <w:vAlign w:val="center"/>
                </w:tcPr>
                <w:p>
                  <w:pPr>
                    <w:jc w:val="center"/>
                    <w:rPr>
                      <w:highlight w:val="none"/>
                    </w:rPr>
                  </w:pPr>
                  <w:r>
                    <w:rPr>
                      <w:highlight w:val="none"/>
                    </w:rPr>
                    <w:t>黄色</w:t>
                  </w:r>
                </w:p>
              </w:tc>
              <w:tc>
                <w:tcPr>
                  <w:tcW w:w="1979" w:type="dxa"/>
                  <w:tcBorders>
                    <w:right w:val="nil"/>
                  </w:tcBorders>
                  <w:vAlign w:val="center"/>
                </w:tcPr>
                <w:p>
                  <w:pPr>
                    <w:jc w:val="center"/>
                    <w:rPr>
                      <w:highlight w:val="none"/>
                    </w:rPr>
                  </w:pPr>
                  <w:r>
                    <w:rPr>
                      <w:highlight w:val="none"/>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2" w:type="dxa"/>
                  <w:tcBorders>
                    <w:left w:val="nil"/>
                  </w:tcBorders>
                  <w:vAlign w:val="center"/>
                </w:tcPr>
                <w:p>
                  <w:pPr>
                    <w:jc w:val="center"/>
                    <w:rPr>
                      <w:highlight w:val="none"/>
                    </w:rPr>
                  </w:pPr>
                  <w:r>
                    <w:rPr>
                      <w:highlight w:val="none"/>
                    </w:rPr>
                    <w:t>提示标志</w:t>
                  </w:r>
                </w:p>
              </w:tc>
              <w:tc>
                <w:tcPr>
                  <w:tcW w:w="2162" w:type="dxa"/>
                  <w:vAlign w:val="center"/>
                </w:tcPr>
                <w:p>
                  <w:pPr>
                    <w:jc w:val="center"/>
                    <w:rPr>
                      <w:highlight w:val="none"/>
                    </w:rPr>
                  </w:pPr>
                  <w:r>
                    <w:rPr>
                      <w:highlight w:val="none"/>
                    </w:rPr>
                    <w:t>正方形边框</w:t>
                  </w:r>
                </w:p>
              </w:tc>
              <w:tc>
                <w:tcPr>
                  <w:tcW w:w="2163" w:type="dxa"/>
                  <w:vAlign w:val="center"/>
                </w:tcPr>
                <w:p>
                  <w:pPr>
                    <w:jc w:val="center"/>
                    <w:rPr>
                      <w:highlight w:val="none"/>
                    </w:rPr>
                  </w:pPr>
                  <w:r>
                    <w:rPr>
                      <w:highlight w:val="none"/>
                    </w:rPr>
                    <w:t>绿色</w:t>
                  </w:r>
                </w:p>
              </w:tc>
              <w:tc>
                <w:tcPr>
                  <w:tcW w:w="1979" w:type="dxa"/>
                  <w:tcBorders>
                    <w:right w:val="nil"/>
                  </w:tcBorders>
                  <w:vAlign w:val="center"/>
                </w:tcPr>
                <w:p>
                  <w:pPr>
                    <w:jc w:val="center"/>
                    <w:rPr>
                      <w:highlight w:val="none"/>
                    </w:rPr>
                  </w:pPr>
                  <w:r>
                    <w:rPr>
                      <w:highlight w:val="none"/>
                    </w:rPr>
                    <w:t>白色</w:t>
                  </w:r>
                </w:p>
              </w:tc>
            </w:tr>
          </w:tbl>
          <w:p>
            <w:pPr>
              <w:keepNext/>
              <w:keepLines/>
              <w:spacing w:line="360" w:lineRule="auto"/>
              <w:ind w:firstLine="481" w:firstLineChars="200"/>
              <w:rPr>
                <w:b/>
                <w:bCs/>
                <w:kern w:val="44"/>
                <w:sz w:val="24"/>
                <w:highlight w:val="none"/>
              </w:rPr>
            </w:pPr>
            <w:r>
              <w:rPr>
                <w:rFonts w:hint="eastAsia"/>
                <w:b/>
                <w:bCs/>
                <w:kern w:val="44"/>
                <w:sz w:val="24"/>
                <w:highlight w:val="none"/>
              </w:rPr>
              <w:t>9、</w:t>
            </w:r>
            <w:r>
              <w:rPr>
                <w:b/>
                <w:bCs/>
                <w:kern w:val="44"/>
                <w:sz w:val="24"/>
                <w:highlight w:val="none"/>
              </w:rPr>
              <w:t>环保投资与竣工验收</w:t>
            </w:r>
          </w:p>
          <w:p>
            <w:pPr>
              <w:spacing w:line="360" w:lineRule="auto"/>
              <w:ind w:firstLine="480" w:firstLineChars="200"/>
              <w:rPr>
                <w:sz w:val="24"/>
                <w:highlight w:val="none"/>
              </w:rPr>
            </w:pPr>
            <w:r>
              <w:rPr>
                <w:rFonts w:hint="eastAsia"/>
                <w:sz w:val="24"/>
                <w:highlight w:val="none"/>
              </w:rPr>
              <w:t>本项目总投资43000万元，环保投资共计</w:t>
            </w:r>
            <w:r>
              <w:rPr>
                <w:rFonts w:hint="eastAsia"/>
                <w:color w:val="0000FF"/>
                <w:sz w:val="24"/>
                <w:highlight w:val="none"/>
                <w:lang w:eastAsia="zh-CN"/>
              </w:rPr>
              <w:t>339.2</w:t>
            </w:r>
            <w:r>
              <w:rPr>
                <w:rFonts w:hint="eastAsia"/>
                <w:color w:val="0000FF"/>
                <w:sz w:val="24"/>
                <w:highlight w:val="none"/>
              </w:rPr>
              <w:t>万元</w:t>
            </w:r>
            <w:r>
              <w:rPr>
                <w:rFonts w:hint="eastAsia"/>
                <w:sz w:val="24"/>
                <w:highlight w:val="none"/>
              </w:rPr>
              <w:t>，主要环保投资有营运期废水、废气、噪声、固废治理，占总投资的0.</w:t>
            </w:r>
            <w:r>
              <w:rPr>
                <w:rFonts w:hint="eastAsia"/>
                <w:sz w:val="24"/>
                <w:highlight w:val="none"/>
                <w:lang w:val="en-US" w:eastAsia="zh-CN"/>
              </w:rPr>
              <w:t>79</w:t>
            </w:r>
            <w:r>
              <w:rPr>
                <w:rFonts w:hint="eastAsia"/>
                <w:sz w:val="24"/>
                <w:highlight w:val="none"/>
              </w:rPr>
              <w:t>%。项目环保投资估算情况见</w:t>
            </w:r>
            <w:r>
              <w:rPr>
                <w:sz w:val="24"/>
                <w:highlight w:val="none"/>
              </w:rPr>
              <w:t>表</w:t>
            </w:r>
            <w:r>
              <w:rPr>
                <w:rFonts w:hint="eastAsia"/>
                <w:sz w:val="24"/>
                <w:highlight w:val="none"/>
              </w:rPr>
              <w:t>4-23</w:t>
            </w:r>
            <w:r>
              <w:rPr>
                <w:sz w:val="24"/>
                <w:highlight w:val="none"/>
              </w:rPr>
              <w:t>。</w:t>
            </w:r>
          </w:p>
          <w:p>
            <w:pPr>
              <w:tabs>
                <w:tab w:val="left" w:pos="0"/>
              </w:tabs>
              <w:jc w:val="center"/>
              <w:rPr>
                <w:b/>
                <w:kern w:val="21"/>
                <w:szCs w:val="21"/>
                <w:highlight w:val="none"/>
                <w:lang w:val="en-GB"/>
              </w:rPr>
            </w:pPr>
            <w:r>
              <w:rPr>
                <w:b/>
                <w:kern w:val="21"/>
                <w:szCs w:val="21"/>
                <w:highlight w:val="none"/>
                <w:lang w:val="en-GB"/>
              </w:rPr>
              <w:t>表</w:t>
            </w:r>
            <w:r>
              <w:rPr>
                <w:rFonts w:hint="eastAsia"/>
                <w:b/>
                <w:kern w:val="21"/>
                <w:szCs w:val="21"/>
                <w:highlight w:val="none"/>
                <w:lang w:val="en-GB"/>
              </w:rPr>
              <w:t>4</w:t>
            </w:r>
            <w:r>
              <w:rPr>
                <w:rFonts w:hint="eastAsia"/>
                <w:b/>
                <w:kern w:val="21"/>
                <w:szCs w:val="21"/>
                <w:highlight w:val="none"/>
              </w:rPr>
              <w:t>-23</w:t>
            </w:r>
            <w:r>
              <w:rPr>
                <w:rFonts w:hint="eastAsia"/>
                <w:b/>
                <w:kern w:val="21"/>
                <w:szCs w:val="21"/>
                <w:highlight w:val="none"/>
                <w:lang w:val="en-GB"/>
              </w:rPr>
              <w:t xml:space="preserve"> </w:t>
            </w:r>
            <w:r>
              <w:rPr>
                <w:rFonts w:hint="eastAsia"/>
                <w:b/>
                <w:kern w:val="21"/>
                <w:szCs w:val="21"/>
                <w:highlight w:val="none"/>
              </w:rPr>
              <w:t xml:space="preserve"> </w:t>
            </w:r>
            <w:r>
              <w:rPr>
                <w:b/>
                <w:kern w:val="21"/>
                <w:szCs w:val="21"/>
                <w:highlight w:val="none"/>
                <w:lang w:val="en-GB"/>
              </w:rPr>
              <w:t>项目污染治理投资估算表</w:t>
            </w:r>
          </w:p>
          <w:tbl>
            <w:tblPr>
              <w:tblStyle w:val="39"/>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2007"/>
              <w:gridCol w:w="4320"/>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tcBorders>
                    <w:left w:val="nil"/>
                  </w:tcBorders>
                  <w:vAlign w:val="center"/>
                </w:tcPr>
                <w:p>
                  <w:pPr>
                    <w:pStyle w:val="58"/>
                    <w:jc w:val="center"/>
                    <w:rPr>
                      <w:b/>
                      <w:sz w:val="21"/>
                      <w:highlight w:val="none"/>
                    </w:rPr>
                  </w:pPr>
                  <w:r>
                    <w:rPr>
                      <w:b/>
                      <w:sz w:val="21"/>
                      <w:highlight w:val="none"/>
                    </w:rPr>
                    <w:t>项目</w:t>
                  </w:r>
                </w:p>
              </w:tc>
              <w:tc>
                <w:tcPr>
                  <w:tcW w:w="1221" w:type="pct"/>
                  <w:vAlign w:val="center"/>
                </w:tcPr>
                <w:p>
                  <w:pPr>
                    <w:pStyle w:val="58"/>
                    <w:jc w:val="center"/>
                    <w:rPr>
                      <w:b/>
                      <w:sz w:val="21"/>
                      <w:highlight w:val="none"/>
                    </w:rPr>
                  </w:pPr>
                  <w:r>
                    <w:rPr>
                      <w:b/>
                      <w:sz w:val="21"/>
                      <w:highlight w:val="none"/>
                    </w:rPr>
                    <w:t>污染源</w:t>
                  </w:r>
                </w:p>
              </w:tc>
              <w:tc>
                <w:tcPr>
                  <w:tcW w:w="2628" w:type="pct"/>
                  <w:vAlign w:val="center"/>
                </w:tcPr>
                <w:p>
                  <w:pPr>
                    <w:pStyle w:val="58"/>
                    <w:jc w:val="center"/>
                    <w:rPr>
                      <w:b/>
                      <w:sz w:val="21"/>
                      <w:highlight w:val="none"/>
                    </w:rPr>
                  </w:pPr>
                  <w:r>
                    <w:rPr>
                      <w:b/>
                      <w:sz w:val="21"/>
                      <w:highlight w:val="none"/>
                    </w:rPr>
                    <w:t>内容</w:t>
                  </w:r>
                </w:p>
              </w:tc>
              <w:tc>
                <w:tcPr>
                  <w:tcW w:w="603" w:type="pct"/>
                  <w:tcBorders>
                    <w:right w:val="nil"/>
                  </w:tcBorders>
                  <w:vAlign w:val="center"/>
                </w:tcPr>
                <w:p>
                  <w:pPr>
                    <w:pStyle w:val="58"/>
                    <w:jc w:val="center"/>
                    <w:rPr>
                      <w:b/>
                      <w:sz w:val="21"/>
                      <w:highlight w:val="none"/>
                    </w:rPr>
                  </w:pPr>
                  <w:r>
                    <w:rPr>
                      <w:b/>
                      <w:sz w:val="21"/>
                      <w:highlight w:val="none"/>
                    </w:rPr>
                    <w:t>经费</w:t>
                  </w:r>
                  <w:r>
                    <w:rPr>
                      <w:rFonts w:hint="eastAsia"/>
                      <w:b/>
                      <w:sz w:val="21"/>
                      <w:highlight w:val="none"/>
                      <w:lang w:eastAsia="zh-CN"/>
                    </w:rPr>
                    <w:t>（</w:t>
                  </w:r>
                  <w:r>
                    <w:rPr>
                      <w:b/>
                      <w:sz w:val="21"/>
                      <w:highlight w:val="none"/>
                    </w:rPr>
                    <w:t>万元</w:t>
                  </w:r>
                  <w:r>
                    <w:rPr>
                      <w:rFonts w:hint="eastAsia"/>
                      <w:b/>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restart"/>
                  <w:tcBorders>
                    <w:left w:val="nil"/>
                  </w:tcBorders>
                  <w:vAlign w:val="center"/>
                </w:tcPr>
                <w:p>
                  <w:pPr>
                    <w:pStyle w:val="58"/>
                    <w:jc w:val="center"/>
                    <w:rPr>
                      <w:bCs/>
                      <w:sz w:val="21"/>
                      <w:highlight w:val="none"/>
                    </w:rPr>
                  </w:pPr>
                  <w:r>
                    <w:rPr>
                      <w:bCs/>
                      <w:sz w:val="21"/>
                      <w:highlight w:val="none"/>
                    </w:rPr>
                    <w:t>废水</w:t>
                  </w:r>
                </w:p>
              </w:tc>
              <w:tc>
                <w:tcPr>
                  <w:tcW w:w="1221" w:type="pct"/>
                  <w:vAlign w:val="center"/>
                </w:tcPr>
                <w:p>
                  <w:pPr>
                    <w:pStyle w:val="58"/>
                    <w:jc w:val="center"/>
                    <w:rPr>
                      <w:bCs/>
                      <w:sz w:val="21"/>
                      <w:highlight w:val="none"/>
                    </w:rPr>
                  </w:pPr>
                  <w:r>
                    <w:rPr>
                      <w:bCs/>
                      <w:sz w:val="21"/>
                      <w:highlight w:val="none"/>
                    </w:rPr>
                    <w:t>生活污水</w:t>
                  </w:r>
                </w:p>
              </w:tc>
              <w:tc>
                <w:tcPr>
                  <w:tcW w:w="2628" w:type="pct"/>
                  <w:vAlign w:val="center"/>
                </w:tcPr>
                <w:p>
                  <w:pPr>
                    <w:pStyle w:val="35"/>
                    <w:tabs>
                      <w:tab w:val="left" w:pos="1110"/>
                    </w:tabs>
                    <w:spacing w:after="0" w:line="240" w:lineRule="auto"/>
                    <w:jc w:val="center"/>
                    <w:rPr>
                      <w:szCs w:val="21"/>
                      <w:highlight w:val="none"/>
                    </w:rPr>
                  </w:pPr>
                  <w:r>
                    <w:rPr>
                      <w:szCs w:val="21"/>
                      <w:highlight w:val="none"/>
                    </w:rPr>
                    <w:t>化粪池</w:t>
                  </w:r>
                </w:p>
              </w:tc>
              <w:tc>
                <w:tcPr>
                  <w:tcW w:w="603" w:type="pct"/>
                  <w:tcBorders>
                    <w:right w:val="nil"/>
                  </w:tcBorders>
                  <w:vAlign w:val="center"/>
                </w:tcPr>
                <w:p>
                  <w:pPr>
                    <w:pStyle w:val="58"/>
                    <w:jc w:val="center"/>
                    <w:rPr>
                      <w:bCs/>
                      <w:sz w:val="21"/>
                      <w:highlight w:val="none"/>
                    </w:rPr>
                  </w:pPr>
                  <w:r>
                    <w:rPr>
                      <w:rFonts w:hint="eastAsia"/>
                      <w:bCs/>
                      <w:sz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58"/>
                    <w:jc w:val="center"/>
                    <w:rPr>
                      <w:bCs/>
                      <w:sz w:val="21"/>
                      <w:highlight w:val="none"/>
                    </w:rPr>
                  </w:pPr>
                </w:p>
              </w:tc>
              <w:tc>
                <w:tcPr>
                  <w:tcW w:w="1221" w:type="pct"/>
                  <w:vAlign w:val="center"/>
                </w:tcPr>
                <w:p>
                  <w:pPr>
                    <w:pStyle w:val="58"/>
                    <w:jc w:val="center"/>
                    <w:rPr>
                      <w:bCs/>
                      <w:sz w:val="21"/>
                      <w:highlight w:val="none"/>
                    </w:rPr>
                  </w:pPr>
                  <w:r>
                    <w:rPr>
                      <w:rFonts w:hint="eastAsia"/>
                      <w:bCs/>
                      <w:sz w:val="21"/>
                      <w:highlight w:val="none"/>
                    </w:rPr>
                    <w:t>生产废水</w:t>
                  </w:r>
                </w:p>
              </w:tc>
              <w:tc>
                <w:tcPr>
                  <w:tcW w:w="2628" w:type="pct"/>
                  <w:vAlign w:val="center"/>
                </w:tcPr>
                <w:p>
                  <w:pPr>
                    <w:pStyle w:val="35"/>
                    <w:tabs>
                      <w:tab w:val="left" w:pos="1110"/>
                    </w:tabs>
                    <w:spacing w:after="0" w:line="240" w:lineRule="auto"/>
                    <w:jc w:val="center"/>
                    <w:rPr>
                      <w:rFonts w:hint="default" w:eastAsia="宋体"/>
                      <w:szCs w:val="21"/>
                      <w:highlight w:val="none"/>
                      <w:lang w:val="en-US" w:eastAsia="zh-CN"/>
                    </w:rPr>
                  </w:pPr>
                  <w:r>
                    <w:rPr>
                      <w:rFonts w:hint="eastAsia"/>
                      <w:szCs w:val="21"/>
                      <w:highlight w:val="none"/>
                    </w:rPr>
                    <w:t>污水处理站</w:t>
                  </w:r>
                  <w:r>
                    <w:rPr>
                      <w:rFonts w:hint="eastAsia"/>
                      <w:szCs w:val="21"/>
                      <w:highlight w:val="none"/>
                      <w:lang w:val="en-US" w:eastAsia="zh-CN"/>
                    </w:rPr>
                    <w:t>及外排至池塘管道</w:t>
                  </w:r>
                </w:p>
              </w:tc>
              <w:tc>
                <w:tcPr>
                  <w:tcW w:w="603" w:type="pct"/>
                  <w:tcBorders>
                    <w:right w:val="nil"/>
                  </w:tcBorders>
                  <w:vAlign w:val="center"/>
                </w:tcPr>
                <w:p>
                  <w:pPr>
                    <w:pStyle w:val="58"/>
                    <w:jc w:val="center"/>
                    <w:rPr>
                      <w:rFonts w:hint="default" w:eastAsia="宋体"/>
                      <w:bCs/>
                      <w:sz w:val="21"/>
                      <w:highlight w:val="none"/>
                      <w:lang w:val="en-US" w:eastAsia="zh-CN"/>
                    </w:rPr>
                  </w:pPr>
                  <w:r>
                    <w:rPr>
                      <w:rFonts w:hint="eastAsia"/>
                      <w:bCs/>
                      <w:color w:val="0000FF"/>
                      <w:sz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tcBorders>
                    <w:left w:val="nil"/>
                  </w:tcBorders>
                  <w:vAlign w:val="center"/>
                </w:tcPr>
                <w:p>
                  <w:pPr>
                    <w:pStyle w:val="58"/>
                    <w:jc w:val="center"/>
                    <w:rPr>
                      <w:bCs/>
                      <w:sz w:val="21"/>
                      <w:highlight w:val="none"/>
                    </w:rPr>
                  </w:pPr>
                  <w:r>
                    <w:rPr>
                      <w:bCs/>
                      <w:sz w:val="21"/>
                      <w:highlight w:val="none"/>
                    </w:rPr>
                    <w:t>废气</w:t>
                  </w:r>
                </w:p>
              </w:tc>
              <w:tc>
                <w:tcPr>
                  <w:tcW w:w="1221" w:type="pct"/>
                  <w:vAlign w:val="center"/>
                </w:tcPr>
                <w:p>
                  <w:pPr>
                    <w:pStyle w:val="35"/>
                    <w:tabs>
                      <w:tab w:val="left" w:pos="1110"/>
                    </w:tabs>
                    <w:spacing w:after="0" w:line="240" w:lineRule="auto"/>
                    <w:jc w:val="center"/>
                    <w:rPr>
                      <w:szCs w:val="21"/>
                      <w:highlight w:val="none"/>
                    </w:rPr>
                  </w:pPr>
                  <w:r>
                    <w:rPr>
                      <w:rFonts w:hint="eastAsia"/>
                      <w:szCs w:val="21"/>
                      <w:highlight w:val="none"/>
                    </w:rPr>
                    <w:t>锅炉烟气</w:t>
                  </w:r>
                </w:p>
              </w:tc>
              <w:tc>
                <w:tcPr>
                  <w:tcW w:w="2628" w:type="pct"/>
                  <w:vAlign w:val="center"/>
                </w:tcPr>
                <w:p>
                  <w:pPr>
                    <w:pStyle w:val="35"/>
                    <w:tabs>
                      <w:tab w:val="left" w:pos="1110"/>
                    </w:tabs>
                    <w:spacing w:after="0" w:line="240" w:lineRule="auto"/>
                    <w:jc w:val="center"/>
                    <w:rPr>
                      <w:szCs w:val="21"/>
                      <w:highlight w:val="none"/>
                    </w:rPr>
                  </w:pPr>
                  <w:r>
                    <w:rPr>
                      <w:rFonts w:hint="eastAsia"/>
                      <w:szCs w:val="21"/>
                      <w:highlight w:val="none"/>
                    </w:rPr>
                    <w:t>袋式除尘</w:t>
                  </w:r>
                  <w:r>
                    <w:rPr>
                      <w:szCs w:val="21"/>
                      <w:highlight w:val="none"/>
                    </w:rPr>
                    <w:t>+</w:t>
                  </w:r>
                  <w:r>
                    <w:rPr>
                      <w:rFonts w:hint="eastAsia"/>
                      <w:szCs w:val="21"/>
                      <w:highlight w:val="none"/>
                    </w:rPr>
                    <w:t>30m高排气筒DA001</w:t>
                  </w:r>
                </w:p>
              </w:tc>
              <w:tc>
                <w:tcPr>
                  <w:tcW w:w="603" w:type="pct"/>
                  <w:tcBorders>
                    <w:right w:val="nil"/>
                  </w:tcBorders>
                  <w:vAlign w:val="center"/>
                </w:tcPr>
                <w:p>
                  <w:pPr>
                    <w:pStyle w:val="58"/>
                    <w:jc w:val="center"/>
                    <w:rPr>
                      <w:rFonts w:hint="default" w:eastAsia="宋体"/>
                      <w:bCs/>
                      <w:sz w:val="21"/>
                      <w:highlight w:val="none"/>
                      <w:lang w:val="en-US" w:eastAsia="zh-CN"/>
                    </w:rPr>
                  </w:pPr>
                  <w:r>
                    <w:rPr>
                      <w:rFonts w:hint="eastAsia"/>
                      <w:bCs/>
                      <w:sz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tcBorders>
                    <w:left w:val="nil"/>
                  </w:tcBorders>
                  <w:vAlign w:val="center"/>
                </w:tcPr>
                <w:p>
                  <w:pPr>
                    <w:pStyle w:val="58"/>
                    <w:jc w:val="center"/>
                    <w:rPr>
                      <w:bCs/>
                      <w:sz w:val="21"/>
                      <w:highlight w:val="none"/>
                    </w:rPr>
                  </w:pPr>
                  <w:r>
                    <w:rPr>
                      <w:bCs/>
                      <w:sz w:val="21"/>
                      <w:highlight w:val="none"/>
                    </w:rPr>
                    <w:t>噪声</w:t>
                  </w:r>
                </w:p>
              </w:tc>
              <w:tc>
                <w:tcPr>
                  <w:tcW w:w="1221" w:type="pct"/>
                  <w:vAlign w:val="center"/>
                </w:tcPr>
                <w:p>
                  <w:pPr>
                    <w:pStyle w:val="58"/>
                    <w:jc w:val="center"/>
                    <w:rPr>
                      <w:bCs/>
                      <w:sz w:val="21"/>
                      <w:highlight w:val="none"/>
                    </w:rPr>
                  </w:pPr>
                  <w:r>
                    <w:rPr>
                      <w:bCs/>
                      <w:sz w:val="21"/>
                      <w:highlight w:val="none"/>
                    </w:rPr>
                    <w:t>机械噪声</w:t>
                  </w:r>
                </w:p>
              </w:tc>
              <w:tc>
                <w:tcPr>
                  <w:tcW w:w="2628" w:type="pct"/>
                  <w:vAlign w:val="center"/>
                </w:tcPr>
                <w:p>
                  <w:pPr>
                    <w:pStyle w:val="58"/>
                    <w:jc w:val="center"/>
                    <w:rPr>
                      <w:bCs/>
                      <w:sz w:val="21"/>
                      <w:highlight w:val="none"/>
                    </w:rPr>
                  </w:pPr>
                  <w:r>
                    <w:rPr>
                      <w:bCs/>
                      <w:sz w:val="21"/>
                      <w:highlight w:val="none"/>
                    </w:rPr>
                    <w:t>减振垫、隔音材料等</w:t>
                  </w:r>
                </w:p>
              </w:tc>
              <w:tc>
                <w:tcPr>
                  <w:tcW w:w="603" w:type="pct"/>
                  <w:tcBorders>
                    <w:right w:val="nil"/>
                  </w:tcBorders>
                  <w:vAlign w:val="center"/>
                </w:tcPr>
                <w:p>
                  <w:pPr>
                    <w:pStyle w:val="58"/>
                    <w:jc w:val="center"/>
                    <w:rPr>
                      <w:bCs/>
                      <w:sz w:val="21"/>
                      <w:highlight w:val="none"/>
                    </w:rPr>
                  </w:pPr>
                  <w:r>
                    <w:rPr>
                      <w:rFonts w:hint="eastAsia"/>
                      <w:bCs/>
                      <w:sz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restart"/>
                  <w:tcBorders>
                    <w:left w:val="nil"/>
                  </w:tcBorders>
                  <w:vAlign w:val="center"/>
                </w:tcPr>
                <w:p>
                  <w:pPr>
                    <w:pStyle w:val="58"/>
                    <w:jc w:val="center"/>
                    <w:rPr>
                      <w:bCs/>
                      <w:sz w:val="21"/>
                      <w:highlight w:val="none"/>
                    </w:rPr>
                  </w:pPr>
                  <w:r>
                    <w:rPr>
                      <w:bCs/>
                      <w:sz w:val="21"/>
                      <w:highlight w:val="none"/>
                    </w:rPr>
                    <w:t>固体废物</w:t>
                  </w:r>
                </w:p>
              </w:tc>
              <w:tc>
                <w:tcPr>
                  <w:tcW w:w="1221" w:type="pct"/>
                  <w:vAlign w:val="center"/>
                </w:tcPr>
                <w:p>
                  <w:pPr>
                    <w:pStyle w:val="58"/>
                    <w:jc w:val="center"/>
                    <w:rPr>
                      <w:bCs/>
                      <w:sz w:val="21"/>
                      <w:highlight w:val="none"/>
                    </w:rPr>
                  </w:pPr>
                  <w:r>
                    <w:rPr>
                      <w:rFonts w:hint="eastAsia"/>
                      <w:bCs/>
                      <w:sz w:val="21"/>
                      <w:highlight w:val="none"/>
                    </w:rPr>
                    <w:t>一般</w:t>
                  </w:r>
                  <w:r>
                    <w:rPr>
                      <w:bCs/>
                      <w:sz w:val="21"/>
                      <w:highlight w:val="none"/>
                    </w:rPr>
                    <w:t>工业固废</w:t>
                  </w:r>
                </w:p>
              </w:tc>
              <w:tc>
                <w:tcPr>
                  <w:tcW w:w="2628" w:type="pct"/>
                  <w:vAlign w:val="center"/>
                </w:tcPr>
                <w:p>
                  <w:pPr>
                    <w:pStyle w:val="58"/>
                    <w:jc w:val="center"/>
                    <w:rPr>
                      <w:bCs/>
                      <w:sz w:val="21"/>
                      <w:highlight w:val="none"/>
                    </w:rPr>
                  </w:pPr>
                  <w:r>
                    <w:rPr>
                      <w:rFonts w:hint="eastAsia"/>
                      <w:bCs/>
                      <w:sz w:val="21"/>
                      <w:highlight w:val="none"/>
                    </w:rPr>
                    <w:t>50</w:t>
                  </w:r>
                  <w:r>
                    <w:rPr>
                      <w:bCs/>
                      <w:sz w:val="21"/>
                      <w:highlight w:val="none"/>
                    </w:rPr>
                    <w:t>m</w:t>
                  </w:r>
                  <w:r>
                    <w:rPr>
                      <w:bCs/>
                      <w:sz w:val="21"/>
                      <w:highlight w:val="none"/>
                      <w:vertAlign w:val="superscript"/>
                    </w:rPr>
                    <w:t>2</w:t>
                  </w:r>
                  <w:r>
                    <w:rPr>
                      <w:bCs/>
                      <w:sz w:val="21"/>
                      <w:highlight w:val="none"/>
                    </w:rPr>
                    <w:t>一般固废暂存区</w:t>
                  </w:r>
                </w:p>
              </w:tc>
              <w:tc>
                <w:tcPr>
                  <w:tcW w:w="603" w:type="pct"/>
                  <w:tcBorders>
                    <w:right w:val="nil"/>
                  </w:tcBorders>
                  <w:vAlign w:val="center"/>
                </w:tcPr>
                <w:p>
                  <w:pPr>
                    <w:pStyle w:val="58"/>
                    <w:jc w:val="center"/>
                    <w:rPr>
                      <w:bCs/>
                      <w:sz w:val="21"/>
                      <w:highlight w:val="none"/>
                    </w:rPr>
                  </w:pPr>
                  <w:r>
                    <w:rPr>
                      <w:rFonts w:hint="eastAsia"/>
                      <w:bCs/>
                      <w:sz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58"/>
                    <w:jc w:val="center"/>
                    <w:rPr>
                      <w:bCs/>
                      <w:sz w:val="21"/>
                      <w:highlight w:val="none"/>
                    </w:rPr>
                  </w:pPr>
                </w:p>
              </w:tc>
              <w:tc>
                <w:tcPr>
                  <w:tcW w:w="1221" w:type="pct"/>
                  <w:vAlign w:val="center"/>
                </w:tcPr>
                <w:p>
                  <w:pPr>
                    <w:pStyle w:val="58"/>
                    <w:jc w:val="center"/>
                    <w:rPr>
                      <w:bCs/>
                      <w:sz w:val="21"/>
                      <w:highlight w:val="none"/>
                    </w:rPr>
                  </w:pPr>
                  <w:r>
                    <w:rPr>
                      <w:rFonts w:hint="eastAsia"/>
                      <w:bCs/>
                      <w:sz w:val="21"/>
                      <w:highlight w:val="none"/>
                    </w:rPr>
                    <w:t>危险废物</w:t>
                  </w:r>
                </w:p>
              </w:tc>
              <w:tc>
                <w:tcPr>
                  <w:tcW w:w="2628" w:type="pct"/>
                  <w:vAlign w:val="center"/>
                </w:tcPr>
                <w:p>
                  <w:pPr>
                    <w:pStyle w:val="58"/>
                    <w:jc w:val="center"/>
                    <w:rPr>
                      <w:bCs/>
                      <w:sz w:val="21"/>
                      <w:highlight w:val="none"/>
                    </w:rPr>
                  </w:pPr>
                  <w:r>
                    <w:rPr>
                      <w:rFonts w:hint="eastAsia"/>
                      <w:bCs/>
                      <w:sz w:val="21"/>
                      <w:highlight w:val="none"/>
                    </w:rPr>
                    <w:t>10m</w:t>
                  </w:r>
                  <w:r>
                    <w:rPr>
                      <w:rFonts w:hint="eastAsia"/>
                      <w:bCs/>
                      <w:sz w:val="21"/>
                      <w:highlight w:val="none"/>
                      <w:vertAlign w:val="superscript"/>
                    </w:rPr>
                    <w:t>2</w:t>
                  </w:r>
                  <w:r>
                    <w:rPr>
                      <w:rFonts w:hint="eastAsia"/>
                      <w:bCs/>
                      <w:sz w:val="21"/>
                      <w:highlight w:val="none"/>
                    </w:rPr>
                    <w:t>危废暂存间，委托有资质单位处置</w:t>
                  </w:r>
                </w:p>
              </w:tc>
              <w:tc>
                <w:tcPr>
                  <w:tcW w:w="603" w:type="pct"/>
                  <w:tcBorders>
                    <w:right w:val="nil"/>
                  </w:tcBorders>
                  <w:vAlign w:val="center"/>
                </w:tcPr>
                <w:p>
                  <w:pPr>
                    <w:pStyle w:val="58"/>
                    <w:jc w:val="center"/>
                    <w:rPr>
                      <w:bCs/>
                      <w:sz w:val="21"/>
                      <w:highlight w:val="none"/>
                    </w:rPr>
                  </w:pPr>
                  <w:r>
                    <w:rPr>
                      <w:rFonts w:hint="eastAsia"/>
                      <w:bCs/>
                      <w:sz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58"/>
                    <w:jc w:val="center"/>
                    <w:rPr>
                      <w:bCs/>
                      <w:sz w:val="21"/>
                      <w:highlight w:val="none"/>
                    </w:rPr>
                  </w:pPr>
                </w:p>
              </w:tc>
              <w:tc>
                <w:tcPr>
                  <w:tcW w:w="1221" w:type="pct"/>
                  <w:vAlign w:val="center"/>
                </w:tcPr>
                <w:p>
                  <w:pPr>
                    <w:pStyle w:val="58"/>
                    <w:jc w:val="center"/>
                    <w:rPr>
                      <w:bCs/>
                      <w:sz w:val="21"/>
                      <w:highlight w:val="none"/>
                    </w:rPr>
                  </w:pPr>
                  <w:r>
                    <w:rPr>
                      <w:bCs/>
                      <w:sz w:val="21"/>
                      <w:highlight w:val="none"/>
                    </w:rPr>
                    <w:t>生活垃圾</w:t>
                  </w:r>
                </w:p>
              </w:tc>
              <w:tc>
                <w:tcPr>
                  <w:tcW w:w="2628" w:type="pct"/>
                  <w:vAlign w:val="center"/>
                </w:tcPr>
                <w:p>
                  <w:pPr>
                    <w:pStyle w:val="58"/>
                    <w:jc w:val="center"/>
                    <w:rPr>
                      <w:bCs/>
                      <w:sz w:val="21"/>
                      <w:highlight w:val="none"/>
                    </w:rPr>
                  </w:pPr>
                  <w:r>
                    <w:rPr>
                      <w:bCs/>
                      <w:sz w:val="21"/>
                      <w:highlight w:val="none"/>
                    </w:rPr>
                    <w:t>垃圾桶</w:t>
                  </w:r>
                </w:p>
              </w:tc>
              <w:tc>
                <w:tcPr>
                  <w:tcW w:w="603" w:type="pct"/>
                  <w:tcBorders>
                    <w:right w:val="nil"/>
                  </w:tcBorders>
                  <w:vAlign w:val="center"/>
                </w:tcPr>
                <w:p>
                  <w:pPr>
                    <w:pStyle w:val="58"/>
                    <w:jc w:val="center"/>
                    <w:rPr>
                      <w:bCs/>
                      <w:sz w:val="21"/>
                      <w:highlight w:val="none"/>
                    </w:rPr>
                  </w:pPr>
                  <w:r>
                    <w:rPr>
                      <w:bCs/>
                      <w:sz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768" w:type="pct"/>
                  <w:gridSpan w:val="2"/>
                  <w:tcBorders>
                    <w:left w:val="nil"/>
                  </w:tcBorders>
                  <w:vAlign w:val="center"/>
                </w:tcPr>
                <w:p>
                  <w:pPr>
                    <w:pStyle w:val="58"/>
                    <w:jc w:val="center"/>
                    <w:rPr>
                      <w:bCs/>
                      <w:sz w:val="21"/>
                      <w:highlight w:val="none"/>
                    </w:rPr>
                  </w:pPr>
                  <w:r>
                    <w:rPr>
                      <w:rFonts w:hint="eastAsia"/>
                      <w:bCs/>
                      <w:sz w:val="21"/>
                      <w:highlight w:val="none"/>
                    </w:rPr>
                    <w:t>其他</w:t>
                  </w:r>
                </w:p>
              </w:tc>
              <w:tc>
                <w:tcPr>
                  <w:tcW w:w="2628" w:type="pct"/>
                  <w:vAlign w:val="center"/>
                </w:tcPr>
                <w:p>
                  <w:pPr>
                    <w:pStyle w:val="58"/>
                    <w:jc w:val="center"/>
                    <w:rPr>
                      <w:bCs/>
                      <w:sz w:val="21"/>
                      <w:highlight w:val="none"/>
                    </w:rPr>
                  </w:pPr>
                  <w:r>
                    <w:rPr>
                      <w:bCs/>
                      <w:kern w:val="2"/>
                      <w:sz w:val="21"/>
                      <w:highlight w:val="none"/>
                    </w:rPr>
                    <w:t>环保标识</w:t>
                  </w:r>
                  <w:r>
                    <w:rPr>
                      <w:rFonts w:hint="eastAsia"/>
                      <w:bCs/>
                      <w:kern w:val="2"/>
                      <w:sz w:val="21"/>
                      <w:highlight w:val="none"/>
                    </w:rPr>
                    <w:t>、环境风险防范措施</w:t>
                  </w:r>
                  <w:r>
                    <w:rPr>
                      <w:bCs/>
                      <w:kern w:val="2"/>
                      <w:sz w:val="21"/>
                      <w:highlight w:val="none"/>
                    </w:rPr>
                    <w:t>等</w:t>
                  </w:r>
                </w:p>
              </w:tc>
              <w:tc>
                <w:tcPr>
                  <w:tcW w:w="603" w:type="pct"/>
                  <w:tcBorders>
                    <w:right w:val="nil"/>
                  </w:tcBorders>
                  <w:vAlign w:val="center"/>
                </w:tcPr>
                <w:p>
                  <w:pPr>
                    <w:pStyle w:val="58"/>
                    <w:jc w:val="center"/>
                    <w:rPr>
                      <w:rFonts w:hint="eastAsia" w:eastAsia="宋体"/>
                      <w:bCs/>
                      <w:sz w:val="21"/>
                      <w:highlight w:val="none"/>
                      <w:lang w:eastAsia="zh-CN"/>
                    </w:rPr>
                  </w:pPr>
                  <w:r>
                    <w:rPr>
                      <w:rFonts w:hint="eastAsia"/>
                      <w:bCs/>
                      <w:sz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6" w:type="pct"/>
                  <w:gridSpan w:val="3"/>
                  <w:tcBorders>
                    <w:left w:val="nil"/>
                  </w:tcBorders>
                  <w:vAlign w:val="center"/>
                </w:tcPr>
                <w:p>
                  <w:pPr>
                    <w:pStyle w:val="58"/>
                    <w:jc w:val="center"/>
                    <w:rPr>
                      <w:bCs/>
                      <w:sz w:val="21"/>
                      <w:highlight w:val="none"/>
                    </w:rPr>
                  </w:pPr>
                  <w:r>
                    <w:rPr>
                      <w:bCs/>
                      <w:sz w:val="21"/>
                      <w:highlight w:val="none"/>
                    </w:rPr>
                    <w:t>合计</w:t>
                  </w:r>
                </w:p>
              </w:tc>
              <w:tc>
                <w:tcPr>
                  <w:tcW w:w="603" w:type="pct"/>
                  <w:tcBorders>
                    <w:right w:val="nil"/>
                  </w:tcBorders>
                  <w:vAlign w:val="center"/>
                </w:tcPr>
                <w:p>
                  <w:pPr>
                    <w:pStyle w:val="58"/>
                    <w:jc w:val="center"/>
                    <w:rPr>
                      <w:rFonts w:hint="default" w:eastAsia="宋体"/>
                      <w:bCs/>
                      <w:sz w:val="21"/>
                      <w:highlight w:val="none"/>
                      <w:lang w:val="en-US" w:eastAsia="zh-CN"/>
                    </w:rPr>
                  </w:pPr>
                  <w:r>
                    <w:rPr>
                      <w:rFonts w:hint="eastAsia"/>
                      <w:bCs/>
                      <w:color w:val="0000FF"/>
                      <w:sz w:val="21"/>
                      <w:highlight w:val="none"/>
                      <w:lang w:val="en-US" w:eastAsia="zh-CN"/>
                    </w:rPr>
                    <w:t>339.2</w:t>
                  </w:r>
                </w:p>
              </w:tc>
            </w:tr>
          </w:tbl>
          <w:p>
            <w:pPr>
              <w:keepNext/>
              <w:keepLines/>
              <w:spacing w:line="360" w:lineRule="auto"/>
              <w:ind w:firstLine="481" w:firstLineChars="200"/>
              <w:rPr>
                <w:b/>
                <w:bCs/>
                <w:kern w:val="44"/>
                <w:sz w:val="24"/>
                <w:highlight w:val="none"/>
              </w:rPr>
            </w:pPr>
            <w:r>
              <w:rPr>
                <w:rFonts w:hint="eastAsia"/>
                <w:b/>
                <w:bCs/>
                <w:kern w:val="44"/>
                <w:sz w:val="24"/>
                <w:highlight w:val="none"/>
              </w:rPr>
              <w:t>10、</w:t>
            </w:r>
            <w:r>
              <w:rPr>
                <w:b/>
                <w:bCs/>
                <w:kern w:val="44"/>
                <w:sz w:val="24"/>
                <w:highlight w:val="none"/>
              </w:rPr>
              <w:t>与排污许可制度衔接的管理要求</w:t>
            </w:r>
          </w:p>
          <w:p>
            <w:pPr>
              <w:spacing w:line="360" w:lineRule="auto"/>
              <w:ind w:firstLine="480" w:firstLineChars="200"/>
              <w:rPr>
                <w:sz w:val="24"/>
                <w:highlight w:val="none"/>
              </w:rPr>
            </w:pPr>
            <w:r>
              <w:rPr>
                <w:rFonts w:hint="eastAsia"/>
                <w:sz w:val="24"/>
                <w:highlight w:val="none"/>
              </w:rPr>
              <w:t>本项目在执行环境影响评价中的相关要求的同时，应按照环境保护部办公厅于2017年11月15日发布的《关于做好环境影响评价制度与排污许可制衔接相关工作的通知》（环办环评〔2017〕84号）、《排污许可管理办法》（2018年1月10日起施行）、《固定污染源排污许可分类管理名录（2019年版）》以及《排污许可管理条例》（2021年3月1日实施）要求做好排污许可制度的衔接工作。</w:t>
            </w:r>
          </w:p>
          <w:p>
            <w:pPr>
              <w:spacing w:line="360" w:lineRule="auto"/>
              <w:ind w:firstLine="480" w:firstLineChars="200"/>
              <w:rPr>
                <w:sz w:val="24"/>
                <w:highlight w:val="none"/>
              </w:rPr>
            </w:pPr>
            <w:r>
              <w:rPr>
                <w:rFonts w:hint="eastAsia"/>
                <w:sz w:val="24"/>
                <w:highlight w:val="none"/>
              </w:rPr>
              <w:t>本项目属于《固定污染源排污许可分类管理名录（2019 年版）》“八、农副食品加工业——其他农副食品加工139——其他*”以及“五十一、通用工序——锅炉——单台且合计出力20吨/小时（14兆瓦）以下的锅炉”，执行登记管理。</w:t>
            </w:r>
          </w:p>
          <w:p>
            <w:pPr>
              <w:pStyle w:val="38"/>
              <w:ind w:firstLine="240"/>
              <w:rPr>
                <w:rFonts w:hint="default"/>
                <w:highlight w:val="none"/>
              </w:rPr>
            </w:pPr>
          </w:p>
        </w:tc>
      </w:tr>
    </w:tbl>
    <w:p>
      <w:pPr>
        <w:rPr>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36"/>
        <w:jc w:val="center"/>
        <w:outlineLvl w:val="0"/>
        <w:rPr>
          <w:rFonts w:cs="宋体"/>
          <w:b/>
          <w:bCs/>
          <w:snapToGrid w:val="0"/>
          <w:sz w:val="30"/>
          <w:szCs w:val="30"/>
          <w:highlight w:val="none"/>
        </w:rPr>
      </w:pPr>
      <w:r>
        <w:rPr>
          <w:rFonts w:hint="eastAsia" w:cs="宋体"/>
          <w:b/>
          <w:bCs/>
          <w:snapToGrid w:val="0"/>
          <w:sz w:val="30"/>
          <w:szCs w:val="30"/>
          <w:highlight w:val="none"/>
        </w:rPr>
        <w:t>五、</w:t>
      </w:r>
      <w:bookmarkStart w:id="24" w:name="_Hlk54167917"/>
      <w:r>
        <w:rPr>
          <w:rFonts w:hint="eastAsia" w:cs="宋体"/>
          <w:b/>
          <w:bCs/>
          <w:snapToGrid w:val="0"/>
          <w:sz w:val="30"/>
          <w:szCs w:val="30"/>
          <w:highlight w:val="none"/>
        </w:rPr>
        <w:t>环境保护措施监督检查清单</w:t>
      </w:r>
      <w:bookmarkEnd w:id="24"/>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00"/>
        <w:gridCol w:w="1554"/>
        <w:gridCol w:w="1742"/>
        <w:gridCol w:w="2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tcBorders>
              <w:tl2br w:val="single" w:color="auto" w:sz="4" w:space="0"/>
            </w:tcBorders>
          </w:tcPr>
          <w:p>
            <w:pPr>
              <w:adjustRightInd w:val="0"/>
              <w:snapToGrid w:val="0"/>
              <w:jc w:val="right"/>
              <w:rPr>
                <w:rFonts w:ascii="宋体" w:hAnsi="宋体" w:cs="宋体"/>
                <w:b/>
                <w:bCs/>
                <w:szCs w:val="21"/>
                <w:highlight w:val="none"/>
              </w:rPr>
            </w:pPr>
            <w:r>
              <w:rPr>
                <w:rFonts w:hint="eastAsia" w:ascii="宋体" w:hAnsi="宋体" w:cs="宋体"/>
                <w:b/>
                <w:bCs/>
                <w:szCs w:val="21"/>
                <w:highlight w:val="none"/>
              </w:rPr>
              <w:t>内容</w:t>
            </w:r>
          </w:p>
          <w:p>
            <w:pPr>
              <w:adjustRightInd w:val="0"/>
              <w:snapToGrid w:val="0"/>
              <w:rPr>
                <w:rFonts w:ascii="宋体" w:hAnsi="宋体" w:cs="宋体"/>
                <w:b/>
                <w:bCs/>
                <w:szCs w:val="21"/>
                <w:highlight w:val="none"/>
              </w:rPr>
            </w:pPr>
            <w:r>
              <w:rPr>
                <w:rFonts w:hint="eastAsia" w:ascii="宋体" w:hAnsi="宋体" w:cs="宋体"/>
                <w:b/>
                <w:bCs/>
                <w:szCs w:val="21"/>
                <w:highlight w:val="none"/>
              </w:rPr>
              <w:t>要素</w:t>
            </w:r>
          </w:p>
        </w:tc>
        <w:tc>
          <w:tcPr>
            <w:tcW w:w="150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排放口(编号、名称)/污染源</w:t>
            </w:r>
          </w:p>
        </w:tc>
        <w:tc>
          <w:tcPr>
            <w:tcW w:w="1554"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污染物项目</w:t>
            </w:r>
          </w:p>
        </w:tc>
        <w:tc>
          <w:tcPr>
            <w:tcW w:w="1742"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环境保护措施</w:t>
            </w:r>
          </w:p>
        </w:tc>
        <w:tc>
          <w:tcPr>
            <w:tcW w:w="2454"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restart"/>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大气环境</w:t>
            </w:r>
          </w:p>
        </w:tc>
        <w:tc>
          <w:tcPr>
            <w:tcW w:w="1500" w:type="dxa"/>
            <w:vAlign w:val="center"/>
          </w:tcPr>
          <w:p>
            <w:pPr>
              <w:pStyle w:val="35"/>
              <w:tabs>
                <w:tab w:val="left" w:pos="1110"/>
              </w:tabs>
              <w:spacing w:after="0" w:line="240" w:lineRule="auto"/>
              <w:jc w:val="center"/>
              <w:rPr>
                <w:szCs w:val="21"/>
                <w:highlight w:val="none"/>
              </w:rPr>
            </w:pPr>
            <w:r>
              <w:rPr>
                <w:rFonts w:hint="eastAsia"/>
                <w:szCs w:val="21"/>
                <w:highlight w:val="none"/>
              </w:rPr>
              <w:t>锅炉烟气排放口（DA001）</w:t>
            </w:r>
          </w:p>
        </w:tc>
        <w:tc>
          <w:tcPr>
            <w:tcW w:w="1554" w:type="dxa"/>
            <w:vAlign w:val="center"/>
          </w:tcPr>
          <w:p>
            <w:pPr>
              <w:adjustRightInd w:val="0"/>
              <w:snapToGrid w:val="0"/>
              <w:jc w:val="center"/>
              <w:rPr>
                <w:szCs w:val="21"/>
                <w:highlight w:val="none"/>
              </w:rPr>
            </w:pPr>
            <w:r>
              <w:rPr>
                <w:rFonts w:hint="eastAsia"/>
                <w:szCs w:val="21"/>
                <w:highlight w:val="none"/>
              </w:rPr>
              <w:t>颗粒物</w:t>
            </w:r>
          </w:p>
          <w:p>
            <w:pPr>
              <w:adjustRightInd w:val="0"/>
              <w:snapToGrid w:val="0"/>
              <w:jc w:val="center"/>
              <w:rPr>
                <w:szCs w:val="21"/>
                <w:highlight w:val="none"/>
              </w:rPr>
            </w:pPr>
            <w:r>
              <w:rPr>
                <w:rFonts w:hint="eastAsia"/>
                <w:szCs w:val="21"/>
                <w:highlight w:val="none"/>
              </w:rPr>
              <w:t>二氧化硫</w:t>
            </w:r>
          </w:p>
          <w:p>
            <w:pPr>
              <w:adjustRightInd w:val="0"/>
              <w:snapToGrid w:val="0"/>
              <w:jc w:val="center"/>
              <w:rPr>
                <w:szCs w:val="21"/>
                <w:highlight w:val="none"/>
              </w:rPr>
            </w:pPr>
            <w:r>
              <w:rPr>
                <w:rFonts w:hint="eastAsia"/>
                <w:szCs w:val="21"/>
                <w:highlight w:val="none"/>
              </w:rPr>
              <w:t>氮氧化物</w:t>
            </w:r>
          </w:p>
          <w:p>
            <w:pPr>
              <w:adjustRightInd w:val="0"/>
              <w:snapToGrid w:val="0"/>
              <w:jc w:val="center"/>
              <w:rPr>
                <w:szCs w:val="21"/>
                <w:highlight w:val="none"/>
              </w:rPr>
            </w:pPr>
            <w:r>
              <w:rPr>
                <w:rFonts w:hint="eastAsia"/>
                <w:szCs w:val="21"/>
                <w:highlight w:val="none"/>
              </w:rPr>
              <w:t>林格曼黑度</w:t>
            </w:r>
          </w:p>
          <w:p>
            <w:pPr>
              <w:pStyle w:val="35"/>
              <w:tabs>
                <w:tab w:val="left" w:pos="1110"/>
              </w:tabs>
              <w:spacing w:after="0" w:line="240" w:lineRule="auto"/>
              <w:jc w:val="center"/>
              <w:rPr>
                <w:szCs w:val="21"/>
                <w:highlight w:val="none"/>
              </w:rPr>
            </w:pPr>
            <w:r>
              <w:rPr>
                <w:rFonts w:hint="eastAsia"/>
                <w:szCs w:val="21"/>
                <w:highlight w:val="none"/>
              </w:rPr>
              <w:t>汞及其化合物</w:t>
            </w:r>
          </w:p>
        </w:tc>
        <w:tc>
          <w:tcPr>
            <w:tcW w:w="1742" w:type="dxa"/>
            <w:vAlign w:val="center"/>
          </w:tcPr>
          <w:p>
            <w:pPr>
              <w:jc w:val="center"/>
              <w:rPr>
                <w:szCs w:val="21"/>
                <w:highlight w:val="none"/>
              </w:rPr>
            </w:pPr>
            <w:r>
              <w:rPr>
                <w:rFonts w:hint="eastAsia"/>
                <w:bCs/>
                <w:szCs w:val="21"/>
                <w:highlight w:val="none"/>
              </w:rPr>
              <w:t>袋式除尘</w:t>
            </w:r>
            <w:r>
              <w:rPr>
                <w:bCs/>
                <w:szCs w:val="21"/>
                <w:highlight w:val="none"/>
              </w:rPr>
              <w:t>+</w:t>
            </w:r>
            <w:r>
              <w:rPr>
                <w:rFonts w:hint="eastAsia"/>
                <w:bCs/>
                <w:szCs w:val="21"/>
                <w:highlight w:val="none"/>
              </w:rPr>
              <w:t>30m高排气筒DA001</w:t>
            </w:r>
          </w:p>
        </w:tc>
        <w:tc>
          <w:tcPr>
            <w:tcW w:w="2454" w:type="dxa"/>
            <w:vAlign w:val="center"/>
          </w:tcPr>
          <w:p>
            <w:pPr>
              <w:pStyle w:val="35"/>
              <w:tabs>
                <w:tab w:val="left" w:pos="1110"/>
              </w:tabs>
              <w:spacing w:after="0" w:line="240" w:lineRule="auto"/>
              <w:jc w:val="center"/>
              <w:rPr>
                <w:szCs w:val="21"/>
                <w:highlight w:val="none"/>
              </w:rPr>
            </w:pPr>
            <w:r>
              <w:rPr>
                <w:rFonts w:hint="eastAsia"/>
                <w:szCs w:val="21"/>
                <w:highlight w:val="none"/>
              </w:rPr>
              <w:t>《锅炉大气污染物排放标准》（</w:t>
            </w:r>
            <w:r>
              <w:rPr>
                <w:szCs w:val="21"/>
                <w:highlight w:val="none"/>
              </w:rPr>
              <w:t>GB13271-2014</w:t>
            </w:r>
            <w:r>
              <w:rPr>
                <w:rFonts w:hint="eastAsia"/>
                <w:szCs w:val="21"/>
                <w:highlight w:val="none"/>
              </w:rPr>
              <w:t>）表</w:t>
            </w:r>
            <w:r>
              <w:rPr>
                <w:szCs w:val="21"/>
                <w:highlight w:val="none"/>
              </w:rPr>
              <w:t>2</w:t>
            </w:r>
            <w:r>
              <w:rPr>
                <w:rFonts w:hint="eastAsia"/>
                <w:szCs w:val="21"/>
                <w:highlight w:val="none"/>
              </w:rPr>
              <w:t>燃煤锅炉标准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50" w:type="dxa"/>
            <w:vMerge w:val="continue"/>
            <w:vAlign w:val="center"/>
          </w:tcPr>
          <w:p>
            <w:pPr>
              <w:adjustRightInd w:val="0"/>
              <w:snapToGrid w:val="0"/>
              <w:jc w:val="center"/>
              <w:rPr>
                <w:rFonts w:ascii="宋体" w:hAnsi="宋体" w:cs="宋体"/>
                <w:b/>
                <w:bCs/>
                <w:szCs w:val="21"/>
                <w:highlight w:val="none"/>
              </w:rPr>
            </w:pPr>
          </w:p>
        </w:tc>
        <w:tc>
          <w:tcPr>
            <w:tcW w:w="1500" w:type="dxa"/>
            <w:vMerge w:val="restart"/>
            <w:vAlign w:val="center"/>
          </w:tcPr>
          <w:p>
            <w:pPr>
              <w:pStyle w:val="35"/>
              <w:tabs>
                <w:tab w:val="left" w:pos="1110"/>
              </w:tabs>
              <w:spacing w:after="0" w:line="240" w:lineRule="auto"/>
              <w:jc w:val="center"/>
              <w:rPr>
                <w:szCs w:val="21"/>
                <w:highlight w:val="none"/>
              </w:rPr>
            </w:pPr>
            <w:r>
              <w:rPr>
                <w:rFonts w:hint="eastAsia"/>
                <w:szCs w:val="21"/>
                <w:highlight w:val="none"/>
              </w:rPr>
              <w:t>污水处理站无组织</w:t>
            </w:r>
          </w:p>
        </w:tc>
        <w:tc>
          <w:tcPr>
            <w:tcW w:w="1554" w:type="dxa"/>
            <w:vAlign w:val="center"/>
          </w:tcPr>
          <w:p>
            <w:pPr>
              <w:pStyle w:val="35"/>
              <w:tabs>
                <w:tab w:val="left" w:pos="1110"/>
              </w:tabs>
              <w:spacing w:after="0" w:line="240" w:lineRule="auto"/>
              <w:jc w:val="center"/>
              <w:rPr>
                <w:szCs w:val="21"/>
                <w:highlight w:val="none"/>
              </w:rPr>
            </w:pPr>
            <w:r>
              <w:rPr>
                <w:rFonts w:hint="eastAsia"/>
                <w:bCs/>
                <w:szCs w:val="21"/>
                <w:highlight w:val="none"/>
              </w:rPr>
              <w:t>氨</w:t>
            </w:r>
          </w:p>
        </w:tc>
        <w:tc>
          <w:tcPr>
            <w:tcW w:w="1742" w:type="dxa"/>
            <w:vAlign w:val="center"/>
          </w:tcPr>
          <w:p>
            <w:pPr>
              <w:pStyle w:val="35"/>
              <w:tabs>
                <w:tab w:val="left" w:pos="1110"/>
              </w:tabs>
              <w:spacing w:after="0" w:line="240" w:lineRule="auto"/>
              <w:jc w:val="center"/>
              <w:rPr>
                <w:highlight w:val="none"/>
              </w:rPr>
            </w:pPr>
            <w:r>
              <w:rPr>
                <w:rFonts w:hint="eastAsia"/>
                <w:highlight w:val="none"/>
              </w:rPr>
              <w:t>/</w:t>
            </w:r>
          </w:p>
        </w:tc>
        <w:tc>
          <w:tcPr>
            <w:tcW w:w="2454" w:type="dxa"/>
            <w:vAlign w:val="center"/>
          </w:tcPr>
          <w:p>
            <w:pPr>
              <w:pStyle w:val="35"/>
              <w:tabs>
                <w:tab w:val="left" w:pos="1110"/>
              </w:tabs>
              <w:spacing w:after="0" w:line="240" w:lineRule="auto"/>
              <w:jc w:val="center"/>
              <w:rPr>
                <w:rFonts w:hint="default" w:eastAsia="宋体"/>
                <w:szCs w:val="21"/>
                <w:highlight w:val="none"/>
                <w:lang w:val="en-US" w:eastAsia="zh-CN"/>
              </w:rPr>
            </w:pPr>
            <w:r>
              <w:rPr>
                <w:szCs w:val="21"/>
                <w:highlight w:val="none"/>
              </w:rPr>
              <w:t>执行承诺限值</w:t>
            </w:r>
            <w:r>
              <w:rPr>
                <w:rFonts w:hint="eastAsia"/>
                <w:szCs w:val="21"/>
                <w:highlight w:val="none"/>
              </w:rPr>
              <w:t>1.0mg/</w:t>
            </w:r>
            <w:r>
              <w:rPr>
                <w:rFonts w:hint="eastAsia" w:eastAsia="宋体"/>
                <w:spacing w:val="-5"/>
                <w:sz w:val="22"/>
                <w:szCs w:val="22"/>
                <w:highlight w:val="none"/>
                <w:lang w:val="en-US" w:eastAsia="zh-CN"/>
              </w:rPr>
              <w:t>m</w:t>
            </w:r>
            <w:r>
              <w:rPr>
                <w:rFonts w:hint="eastAsia" w:eastAsia="宋体"/>
                <w:spacing w:val="-5"/>
                <w:sz w:val="22"/>
                <w:szCs w:val="22"/>
                <w:highlight w:val="none"/>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ascii="宋体" w:hAnsi="宋体" w:cs="宋体"/>
                <w:b/>
                <w:bCs/>
                <w:szCs w:val="21"/>
                <w:highlight w:val="none"/>
              </w:rPr>
            </w:pPr>
          </w:p>
        </w:tc>
        <w:tc>
          <w:tcPr>
            <w:tcW w:w="1500" w:type="dxa"/>
            <w:vMerge w:val="continue"/>
            <w:vAlign w:val="center"/>
          </w:tcPr>
          <w:p>
            <w:pPr>
              <w:pStyle w:val="35"/>
              <w:tabs>
                <w:tab w:val="left" w:pos="1110"/>
              </w:tabs>
              <w:spacing w:after="0" w:line="240" w:lineRule="auto"/>
              <w:jc w:val="center"/>
              <w:rPr>
                <w:szCs w:val="21"/>
                <w:highlight w:val="none"/>
              </w:rPr>
            </w:pPr>
          </w:p>
        </w:tc>
        <w:tc>
          <w:tcPr>
            <w:tcW w:w="1554" w:type="dxa"/>
            <w:vAlign w:val="center"/>
          </w:tcPr>
          <w:p>
            <w:pPr>
              <w:pStyle w:val="35"/>
              <w:tabs>
                <w:tab w:val="left" w:pos="1110"/>
              </w:tabs>
              <w:spacing w:after="0" w:line="240" w:lineRule="auto"/>
              <w:jc w:val="center"/>
              <w:rPr>
                <w:bCs/>
                <w:szCs w:val="21"/>
                <w:highlight w:val="none"/>
              </w:rPr>
            </w:pPr>
            <w:r>
              <w:rPr>
                <w:rFonts w:hint="eastAsia"/>
                <w:bCs/>
                <w:szCs w:val="21"/>
                <w:highlight w:val="none"/>
              </w:rPr>
              <w:t>硫化氢、臭气浓度</w:t>
            </w:r>
          </w:p>
        </w:tc>
        <w:tc>
          <w:tcPr>
            <w:tcW w:w="1742" w:type="dxa"/>
            <w:vAlign w:val="center"/>
          </w:tcPr>
          <w:p>
            <w:pPr>
              <w:pStyle w:val="35"/>
              <w:tabs>
                <w:tab w:val="left" w:pos="1110"/>
              </w:tabs>
              <w:spacing w:after="0" w:line="240" w:lineRule="auto"/>
              <w:jc w:val="center"/>
              <w:rPr>
                <w:highlight w:val="none"/>
              </w:rPr>
            </w:pPr>
            <w:r>
              <w:rPr>
                <w:rFonts w:hint="eastAsia"/>
                <w:highlight w:val="none"/>
              </w:rPr>
              <w:t>/</w:t>
            </w:r>
          </w:p>
        </w:tc>
        <w:tc>
          <w:tcPr>
            <w:tcW w:w="2454" w:type="dxa"/>
            <w:vAlign w:val="center"/>
          </w:tcPr>
          <w:p>
            <w:pPr>
              <w:pStyle w:val="35"/>
              <w:tabs>
                <w:tab w:val="left" w:pos="1110"/>
              </w:tabs>
              <w:spacing w:after="0" w:line="240" w:lineRule="auto"/>
              <w:jc w:val="center"/>
              <w:rPr>
                <w:szCs w:val="21"/>
                <w:highlight w:val="none"/>
              </w:rPr>
            </w:pPr>
            <w:r>
              <w:rPr>
                <w:szCs w:val="21"/>
                <w:highlight w:val="none"/>
              </w:rPr>
              <w:t>《恶臭污染物排放标准》（GB14554-93）表1中二级新扩改建标准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restart"/>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地表水环境</w:t>
            </w:r>
          </w:p>
        </w:tc>
        <w:tc>
          <w:tcPr>
            <w:tcW w:w="1500" w:type="dxa"/>
            <w:vAlign w:val="center"/>
          </w:tcPr>
          <w:p>
            <w:pPr>
              <w:adjustRightInd w:val="0"/>
              <w:snapToGrid w:val="0"/>
              <w:jc w:val="center"/>
              <w:rPr>
                <w:szCs w:val="21"/>
                <w:highlight w:val="none"/>
              </w:rPr>
            </w:pPr>
            <w:r>
              <w:rPr>
                <w:rFonts w:hint="eastAsia" w:ascii="宋体" w:hAnsi="宋体" w:cs="宋体"/>
                <w:szCs w:val="21"/>
                <w:highlight w:val="none"/>
              </w:rPr>
              <w:t>生活污水</w:t>
            </w:r>
          </w:p>
        </w:tc>
        <w:tc>
          <w:tcPr>
            <w:tcW w:w="1554" w:type="dxa"/>
            <w:vAlign w:val="center"/>
          </w:tcPr>
          <w:p>
            <w:pPr>
              <w:wordWrap w:val="0"/>
              <w:rPr>
                <w:szCs w:val="21"/>
                <w:highlight w:val="none"/>
              </w:rPr>
            </w:pPr>
            <w:r>
              <w:rPr>
                <w:rFonts w:hint="eastAsia"/>
                <w:bCs/>
                <w:szCs w:val="21"/>
                <w:highlight w:val="none"/>
              </w:rPr>
              <w:t>pH、COD</w:t>
            </w:r>
            <w:r>
              <w:rPr>
                <w:bCs/>
                <w:szCs w:val="21"/>
                <w:highlight w:val="none"/>
              </w:rPr>
              <w:t>、BOD</w:t>
            </w:r>
            <w:r>
              <w:rPr>
                <w:bCs/>
                <w:szCs w:val="21"/>
                <w:highlight w:val="none"/>
                <w:vertAlign w:val="subscript"/>
              </w:rPr>
              <w:t>5</w:t>
            </w:r>
            <w:r>
              <w:rPr>
                <w:bCs/>
                <w:szCs w:val="21"/>
                <w:highlight w:val="none"/>
              </w:rPr>
              <w:t>、SS、NH</w:t>
            </w:r>
            <w:r>
              <w:rPr>
                <w:bCs/>
                <w:szCs w:val="21"/>
                <w:highlight w:val="none"/>
                <w:vertAlign w:val="subscript"/>
              </w:rPr>
              <w:t>3</w:t>
            </w:r>
            <w:r>
              <w:rPr>
                <w:bCs/>
                <w:szCs w:val="21"/>
                <w:highlight w:val="none"/>
              </w:rPr>
              <w:t>-N</w:t>
            </w:r>
            <w:r>
              <w:rPr>
                <w:rFonts w:hint="eastAsia"/>
                <w:bCs/>
                <w:szCs w:val="21"/>
                <w:highlight w:val="none"/>
              </w:rPr>
              <w:t>、TP、TN、动植物油</w:t>
            </w:r>
          </w:p>
        </w:tc>
        <w:tc>
          <w:tcPr>
            <w:tcW w:w="1742" w:type="dxa"/>
            <w:vAlign w:val="center"/>
          </w:tcPr>
          <w:p>
            <w:pPr>
              <w:jc w:val="center"/>
              <w:rPr>
                <w:szCs w:val="21"/>
                <w:highlight w:val="none"/>
              </w:rPr>
            </w:pPr>
            <w:r>
              <w:rPr>
                <w:rFonts w:hint="eastAsia"/>
                <w:szCs w:val="21"/>
                <w:highlight w:val="none"/>
              </w:rPr>
              <w:t>化粪池处理后排入污水处理站处理，总排口DW001</w:t>
            </w:r>
          </w:p>
        </w:tc>
        <w:tc>
          <w:tcPr>
            <w:tcW w:w="2454" w:type="dxa"/>
            <w:vMerge w:val="restart"/>
            <w:vAlign w:val="center"/>
          </w:tcPr>
          <w:p>
            <w:pPr>
              <w:jc w:val="center"/>
              <w:rPr>
                <w:szCs w:val="21"/>
                <w:highlight w:val="none"/>
              </w:rPr>
            </w:pPr>
            <w:r>
              <w:rPr>
                <w:rFonts w:hint="default" w:ascii="Times New Roman" w:hAnsi="Times New Roman" w:eastAsia="宋体" w:cs="Times New Roman"/>
                <w:color w:val="0000FF"/>
                <w:highlight w:val="none"/>
              </w:rPr>
              <w:t>《城镇污水处理厂污染物排放标准》（GB18918-2002）表1中一级A标准，</w:t>
            </w:r>
            <w:r>
              <w:rPr>
                <w:rFonts w:hint="default" w:ascii="Times New Roman" w:hAnsi="Times New Roman" w:eastAsia="宋体" w:cs="Times New Roman"/>
                <w:color w:val="0000FF"/>
                <w:highlight w:val="none"/>
                <w:lang w:val="en-US" w:eastAsia="zh-CN"/>
              </w:rPr>
              <w:t>其中pH值从严执行6~8.5</w:t>
            </w:r>
            <w:r>
              <w:rPr>
                <w:szCs w:val="21"/>
                <w:highlight w:val="none"/>
              </w:rPr>
              <w:t>后外排至厂区</w:t>
            </w:r>
            <w:r>
              <w:rPr>
                <w:rFonts w:hint="eastAsia"/>
                <w:szCs w:val="21"/>
                <w:highlight w:val="none"/>
              </w:rPr>
              <w:t>企业租用的</w:t>
            </w:r>
            <w:r>
              <w:rPr>
                <w:szCs w:val="21"/>
                <w:highlight w:val="none"/>
              </w:rPr>
              <w:t>池塘后用于</w:t>
            </w:r>
            <w:r>
              <w:rPr>
                <w:rFonts w:hint="eastAsia"/>
                <w:szCs w:val="21"/>
                <w:highlight w:val="none"/>
              </w:rPr>
              <w:t>周边</w:t>
            </w:r>
            <w:r>
              <w:rPr>
                <w:szCs w:val="21"/>
                <w:highlight w:val="none"/>
              </w:rPr>
              <w:t>农田灌溉</w:t>
            </w:r>
            <w:r>
              <w:rPr>
                <w:rFonts w:hint="eastAsia"/>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ascii="宋体" w:hAnsi="宋体" w:cs="宋体"/>
                <w:b/>
                <w:bCs/>
                <w:szCs w:val="21"/>
                <w:highlight w:val="none"/>
              </w:rPr>
            </w:pPr>
          </w:p>
        </w:tc>
        <w:tc>
          <w:tcPr>
            <w:tcW w:w="1500" w:type="dxa"/>
            <w:vAlign w:val="center"/>
          </w:tcPr>
          <w:p>
            <w:pPr>
              <w:adjustRightInd w:val="0"/>
              <w:snapToGrid w:val="0"/>
              <w:jc w:val="center"/>
              <w:rPr>
                <w:szCs w:val="21"/>
                <w:highlight w:val="none"/>
              </w:rPr>
            </w:pPr>
            <w:r>
              <w:rPr>
                <w:rFonts w:hint="eastAsia"/>
                <w:szCs w:val="21"/>
                <w:highlight w:val="none"/>
              </w:rPr>
              <w:t>生产废水</w:t>
            </w:r>
          </w:p>
        </w:tc>
        <w:tc>
          <w:tcPr>
            <w:tcW w:w="1554" w:type="dxa"/>
            <w:vAlign w:val="center"/>
          </w:tcPr>
          <w:p>
            <w:pPr>
              <w:wordWrap w:val="0"/>
              <w:rPr>
                <w:szCs w:val="21"/>
                <w:highlight w:val="none"/>
              </w:rPr>
            </w:pPr>
            <w:r>
              <w:rPr>
                <w:rFonts w:hint="eastAsia"/>
                <w:bCs/>
                <w:szCs w:val="21"/>
                <w:highlight w:val="none"/>
              </w:rPr>
              <w:t>pH、COD</w:t>
            </w:r>
            <w:r>
              <w:rPr>
                <w:bCs/>
                <w:szCs w:val="21"/>
                <w:highlight w:val="none"/>
              </w:rPr>
              <w:t>、BOD</w:t>
            </w:r>
            <w:r>
              <w:rPr>
                <w:bCs/>
                <w:szCs w:val="21"/>
                <w:highlight w:val="none"/>
                <w:vertAlign w:val="subscript"/>
              </w:rPr>
              <w:t>5</w:t>
            </w:r>
            <w:r>
              <w:rPr>
                <w:bCs/>
                <w:szCs w:val="21"/>
                <w:highlight w:val="none"/>
              </w:rPr>
              <w:t>、SS、NH</w:t>
            </w:r>
            <w:r>
              <w:rPr>
                <w:bCs/>
                <w:szCs w:val="21"/>
                <w:highlight w:val="none"/>
                <w:vertAlign w:val="subscript"/>
              </w:rPr>
              <w:t>3</w:t>
            </w:r>
            <w:r>
              <w:rPr>
                <w:bCs/>
                <w:szCs w:val="21"/>
                <w:highlight w:val="none"/>
              </w:rPr>
              <w:t>-N</w:t>
            </w:r>
            <w:r>
              <w:rPr>
                <w:rFonts w:hint="eastAsia"/>
                <w:bCs/>
                <w:szCs w:val="21"/>
                <w:highlight w:val="none"/>
              </w:rPr>
              <w:t>、TP、TN、动植物油</w:t>
            </w:r>
          </w:p>
        </w:tc>
        <w:tc>
          <w:tcPr>
            <w:tcW w:w="1742" w:type="dxa"/>
            <w:vAlign w:val="center"/>
          </w:tcPr>
          <w:p>
            <w:pPr>
              <w:jc w:val="center"/>
              <w:rPr>
                <w:szCs w:val="21"/>
                <w:highlight w:val="none"/>
              </w:rPr>
            </w:pPr>
            <w:r>
              <w:rPr>
                <w:rFonts w:hint="eastAsia"/>
                <w:bCs/>
                <w:szCs w:val="21"/>
                <w:highlight w:val="none"/>
              </w:rPr>
              <w:t>污水处理站工艺</w:t>
            </w:r>
            <w:r>
              <w:rPr>
                <w:highlight w:val="none"/>
              </w:rPr>
              <w:t>“</w:t>
            </w:r>
            <w:r>
              <w:rPr>
                <w:rFonts w:hint="eastAsia"/>
                <w:highlight w:val="none"/>
                <w:lang w:val="en-US" w:eastAsia="zh-CN"/>
              </w:rPr>
              <w:t>兼氧FMBR+催化氧化</w:t>
            </w:r>
            <w:r>
              <w:rPr>
                <w:highlight w:val="none"/>
              </w:rPr>
              <w:t>”</w:t>
            </w:r>
            <w:r>
              <w:rPr>
                <w:rFonts w:hint="eastAsia"/>
                <w:bCs/>
                <w:szCs w:val="21"/>
                <w:highlight w:val="none"/>
              </w:rPr>
              <w:t>，总排口DW001</w:t>
            </w:r>
          </w:p>
        </w:tc>
        <w:tc>
          <w:tcPr>
            <w:tcW w:w="2454" w:type="dxa"/>
            <w:vMerge w:val="continue"/>
            <w:vAlign w:val="center"/>
          </w:tcPr>
          <w:p>
            <w:pPr>
              <w:jc w:val="center"/>
              <w:rPr>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声环境</w:t>
            </w:r>
          </w:p>
        </w:tc>
        <w:tc>
          <w:tcPr>
            <w:tcW w:w="1500" w:type="dxa"/>
            <w:vAlign w:val="center"/>
          </w:tcPr>
          <w:p>
            <w:pPr>
              <w:adjustRightInd w:val="0"/>
              <w:snapToGrid w:val="0"/>
              <w:jc w:val="center"/>
              <w:rPr>
                <w:szCs w:val="21"/>
                <w:highlight w:val="none"/>
              </w:rPr>
            </w:pPr>
            <w:r>
              <w:rPr>
                <w:rFonts w:hint="eastAsia" w:ascii="宋体" w:hAnsi="宋体" w:cs="宋体"/>
                <w:szCs w:val="21"/>
                <w:highlight w:val="none"/>
              </w:rPr>
              <w:t>机械设备</w:t>
            </w:r>
          </w:p>
        </w:tc>
        <w:tc>
          <w:tcPr>
            <w:tcW w:w="1554" w:type="dxa"/>
            <w:vAlign w:val="center"/>
          </w:tcPr>
          <w:p>
            <w:pPr>
              <w:adjustRightInd w:val="0"/>
              <w:snapToGrid w:val="0"/>
              <w:jc w:val="center"/>
              <w:rPr>
                <w:szCs w:val="21"/>
                <w:highlight w:val="none"/>
              </w:rPr>
            </w:pPr>
            <w:r>
              <w:rPr>
                <w:highlight w:val="none"/>
              </w:rPr>
              <w:t>等效</w:t>
            </w:r>
            <w:r>
              <w:rPr>
                <w:rFonts w:eastAsia="Times New Roman"/>
                <w:highlight w:val="none"/>
              </w:rPr>
              <w:t>A</w:t>
            </w:r>
            <w:r>
              <w:rPr>
                <w:highlight w:val="none"/>
              </w:rPr>
              <w:t>声级</w:t>
            </w:r>
          </w:p>
        </w:tc>
        <w:tc>
          <w:tcPr>
            <w:tcW w:w="1742" w:type="dxa"/>
            <w:vAlign w:val="center"/>
          </w:tcPr>
          <w:p>
            <w:pPr>
              <w:adjustRightInd w:val="0"/>
              <w:snapToGrid w:val="0"/>
              <w:jc w:val="center"/>
              <w:rPr>
                <w:szCs w:val="21"/>
                <w:highlight w:val="none"/>
              </w:rPr>
            </w:pPr>
            <w:r>
              <w:rPr>
                <w:szCs w:val="21"/>
                <w:highlight w:val="none"/>
              </w:rPr>
              <w:t>隔声、减震</w:t>
            </w:r>
          </w:p>
        </w:tc>
        <w:tc>
          <w:tcPr>
            <w:tcW w:w="2454" w:type="dxa"/>
            <w:vAlign w:val="center"/>
          </w:tcPr>
          <w:p>
            <w:pPr>
              <w:adjustRightInd w:val="0"/>
              <w:snapToGrid w:val="0"/>
              <w:jc w:val="center"/>
              <w:rPr>
                <w:szCs w:val="21"/>
                <w:highlight w:val="none"/>
              </w:rPr>
            </w:pPr>
            <w:r>
              <w:rPr>
                <w:rStyle w:val="121"/>
                <w:rFonts w:hint="eastAsia"/>
                <w:sz w:val="21"/>
                <w:szCs w:val="21"/>
                <w:highlight w:val="none"/>
              </w:rPr>
              <w:t>《工业企业厂界环境噪声排放标准》（GB12348-2008）3类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电磁辐射</w:t>
            </w:r>
          </w:p>
        </w:tc>
        <w:tc>
          <w:tcPr>
            <w:tcW w:w="1500" w:type="dxa"/>
            <w:vAlign w:val="center"/>
          </w:tcPr>
          <w:p>
            <w:pPr>
              <w:adjustRightInd w:val="0"/>
              <w:snapToGrid w:val="0"/>
              <w:jc w:val="center"/>
              <w:rPr>
                <w:szCs w:val="21"/>
                <w:highlight w:val="none"/>
              </w:rPr>
            </w:pPr>
            <w:r>
              <w:rPr>
                <w:szCs w:val="21"/>
                <w:highlight w:val="none"/>
              </w:rPr>
              <w:t>/</w:t>
            </w:r>
          </w:p>
        </w:tc>
        <w:tc>
          <w:tcPr>
            <w:tcW w:w="1554" w:type="dxa"/>
            <w:vAlign w:val="center"/>
          </w:tcPr>
          <w:p>
            <w:pPr>
              <w:widowControl/>
              <w:jc w:val="center"/>
              <w:rPr>
                <w:szCs w:val="21"/>
                <w:highlight w:val="none"/>
              </w:rPr>
            </w:pPr>
            <w:r>
              <w:rPr>
                <w:szCs w:val="21"/>
                <w:highlight w:val="none"/>
              </w:rPr>
              <w:t>/</w:t>
            </w:r>
          </w:p>
        </w:tc>
        <w:tc>
          <w:tcPr>
            <w:tcW w:w="1742" w:type="dxa"/>
            <w:vAlign w:val="center"/>
          </w:tcPr>
          <w:p>
            <w:pPr>
              <w:widowControl/>
              <w:jc w:val="center"/>
              <w:rPr>
                <w:szCs w:val="21"/>
                <w:highlight w:val="none"/>
              </w:rPr>
            </w:pPr>
            <w:r>
              <w:rPr>
                <w:szCs w:val="21"/>
                <w:highlight w:val="none"/>
              </w:rPr>
              <w:t>/</w:t>
            </w:r>
          </w:p>
        </w:tc>
        <w:tc>
          <w:tcPr>
            <w:tcW w:w="2454" w:type="dxa"/>
            <w:vAlign w:val="center"/>
          </w:tcPr>
          <w:p>
            <w:pPr>
              <w:adjustRightInd w:val="0"/>
              <w:snapToGrid w:val="0"/>
              <w:jc w:val="center"/>
              <w:rPr>
                <w:szCs w:val="21"/>
                <w:highlight w:val="none"/>
              </w:rPr>
            </w:pPr>
            <w:r>
              <w:rPr>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固体废物</w:t>
            </w:r>
          </w:p>
        </w:tc>
        <w:tc>
          <w:tcPr>
            <w:tcW w:w="7250" w:type="dxa"/>
            <w:gridSpan w:val="4"/>
            <w:vAlign w:val="center"/>
          </w:tcPr>
          <w:p>
            <w:pPr>
              <w:adjustRightInd w:val="0"/>
              <w:snapToGrid w:val="0"/>
              <w:rPr>
                <w:szCs w:val="21"/>
                <w:highlight w:val="none"/>
              </w:rPr>
            </w:pPr>
            <w:r>
              <w:rPr>
                <w:szCs w:val="21"/>
                <w:highlight w:val="none"/>
              </w:rPr>
              <w:t>一般工业固废暂存在一般工业固废暂存间</w:t>
            </w:r>
            <w:r>
              <w:rPr>
                <w:rFonts w:hint="eastAsia"/>
                <w:szCs w:val="21"/>
                <w:highlight w:val="none"/>
              </w:rPr>
              <w:t>（5</w:t>
            </w:r>
            <w:r>
              <w:rPr>
                <w:szCs w:val="21"/>
                <w:highlight w:val="none"/>
              </w:rPr>
              <w:t>0</w:t>
            </w:r>
            <w:r>
              <w:rPr>
                <w:rFonts w:hint="eastAsia"/>
                <w:szCs w:val="21"/>
                <w:highlight w:val="none"/>
              </w:rPr>
              <w:t>m</w:t>
            </w:r>
            <w:r>
              <w:rPr>
                <w:rFonts w:hint="eastAsia"/>
                <w:szCs w:val="21"/>
                <w:highlight w:val="none"/>
                <w:vertAlign w:val="superscript"/>
              </w:rPr>
              <w:t>2</w:t>
            </w:r>
            <w:r>
              <w:rPr>
                <w:rFonts w:hint="eastAsia"/>
                <w:szCs w:val="21"/>
                <w:highlight w:val="none"/>
              </w:rPr>
              <w:t>）</w:t>
            </w:r>
            <w:r>
              <w:rPr>
                <w:szCs w:val="21"/>
                <w:highlight w:val="none"/>
              </w:rPr>
              <w:t>，</w:t>
            </w:r>
            <w:r>
              <w:rPr>
                <w:rFonts w:hint="eastAsia"/>
                <w:szCs w:val="21"/>
                <w:highlight w:val="none"/>
              </w:rPr>
              <w:t>暂存区建设</w:t>
            </w:r>
            <w:r>
              <w:rPr>
                <w:szCs w:val="21"/>
                <w:highlight w:val="none"/>
              </w:rPr>
              <w:t>满足防尘、防渗、防雨等环境保护要求</w:t>
            </w:r>
            <w:r>
              <w:rPr>
                <w:rFonts w:hint="eastAsia"/>
                <w:szCs w:val="21"/>
                <w:highlight w:val="none"/>
              </w:rPr>
              <w:t>；</w:t>
            </w:r>
            <w:r>
              <w:rPr>
                <w:rFonts w:hint="eastAsia"/>
                <w:color w:val="0000FF"/>
                <w:szCs w:val="21"/>
                <w:highlight w:val="none"/>
              </w:rPr>
              <w:t>蛋壳暂存在蛋壳暂存间</w:t>
            </w:r>
            <w:r>
              <w:rPr>
                <w:rFonts w:hint="eastAsia"/>
                <w:color w:val="0000FF"/>
                <w:szCs w:val="21"/>
                <w:highlight w:val="none"/>
                <w:lang w:eastAsia="zh-CN"/>
              </w:rPr>
              <w:t>（</w:t>
            </w:r>
            <w:r>
              <w:rPr>
                <w:rFonts w:hint="eastAsia"/>
                <w:color w:val="0000FF"/>
                <w:szCs w:val="21"/>
                <w:highlight w:val="none"/>
                <w:lang w:val="en-US" w:eastAsia="zh-CN"/>
              </w:rPr>
              <w:t>35m</w:t>
            </w:r>
            <w:r>
              <w:rPr>
                <w:rFonts w:hint="eastAsia"/>
                <w:color w:val="0000FF"/>
                <w:szCs w:val="21"/>
                <w:highlight w:val="none"/>
                <w:vertAlign w:val="superscript"/>
                <w:lang w:val="en-US" w:eastAsia="zh-CN"/>
              </w:rPr>
              <w:t>2</w:t>
            </w:r>
            <w:r>
              <w:rPr>
                <w:rFonts w:hint="eastAsia"/>
                <w:color w:val="0000FF"/>
                <w:szCs w:val="21"/>
                <w:highlight w:val="none"/>
                <w:lang w:eastAsia="zh-CN"/>
              </w:rPr>
              <w:t>）</w:t>
            </w:r>
            <w:r>
              <w:rPr>
                <w:rFonts w:hint="eastAsia"/>
                <w:szCs w:val="21"/>
                <w:highlight w:val="none"/>
              </w:rPr>
              <w:t>，日产日清；危险废物暂存在危险废物暂存间（10m</w:t>
            </w:r>
            <w:r>
              <w:rPr>
                <w:rFonts w:hint="eastAsia"/>
                <w:szCs w:val="21"/>
                <w:highlight w:val="none"/>
                <w:vertAlign w:val="superscript"/>
              </w:rPr>
              <w:t>2</w:t>
            </w:r>
            <w:r>
              <w:rPr>
                <w:rFonts w:hint="eastAsia"/>
                <w:szCs w:val="21"/>
                <w:highlight w:val="none"/>
              </w:rPr>
              <w:t>），暂存区</w:t>
            </w:r>
            <w:r>
              <w:rPr>
                <w:rFonts w:hint="eastAsia"/>
                <w:bCs/>
                <w:szCs w:val="21"/>
                <w:highlight w:val="none"/>
              </w:rPr>
              <w:t>执行《危险废物贮存污染控制标准》（GB18597-2023）</w:t>
            </w:r>
            <w:r>
              <w:rPr>
                <w:szCs w:val="21"/>
                <w:highlight w:val="none"/>
              </w:rPr>
              <w:t>；生活垃圾交环卫部门处理。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土壤及地下水污染防治措施</w:t>
            </w:r>
          </w:p>
        </w:tc>
        <w:tc>
          <w:tcPr>
            <w:tcW w:w="7250" w:type="dxa"/>
            <w:gridSpan w:val="4"/>
            <w:vAlign w:val="center"/>
          </w:tcPr>
          <w:p>
            <w:pPr>
              <w:adjustRightInd w:val="0"/>
              <w:snapToGrid w:val="0"/>
              <w:rPr>
                <w:szCs w:val="21"/>
                <w:highlight w:val="none"/>
              </w:rPr>
            </w:pPr>
            <w:r>
              <w:rPr>
                <w:szCs w:val="21"/>
                <w:highlight w:val="none"/>
              </w:rPr>
              <w:t>分区防渗，对危废暂存间</w:t>
            </w:r>
            <w:r>
              <w:rPr>
                <w:rFonts w:hint="eastAsia"/>
                <w:szCs w:val="21"/>
                <w:highlight w:val="none"/>
              </w:rPr>
              <w:t>、污水处理站</w:t>
            </w:r>
            <w:r>
              <w:rPr>
                <w:rFonts w:hint="eastAsia"/>
                <w:szCs w:val="21"/>
                <w:highlight w:val="none"/>
                <w:lang w:eastAsia="zh-CN"/>
              </w:rPr>
              <w:t>、</w:t>
            </w:r>
            <w:r>
              <w:rPr>
                <w:rFonts w:hint="eastAsia"/>
                <w:color w:val="0000FF"/>
                <w:szCs w:val="21"/>
                <w:highlight w:val="none"/>
                <w:lang w:val="en-US" w:eastAsia="zh-CN"/>
              </w:rPr>
              <w:t>化学药品间</w:t>
            </w:r>
            <w:r>
              <w:rPr>
                <w:rFonts w:hint="eastAsia"/>
                <w:color w:val="0000FF"/>
                <w:szCs w:val="21"/>
                <w:highlight w:val="none"/>
              </w:rPr>
              <w:t>等</w:t>
            </w:r>
            <w:r>
              <w:rPr>
                <w:color w:val="0000FF"/>
                <w:szCs w:val="21"/>
                <w:highlight w:val="none"/>
              </w:rPr>
              <w:t>做重点防渗</w:t>
            </w:r>
            <w:r>
              <w:rPr>
                <w:szCs w:val="21"/>
                <w:highlight w:val="none"/>
              </w:rPr>
              <w:t>，对生产厂区采取地面硬化措施。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生态保护措施</w:t>
            </w:r>
          </w:p>
        </w:tc>
        <w:tc>
          <w:tcPr>
            <w:tcW w:w="7250" w:type="dxa"/>
            <w:gridSpan w:val="4"/>
            <w:vAlign w:val="center"/>
          </w:tcPr>
          <w:p>
            <w:pPr>
              <w:adjustRightInd w:val="0"/>
              <w:snapToGrid w:val="0"/>
              <w:jc w:val="center"/>
              <w:rPr>
                <w:szCs w:val="21"/>
                <w:highlight w:val="none"/>
              </w:rPr>
            </w:pPr>
            <w:r>
              <w:rPr>
                <w:rFonts w:hint="eastAsia" w:ascii="宋体" w:hAnsi="宋体" w:cs="宋体"/>
                <w:szCs w:val="21"/>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zCs w:val="21"/>
                <w:highlight w:val="none"/>
              </w:rPr>
            </w:pPr>
            <w:r>
              <w:rPr>
                <w:rFonts w:hint="eastAsia" w:ascii="宋体" w:hAnsi="宋体" w:cs="宋体"/>
                <w:b/>
                <w:bCs/>
                <w:szCs w:val="21"/>
                <w:highlight w:val="none"/>
              </w:rPr>
              <w:t>环境风险</w:t>
            </w:r>
          </w:p>
          <w:p>
            <w:pPr>
              <w:adjustRightInd w:val="0"/>
              <w:snapToGrid w:val="0"/>
              <w:jc w:val="center"/>
              <w:rPr>
                <w:rFonts w:ascii="宋体" w:hAnsi="宋体" w:cs="宋体"/>
                <w:b/>
                <w:bCs/>
                <w:szCs w:val="21"/>
                <w:highlight w:val="none"/>
              </w:rPr>
            </w:pPr>
            <w:r>
              <w:rPr>
                <w:rFonts w:hint="eastAsia" w:ascii="宋体" w:hAnsi="宋体" w:cs="宋体"/>
                <w:b/>
                <w:bCs/>
                <w:szCs w:val="21"/>
                <w:highlight w:val="none"/>
              </w:rPr>
              <w:t>防范措施</w:t>
            </w:r>
          </w:p>
        </w:tc>
        <w:tc>
          <w:tcPr>
            <w:tcW w:w="7250" w:type="dxa"/>
            <w:gridSpan w:val="4"/>
            <w:vAlign w:val="center"/>
          </w:tcPr>
          <w:p>
            <w:pPr>
              <w:adjustRightInd w:val="0"/>
              <w:snapToGrid w:val="0"/>
              <w:rPr>
                <w:szCs w:val="21"/>
                <w:highlight w:val="none"/>
              </w:rPr>
            </w:pPr>
            <w:r>
              <w:rPr>
                <w:rFonts w:hint="eastAsia"/>
                <w:szCs w:val="21"/>
                <w:highlight w:val="none"/>
              </w:rPr>
              <w:t>（1）</w:t>
            </w:r>
            <w:r>
              <w:rPr>
                <w:szCs w:val="21"/>
                <w:highlight w:val="none"/>
              </w:rPr>
              <w:t>大气环境风险防范措施</w:t>
            </w:r>
          </w:p>
          <w:p>
            <w:pPr>
              <w:adjustRightInd w:val="0"/>
              <w:snapToGrid w:val="0"/>
              <w:rPr>
                <w:szCs w:val="21"/>
                <w:highlight w:val="none"/>
              </w:rPr>
            </w:pPr>
            <w:r>
              <w:rPr>
                <w:szCs w:val="21"/>
                <w:highlight w:val="none"/>
              </w:rPr>
              <w:t>①设置健全的视频监控设施，健全管理制度、巡视点检制度等；</w:t>
            </w:r>
          </w:p>
          <w:p>
            <w:pPr>
              <w:adjustRightInd w:val="0"/>
              <w:snapToGrid w:val="0"/>
              <w:rPr>
                <w:szCs w:val="21"/>
                <w:highlight w:val="none"/>
              </w:rPr>
            </w:pPr>
            <w:r>
              <w:rPr>
                <w:szCs w:val="21"/>
                <w:highlight w:val="none"/>
              </w:rPr>
              <w:t>③</w:t>
            </w:r>
            <w:r>
              <w:rPr>
                <w:rFonts w:hint="eastAsia"/>
                <w:szCs w:val="21"/>
                <w:highlight w:val="none"/>
              </w:rPr>
              <w:t>化学品库</w:t>
            </w:r>
            <w:r>
              <w:rPr>
                <w:szCs w:val="21"/>
                <w:highlight w:val="none"/>
              </w:rPr>
              <w:t>等设置应急抽风系统。</w:t>
            </w:r>
          </w:p>
          <w:p>
            <w:pPr>
              <w:adjustRightInd w:val="0"/>
              <w:snapToGrid w:val="0"/>
              <w:rPr>
                <w:szCs w:val="21"/>
                <w:highlight w:val="none"/>
              </w:rPr>
            </w:pPr>
            <w:r>
              <w:rPr>
                <w:rFonts w:hint="eastAsia"/>
                <w:szCs w:val="21"/>
                <w:highlight w:val="none"/>
              </w:rPr>
              <w:t>（2）</w:t>
            </w:r>
            <w:r>
              <w:rPr>
                <w:szCs w:val="21"/>
                <w:highlight w:val="none"/>
              </w:rPr>
              <w:t>水环境和土壤环境风险防范措施</w:t>
            </w:r>
          </w:p>
          <w:p>
            <w:pPr>
              <w:adjustRightInd w:val="0"/>
              <w:snapToGrid w:val="0"/>
              <w:rPr>
                <w:szCs w:val="21"/>
                <w:highlight w:val="none"/>
              </w:rPr>
            </w:pPr>
            <w:r>
              <w:rPr>
                <w:szCs w:val="21"/>
                <w:highlight w:val="none"/>
              </w:rPr>
              <w:t>本项目地表水环境风险物质主要为泄漏的物料以及危险废物。为了有效发现、拦截泄漏物料，企业应采取如下措施：</w:t>
            </w:r>
          </w:p>
          <w:p>
            <w:pPr>
              <w:adjustRightInd w:val="0"/>
              <w:snapToGrid w:val="0"/>
              <w:rPr>
                <w:szCs w:val="21"/>
                <w:highlight w:val="none"/>
              </w:rPr>
            </w:pPr>
            <w:r>
              <w:rPr>
                <w:szCs w:val="21"/>
                <w:highlight w:val="none"/>
              </w:rPr>
              <w:t>①采取分区防渗措施；</w:t>
            </w:r>
          </w:p>
          <w:p>
            <w:pPr>
              <w:adjustRightInd w:val="0"/>
              <w:snapToGrid w:val="0"/>
              <w:rPr>
                <w:szCs w:val="21"/>
                <w:highlight w:val="none"/>
              </w:rPr>
            </w:pPr>
            <w:r>
              <w:rPr>
                <w:szCs w:val="21"/>
                <w:highlight w:val="none"/>
              </w:rPr>
              <w:t>②设置健全的视频监控设施，并安排专人值守中控室；设立完善的巡视点检制度；定期巡查化学品库和危废间内包装桶是否发生渗漏，及时进行处理。危废间内粘贴警示标志，周边严禁烟火，防止发生火灾爆炸等危险。</w:t>
            </w:r>
          </w:p>
          <w:p>
            <w:pPr>
              <w:adjustRightInd w:val="0"/>
              <w:snapToGrid w:val="0"/>
              <w:rPr>
                <w:szCs w:val="21"/>
                <w:highlight w:val="none"/>
              </w:rPr>
            </w:pPr>
            <w:r>
              <w:rPr>
                <w:szCs w:val="21"/>
                <w:highlight w:val="none"/>
              </w:rPr>
              <w:t>③仓库内物料分类堆放；</w:t>
            </w:r>
          </w:p>
          <w:p>
            <w:pPr>
              <w:adjustRightInd w:val="0"/>
              <w:snapToGrid w:val="0"/>
              <w:rPr>
                <w:szCs w:val="21"/>
                <w:highlight w:val="none"/>
              </w:rPr>
            </w:pPr>
            <w:r>
              <w:rPr>
                <w:szCs w:val="21"/>
                <w:highlight w:val="none"/>
              </w:rPr>
              <w:t>④危废库内危险废物按照《危险废物贮存污染控制标准》(GB18597-2023)要求进行贮存；</w:t>
            </w:r>
          </w:p>
          <w:p>
            <w:pPr>
              <w:adjustRightInd w:val="0"/>
              <w:snapToGrid w:val="0"/>
              <w:rPr>
                <w:szCs w:val="21"/>
                <w:highlight w:val="none"/>
              </w:rPr>
            </w:pPr>
            <w:r>
              <w:rPr>
                <w:szCs w:val="21"/>
                <w:highlight w:val="none"/>
              </w:rPr>
              <w:t>⑤设置完善物料管理体系，优化物料使用</w:t>
            </w:r>
            <w:r>
              <w:rPr>
                <w:rFonts w:hint="eastAsia"/>
                <w:szCs w:val="21"/>
                <w:highlight w:val="none"/>
              </w:rPr>
              <w:t>批次</w:t>
            </w:r>
            <w:r>
              <w:rPr>
                <w:szCs w:val="21"/>
                <w:highlight w:val="none"/>
              </w:rPr>
              <w:t>减少生产区液态物料暂存量；</w:t>
            </w:r>
          </w:p>
          <w:p>
            <w:pPr>
              <w:adjustRightInd w:val="0"/>
              <w:snapToGrid w:val="0"/>
              <w:rPr>
                <w:szCs w:val="21"/>
                <w:highlight w:val="none"/>
              </w:rPr>
            </w:pPr>
            <w:r>
              <w:rPr>
                <w:szCs w:val="21"/>
                <w:highlight w:val="none"/>
              </w:rPr>
              <w:t>⑥厂区污水总排口和雨水总排口设置截止阀，并安排专人管理。</w:t>
            </w:r>
          </w:p>
          <w:p>
            <w:pPr>
              <w:adjustRightInd w:val="0"/>
              <w:snapToGrid w:val="0"/>
              <w:rPr>
                <w:szCs w:val="21"/>
                <w:highlight w:val="none"/>
              </w:rPr>
            </w:pPr>
            <w:r>
              <w:rPr>
                <w:szCs w:val="21"/>
                <w:highlight w:val="none"/>
              </w:rPr>
              <w:t>⑦发生危险物质泄漏时，应急人员在做好自身防护措施下，立即堵漏并采用吸附材料将泄漏物质吸附后转移至专用密闭容器内，并用沙土做好围堰防止泄漏物扩散，泄漏物交由具有危险废物处理资质的单位进行处理；事后对地面区域洗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spacing w:val="-8"/>
                <w:szCs w:val="21"/>
                <w:highlight w:val="none"/>
              </w:rPr>
            </w:pPr>
            <w:r>
              <w:rPr>
                <w:rFonts w:hint="eastAsia" w:ascii="宋体" w:hAnsi="宋体" w:cs="宋体"/>
                <w:b/>
                <w:bCs/>
                <w:spacing w:val="-8"/>
                <w:szCs w:val="21"/>
                <w:highlight w:val="none"/>
              </w:rPr>
              <w:t>其他环境</w:t>
            </w:r>
          </w:p>
          <w:p>
            <w:pPr>
              <w:adjustRightInd w:val="0"/>
              <w:snapToGrid w:val="0"/>
              <w:jc w:val="center"/>
              <w:rPr>
                <w:rFonts w:ascii="宋体" w:hAnsi="宋体" w:cs="宋体"/>
                <w:b/>
                <w:bCs/>
                <w:spacing w:val="-8"/>
                <w:szCs w:val="21"/>
                <w:highlight w:val="none"/>
              </w:rPr>
            </w:pPr>
            <w:r>
              <w:rPr>
                <w:rFonts w:hint="eastAsia" w:ascii="宋体" w:hAnsi="宋体" w:cs="宋体"/>
                <w:b/>
                <w:bCs/>
                <w:spacing w:val="-8"/>
                <w:szCs w:val="21"/>
                <w:highlight w:val="none"/>
              </w:rPr>
              <w:t>管理要求</w:t>
            </w:r>
          </w:p>
        </w:tc>
        <w:tc>
          <w:tcPr>
            <w:tcW w:w="7250" w:type="dxa"/>
            <w:gridSpan w:val="4"/>
            <w:vAlign w:val="center"/>
          </w:tcPr>
          <w:p>
            <w:pPr>
              <w:adjustRightInd w:val="0"/>
              <w:snapToGrid w:val="0"/>
              <w:rPr>
                <w:szCs w:val="21"/>
                <w:highlight w:val="none"/>
              </w:rPr>
            </w:pPr>
            <w:r>
              <w:rPr>
                <w:bCs/>
                <w:szCs w:val="21"/>
                <w:highlight w:val="none"/>
              </w:rPr>
              <w:t>企业要制定环保管理制度，</w:t>
            </w:r>
            <w:r>
              <w:rPr>
                <w:rFonts w:hint="eastAsia"/>
                <w:bCs/>
                <w:szCs w:val="21"/>
                <w:highlight w:val="none"/>
              </w:rPr>
              <w:t>衔接</w:t>
            </w:r>
            <w:r>
              <w:rPr>
                <w:bCs/>
                <w:szCs w:val="21"/>
                <w:highlight w:val="none"/>
              </w:rPr>
              <w:t>排污许可、制定突发事件应急预案、开展自行监测等。</w:t>
            </w:r>
            <w:r>
              <w:rPr>
                <w:color w:val="333333"/>
                <w:szCs w:val="21"/>
                <w:highlight w:val="none"/>
                <w:shd w:val="clear" w:color="auto" w:fill="FFFFFF"/>
              </w:rPr>
              <w:t>促</w:t>
            </w:r>
            <w:r>
              <w:rPr>
                <w:bCs/>
                <w:szCs w:val="21"/>
                <w:highlight w:val="none"/>
              </w:rPr>
              <w:t>进全部</w:t>
            </w:r>
            <w:r>
              <w:rPr>
                <w:rFonts w:hint="eastAsia"/>
                <w:bCs/>
                <w:szCs w:val="21"/>
                <w:highlight w:val="none"/>
              </w:rPr>
              <w:t>工程项目</w:t>
            </w:r>
            <w:r>
              <w:rPr>
                <w:bCs/>
                <w:szCs w:val="21"/>
                <w:highlight w:val="none"/>
              </w:rPr>
              <w:t>尽快竣工，采取积极措施限期扫尾，完善验收准备工作，尽快达到验收条件已完成验收。</w:t>
            </w:r>
          </w:p>
        </w:tc>
      </w:tr>
    </w:tbl>
    <w:p>
      <w:pPr>
        <w:pStyle w:val="36"/>
        <w:jc w:val="center"/>
        <w:outlineLvl w:val="0"/>
        <w:rPr>
          <w:rFonts w:ascii="黑体" w:hAnsi="黑体" w:eastAsia="黑体"/>
          <w:snapToGrid w:val="0"/>
          <w:sz w:val="30"/>
          <w:szCs w:val="30"/>
          <w:highlight w:val="none"/>
        </w:rPr>
      </w:pPr>
      <w:r>
        <w:rPr>
          <w:snapToGrid w:val="0"/>
          <w:highlight w:val="none"/>
        </w:rPr>
        <w:br w:type="page"/>
      </w:r>
      <w:r>
        <w:rPr>
          <w:rFonts w:hint="eastAsia" w:cs="宋体"/>
          <w:b/>
          <w:bCs/>
          <w:snapToGrid w:val="0"/>
          <w:sz w:val="30"/>
          <w:szCs w:val="30"/>
          <w:highlight w:val="none"/>
        </w:rPr>
        <w:t>六、结论</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pStyle w:val="23"/>
              <w:spacing w:before="0" w:line="360" w:lineRule="auto"/>
              <w:ind w:left="0" w:firstLine="480" w:firstLineChars="200"/>
              <w:rPr>
                <w:rFonts w:ascii="宋体" w:cs="宋体"/>
                <w:highlight w:val="none"/>
              </w:rPr>
            </w:pPr>
            <w:r>
              <w:rPr>
                <w:rFonts w:hint="eastAsia" w:ascii="宋体" w:cs="宋体"/>
                <w:highlight w:val="none"/>
              </w:rPr>
              <w:t>综上所述，项目建设符合国家和地方产业政策，选址符合用地规划。项目采用的各项污染防治措施可行，能够满足环保管理的要求，废水、废气、噪声均能实现达标排放，固体废物均能妥善处置，采取相应的风险防范措施后，项目环境风险可控，对周围环境影响较小。本评价认为，项目在建设过程中严格执行环保“三同时”制度，在切实落实本报告表提出的污染防治措施并保证其正常运行的条件下，从环境保护角度分析，项目建设是可行的。</w:t>
            </w:r>
          </w:p>
        </w:tc>
      </w:tr>
    </w:tbl>
    <w:p>
      <w:pPr>
        <w:rPr>
          <w:rFonts w:ascii="宋体"/>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6"/>
        <w:adjustRightInd w:val="0"/>
        <w:snapToGrid w:val="0"/>
        <w:spacing w:before="0" w:beforeAutospacing="0" w:after="0" w:afterAutospacing="0" w:line="480" w:lineRule="auto"/>
        <w:outlineLvl w:val="0"/>
        <w:rPr>
          <w:rFonts w:ascii="Times New Roman" w:hAnsi="Times New Roman"/>
          <w:b/>
          <w:bCs/>
          <w:snapToGrid w:val="0"/>
          <w:sz w:val="32"/>
          <w:szCs w:val="32"/>
          <w:highlight w:val="none"/>
        </w:rPr>
      </w:pPr>
      <w:r>
        <w:rPr>
          <w:rFonts w:ascii="Times New Roman" w:hAnsi="Times New Roman"/>
          <w:b/>
          <w:bCs/>
          <w:snapToGrid w:val="0"/>
          <w:sz w:val="32"/>
          <w:szCs w:val="32"/>
          <w:highlight w:val="none"/>
        </w:rPr>
        <w:t>附表</w:t>
      </w:r>
    </w:p>
    <w:p>
      <w:pPr>
        <w:pStyle w:val="36"/>
        <w:adjustRightInd w:val="0"/>
        <w:snapToGrid w:val="0"/>
        <w:spacing w:before="0" w:beforeAutospacing="0" w:after="0" w:afterAutospacing="0" w:line="360" w:lineRule="auto"/>
        <w:jc w:val="center"/>
        <w:outlineLvl w:val="0"/>
        <w:rPr>
          <w:rFonts w:ascii="Times New Roman" w:hAnsi="Times New Roman"/>
          <w:b/>
          <w:bCs/>
          <w:snapToGrid w:val="0"/>
          <w:sz w:val="38"/>
          <w:szCs w:val="38"/>
          <w:highlight w:val="none"/>
        </w:rPr>
      </w:pPr>
      <w:r>
        <w:rPr>
          <w:rFonts w:ascii="Times New Roman" w:hAnsi="Times New Roman"/>
          <w:b/>
          <w:bCs/>
          <w:snapToGrid w:val="0"/>
          <w:sz w:val="38"/>
          <w:szCs w:val="38"/>
          <w:highlight w:val="none"/>
        </w:rPr>
        <w:t>建设项目污染物排放量汇总表</w:t>
      </w:r>
    </w:p>
    <w:p>
      <w:pPr>
        <w:pStyle w:val="48"/>
        <w:ind w:left="0"/>
        <w:jc w:val="right"/>
        <w:rPr>
          <w:highlight w:val="none"/>
        </w:rPr>
      </w:pPr>
      <w:r>
        <w:rPr>
          <w:rFonts w:hint="eastAsia"/>
          <w:b/>
          <w:bCs/>
          <w:snapToGrid w:val="0"/>
          <w:szCs w:val="21"/>
          <w:highlight w:val="none"/>
        </w:rPr>
        <w:t>单位:t/a</w:t>
      </w:r>
    </w:p>
    <w:tbl>
      <w:tblPr>
        <w:tblStyle w:val="39"/>
        <w:tblW w:w="140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097"/>
        <w:gridCol w:w="1575"/>
        <w:gridCol w:w="1260"/>
        <w:gridCol w:w="1612"/>
        <w:gridCol w:w="1559"/>
        <w:gridCol w:w="1761"/>
        <w:gridCol w:w="1742"/>
        <w:gridCol w:w="1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39" w:type="dxa"/>
            <w:tcBorders>
              <w:tl2br w:val="single" w:color="auto" w:sz="4" w:space="0"/>
            </w:tcBorders>
            <w:tcMar>
              <w:left w:w="28" w:type="dxa"/>
              <w:right w:w="28" w:type="dxa"/>
            </w:tcMar>
            <w:vAlign w:val="center"/>
          </w:tcPr>
          <w:p>
            <w:pPr>
              <w:pStyle w:val="58"/>
              <w:jc w:val="right"/>
              <w:rPr>
                <w:bCs/>
                <w:snapToGrid w:val="0"/>
                <w:spacing w:val="-6"/>
                <w:kern w:val="21"/>
                <w:sz w:val="21"/>
                <w:highlight w:val="none"/>
              </w:rPr>
            </w:pPr>
            <w:r>
              <w:rPr>
                <w:bCs/>
                <w:snapToGrid w:val="0"/>
                <w:spacing w:val="-6"/>
                <w:kern w:val="21"/>
                <w:sz w:val="21"/>
                <w:highlight w:val="none"/>
              </w:rPr>
              <w:t>项目</w:t>
            </w:r>
          </w:p>
          <w:p>
            <w:pPr>
              <w:pStyle w:val="58"/>
              <w:jc w:val="left"/>
              <w:rPr>
                <w:bCs/>
                <w:snapToGrid w:val="0"/>
                <w:spacing w:val="-6"/>
                <w:kern w:val="21"/>
                <w:sz w:val="21"/>
                <w:highlight w:val="none"/>
              </w:rPr>
            </w:pPr>
            <w:r>
              <w:rPr>
                <w:bCs/>
                <w:snapToGrid w:val="0"/>
                <w:spacing w:val="-6"/>
                <w:kern w:val="21"/>
                <w:sz w:val="21"/>
                <w:highlight w:val="none"/>
              </w:rPr>
              <w:t>分类</w:t>
            </w:r>
          </w:p>
        </w:tc>
        <w:tc>
          <w:tcPr>
            <w:tcW w:w="2097" w:type="dxa"/>
            <w:tcMar>
              <w:left w:w="28" w:type="dxa"/>
              <w:right w:w="28" w:type="dxa"/>
            </w:tcMar>
            <w:vAlign w:val="center"/>
          </w:tcPr>
          <w:p>
            <w:pPr>
              <w:pStyle w:val="58"/>
              <w:jc w:val="center"/>
              <w:rPr>
                <w:bCs/>
                <w:snapToGrid w:val="0"/>
                <w:spacing w:val="-6"/>
                <w:kern w:val="21"/>
                <w:sz w:val="21"/>
                <w:highlight w:val="none"/>
              </w:rPr>
            </w:pPr>
            <w:r>
              <w:rPr>
                <w:bCs/>
                <w:snapToGrid w:val="0"/>
                <w:spacing w:val="-6"/>
                <w:kern w:val="21"/>
                <w:sz w:val="21"/>
                <w:highlight w:val="none"/>
              </w:rPr>
              <w:t>污染物名称</w:t>
            </w:r>
          </w:p>
        </w:tc>
        <w:tc>
          <w:tcPr>
            <w:tcW w:w="1575" w:type="dxa"/>
            <w:tcMar>
              <w:left w:w="28" w:type="dxa"/>
              <w:right w:w="28" w:type="dxa"/>
            </w:tcMar>
            <w:vAlign w:val="center"/>
          </w:tcPr>
          <w:p>
            <w:pPr>
              <w:pStyle w:val="58"/>
              <w:jc w:val="center"/>
              <w:rPr>
                <w:bCs/>
                <w:snapToGrid w:val="0"/>
                <w:spacing w:val="-6"/>
                <w:kern w:val="21"/>
                <w:sz w:val="21"/>
                <w:highlight w:val="none"/>
              </w:rPr>
            </w:pPr>
            <w:r>
              <w:rPr>
                <w:bCs/>
                <w:snapToGrid w:val="0"/>
                <w:spacing w:val="-6"/>
                <w:kern w:val="21"/>
                <w:sz w:val="21"/>
                <w:highlight w:val="none"/>
              </w:rPr>
              <w:t>现有工程</w:t>
            </w:r>
          </w:p>
          <w:p>
            <w:pPr>
              <w:pStyle w:val="58"/>
              <w:jc w:val="center"/>
              <w:rPr>
                <w:bCs/>
                <w:snapToGrid w:val="0"/>
                <w:spacing w:val="-6"/>
                <w:kern w:val="21"/>
                <w:sz w:val="21"/>
                <w:highlight w:val="none"/>
              </w:rPr>
            </w:pPr>
            <w:r>
              <w:rPr>
                <w:bCs/>
                <w:snapToGrid w:val="0"/>
                <w:spacing w:val="-6"/>
                <w:kern w:val="21"/>
                <w:sz w:val="21"/>
                <w:highlight w:val="none"/>
              </w:rPr>
              <w:t>排放量（固体废物产生量）</w:t>
            </w:r>
            <w:r>
              <w:rPr>
                <w:bCs/>
                <w:snapToGrid w:val="0"/>
                <w:spacing w:val="-6"/>
                <w:kern w:val="21"/>
                <w:sz w:val="21"/>
                <w:highlight w:val="none"/>
              </w:rPr>
              <w:fldChar w:fldCharType="begin"/>
            </w:r>
            <w:r>
              <w:rPr>
                <w:bCs/>
                <w:snapToGrid w:val="0"/>
                <w:spacing w:val="-6"/>
                <w:kern w:val="21"/>
                <w:sz w:val="21"/>
                <w:highlight w:val="none"/>
              </w:rPr>
              <w:instrText xml:space="preserve"> = 1 \* GB3 \* MERGEFORMAT </w:instrText>
            </w:r>
            <w:r>
              <w:rPr>
                <w:bCs/>
                <w:snapToGrid w:val="0"/>
                <w:spacing w:val="-6"/>
                <w:kern w:val="21"/>
                <w:sz w:val="21"/>
                <w:highlight w:val="none"/>
              </w:rPr>
              <w:fldChar w:fldCharType="separate"/>
            </w:r>
            <w:r>
              <w:rPr>
                <w:bCs/>
                <w:kern w:val="2"/>
                <w:sz w:val="21"/>
                <w:highlight w:val="none"/>
              </w:rPr>
              <w:t>①</w:t>
            </w:r>
            <w:r>
              <w:rPr>
                <w:bCs/>
                <w:snapToGrid w:val="0"/>
                <w:spacing w:val="-6"/>
                <w:kern w:val="21"/>
                <w:sz w:val="21"/>
                <w:highlight w:val="none"/>
              </w:rPr>
              <w:fldChar w:fldCharType="end"/>
            </w:r>
          </w:p>
        </w:tc>
        <w:tc>
          <w:tcPr>
            <w:tcW w:w="1260" w:type="dxa"/>
            <w:tcMar>
              <w:left w:w="28" w:type="dxa"/>
              <w:right w:w="28" w:type="dxa"/>
            </w:tcMar>
            <w:vAlign w:val="center"/>
          </w:tcPr>
          <w:p>
            <w:pPr>
              <w:pStyle w:val="58"/>
              <w:jc w:val="center"/>
              <w:rPr>
                <w:bCs/>
                <w:snapToGrid w:val="0"/>
                <w:spacing w:val="-6"/>
                <w:kern w:val="21"/>
                <w:sz w:val="21"/>
                <w:highlight w:val="none"/>
              </w:rPr>
            </w:pPr>
            <w:r>
              <w:rPr>
                <w:bCs/>
                <w:snapToGrid w:val="0"/>
                <w:spacing w:val="-6"/>
                <w:kern w:val="21"/>
                <w:sz w:val="21"/>
                <w:highlight w:val="none"/>
              </w:rPr>
              <w:t>现有工程</w:t>
            </w:r>
          </w:p>
          <w:p>
            <w:pPr>
              <w:pStyle w:val="58"/>
              <w:jc w:val="center"/>
              <w:rPr>
                <w:bCs/>
                <w:snapToGrid w:val="0"/>
                <w:spacing w:val="-6"/>
                <w:kern w:val="21"/>
                <w:sz w:val="21"/>
                <w:highlight w:val="none"/>
              </w:rPr>
            </w:pPr>
            <w:r>
              <w:rPr>
                <w:bCs/>
                <w:snapToGrid w:val="0"/>
                <w:spacing w:val="-6"/>
                <w:kern w:val="21"/>
                <w:sz w:val="21"/>
                <w:highlight w:val="none"/>
              </w:rPr>
              <w:t>许可排放量</w:t>
            </w:r>
          </w:p>
          <w:p>
            <w:pPr>
              <w:pStyle w:val="58"/>
              <w:jc w:val="center"/>
              <w:rPr>
                <w:bCs/>
                <w:snapToGrid w:val="0"/>
                <w:spacing w:val="-6"/>
                <w:kern w:val="21"/>
                <w:sz w:val="21"/>
                <w:highlight w:val="none"/>
              </w:rPr>
            </w:pPr>
            <w:r>
              <w:rPr>
                <w:bCs/>
                <w:snapToGrid w:val="0"/>
                <w:spacing w:val="-6"/>
                <w:kern w:val="21"/>
                <w:sz w:val="21"/>
                <w:highlight w:val="none"/>
              </w:rPr>
              <w:fldChar w:fldCharType="begin"/>
            </w:r>
            <w:r>
              <w:rPr>
                <w:bCs/>
                <w:snapToGrid w:val="0"/>
                <w:spacing w:val="-6"/>
                <w:kern w:val="21"/>
                <w:sz w:val="21"/>
                <w:highlight w:val="none"/>
              </w:rPr>
              <w:instrText xml:space="preserve"> = 2 \* GB3 \* MERGEFORMAT </w:instrText>
            </w:r>
            <w:r>
              <w:rPr>
                <w:bCs/>
                <w:snapToGrid w:val="0"/>
                <w:spacing w:val="-6"/>
                <w:kern w:val="21"/>
                <w:sz w:val="21"/>
                <w:highlight w:val="none"/>
              </w:rPr>
              <w:fldChar w:fldCharType="separate"/>
            </w:r>
            <w:r>
              <w:rPr>
                <w:bCs/>
                <w:snapToGrid w:val="0"/>
                <w:spacing w:val="-6"/>
                <w:kern w:val="21"/>
                <w:sz w:val="21"/>
                <w:highlight w:val="none"/>
              </w:rPr>
              <w:t>②</w:t>
            </w:r>
            <w:r>
              <w:rPr>
                <w:bCs/>
                <w:snapToGrid w:val="0"/>
                <w:spacing w:val="-6"/>
                <w:kern w:val="21"/>
                <w:sz w:val="21"/>
                <w:highlight w:val="none"/>
              </w:rPr>
              <w:fldChar w:fldCharType="end"/>
            </w:r>
          </w:p>
        </w:tc>
        <w:tc>
          <w:tcPr>
            <w:tcW w:w="1612" w:type="dxa"/>
            <w:tcMar>
              <w:left w:w="28" w:type="dxa"/>
              <w:right w:w="28" w:type="dxa"/>
            </w:tcMar>
            <w:vAlign w:val="center"/>
          </w:tcPr>
          <w:p>
            <w:pPr>
              <w:pStyle w:val="58"/>
              <w:jc w:val="center"/>
              <w:rPr>
                <w:bCs/>
                <w:snapToGrid w:val="0"/>
                <w:spacing w:val="-6"/>
                <w:kern w:val="21"/>
                <w:sz w:val="21"/>
                <w:highlight w:val="none"/>
              </w:rPr>
            </w:pPr>
            <w:r>
              <w:rPr>
                <w:bCs/>
                <w:snapToGrid w:val="0"/>
                <w:spacing w:val="-6"/>
                <w:kern w:val="21"/>
                <w:sz w:val="21"/>
                <w:highlight w:val="none"/>
              </w:rPr>
              <w:t>在建工程</w:t>
            </w:r>
          </w:p>
          <w:p>
            <w:pPr>
              <w:pStyle w:val="58"/>
              <w:jc w:val="center"/>
              <w:rPr>
                <w:bCs/>
                <w:snapToGrid w:val="0"/>
                <w:spacing w:val="-6"/>
                <w:kern w:val="21"/>
                <w:sz w:val="21"/>
                <w:highlight w:val="none"/>
              </w:rPr>
            </w:pPr>
            <w:r>
              <w:rPr>
                <w:bCs/>
                <w:snapToGrid w:val="0"/>
                <w:spacing w:val="-6"/>
                <w:kern w:val="21"/>
                <w:sz w:val="21"/>
                <w:highlight w:val="none"/>
              </w:rPr>
              <w:t>排放量（固体废物产生量）</w:t>
            </w:r>
            <w:r>
              <w:rPr>
                <w:bCs/>
                <w:snapToGrid w:val="0"/>
                <w:spacing w:val="-6"/>
                <w:kern w:val="21"/>
                <w:sz w:val="21"/>
                <w:highlight w:val="none"/>
              </w:rPr>
              <w:fldChar w:fldCharType="begin"/>
            </w:r>
            <w:r>
              <w:rPr>
                <w:bCs/>
                <w:snapToGrid w:val="0"/>
                <w:spacing w:val="-6"/>
                <w:kern w:val="21"/>
                <w:sz w:val="21"/>
                <w:highlight w:val="none"/>
              </w:rPr>
              <w:instrText xml:space="preserve"> = 3 \* GB3 \* MERGEFORMAT </w:instrText>
            </w:r>
            <w:r>
              <w:rPr>
                <w:bCs/>
                <w:snapToGrid w:val="0"/>
                <w:spacing w:val="-6"/>
                <w:kern w:val="21"/>
                <w:sz w:val="21"/>
                <w:highlight w:val="none"/>
              </w:rPr>
              <w:fldChar w:fldCharType="separate"/>
            </w:r>
            <w:r>
              <w:rPr>
                <w:bCs/>
                <w:kern w:val="2"/>
                <w:sz w:val="21"/>
                <w:highlight w:val="none"/>
              </w:rPr>
              <w:t>③</w:t>
            </w:r>
            <w:r>
              <w:rPr>
                <w:bCs/>
                <w:snapToGrid w:val="0"/>
                <w:spacing w:val="-6"/>
                <w:kern w:val="21"/>
                <w:sz w:val="21"/>
                <w:highlight w:val="none"/>
              </w:rPr>
              <w:fldChar w:fldCharType="end"/>
            </w:r>
          </w:p>
        </w:tc>
        <w:tc>
          <w:tcPr>
            <w:tcW w:w="1559" w:type="dxa"/>
            <w:tcMar>
              <w:left w:w="28" w:type="dxa"/>
              <w:right w:w="28" w:type="dxa"/>
            </w:tcMar>
            <w:vAlign w:val="center"/>
          </w:tcPr>
          <w:p>
            <w:pPr>
              <w:pStyle w:val="58"/>
              <w:jc w:val="center"/>
              <w:rPr>
                <w:bCs/>
                <w:snapToGrid w:val="0"/>
                <w:spacing w:val="-6"/>
                <w:kern w:val="21"/>
                <w:sz w:val="21"/>
                <w:highlight w:val="none"/>
              </w:rPr>
            </w:pPr>
            <w:r>
              <w:rPr>
                <w:bCs/>
                <w:snapToGrid w:val="0"/>
                <w:spacing w:val="-6"/>
                <w:kern w:val="21"/>
                <w:sz w:val="21"/>
                <w:highlight w:val="none"/>
              </w:rPr>
              <w:t>本项目</w:t>
            </w:r>
          </w:p>
          <w:p>
            <w:pPr>
              <w:pStyle w:val="58"/>
              <w:jc w:val="center"/>
              <w:rPr>
                <w:bCs/>
                <w:snapToGrid w:val="0"/>
                <w:spacing w:val="-6"/>
                <w:kern w:val="21"/>
                <w:sz w:val="21"/>
                <w:highlight w:val="none"/>
              </w:rPr>
            </w:pPr>
            <w:r>
              <w:rPr>
                <w:bCs/>
                <w:snapToGrid w:val="0"/>
                <w:spacing w:val="-6"/>
                <w:kern w:val="21"/>
                <w:sz w:val="21"/>
                <w:highlight w:val="none"/>
              </w:rPr>
              <w:t>排放量（固体废物产生量）</w:t>
            </w:r>
            <w:r>
              <w:rPr>
                <w:bCs/>
                <w:snapToGrid w:val="0"/>
                <w:spacing w:val="-6"/>
                <w:kern w:val="21"/>
                <w:sz w:val="21"/>
                <w:highlight w:val="none"/>
              </w:rPr>
              <w:fldChar w:fldCharType="begin"/>
            </w:r>
            <w:r>
              <w:rPr>
                <w:bCs/>
                <w:snapToGrid w:val="0"/>
                <w:spacing w:val="-6"/>
                <w:kern w:val="21"/>
                <w:sz w:val="21"/>
                <w:highlight w:val="none"/>
              </w:rPr>
              <w:instrText xml:space="preserve"> = 4 \* GB3 \* MERGEFORMAT </w:instrText>
            </w:r>
            <w:r>
              <w:rPr>
                <w:bCs/>
                <w:snapToGrid w:val="0"/>
                <w:spacing w:val="-6"/>
                <w:kern w:val="21"/>
                <w:sz w:val="21"/>
                <w:highlight w:val="none"/>
              </w:rPr>
              <w:fldChar w:fldCharType="separate"/>
            </w:r>
            <w:r>
              <w:rPr>
                <w:bCs/>
                <w:kern w:val="2"/>
                <w:sz w:val="21"/>
                <w:highlight w:val="none"/>
              </w:rPr>
              <w:t>④</w:t>
            </w:r>
            <w:r>
              <w:rPr>
                <w:bCs/>
                <w:snapToGrid w:val="0"/>
                <w:spacing w:val="-6"/>
                <w:kern w:val="21"/>
                <w:sz w:val="21"/>
                <w:highlight w:val="none"/>
              </w:rPr>
              <w:fldChar w:fldCharType="end"/>
            </w:r>
          </w:p>
        </w:tc>
        <w:tc>
          <w:tcPr>
            <w:tcW w:w="1761" w:type="dxa"/>
            <w:tcMar>
              <w:left w:w="28" w:type="dxa"/>
              <w:right w:w="28" w:type="dxa"/>
            </w:tcMar>
            <w:vAlign w:val="center"/>
          </w:tcPr>
          <w:p>
            <w:pPr>
              <w:pStyle w:val="58"/>
              <w:jc w:val="center"/>
              <w:rPr>
                <w:bCs/>
                <w:snapToGrid w:val="0"/>
                <w:spacing w:val="-16"/>
                <w:kern w:val="21"/>
                <w:sz w:val="21"/>
                <w:highlight w:val="none"/>
              </w:rPr>
            </w:pPr>
            <w:r>
              <w:rPr>
                <w:bCs/>
                <w:snapToGrid w:val="0"/>
                <w:spacing w:val="-16"/>
                <w:kern w:val="21"/>
                <w:sz w:val="21"/>
                <w:highlight w:val="none"/>
              </w:rPr>
              <w:t>以新带老削减量</w:t>
            </w:r>
          </w:p>
          <w:p>
            <w:pPr>
              <w:pStyle w:val="58"/>
              <w:jc w:val="center"/>
              <w:rPr>
                <w:bCs/>
                <w:snapToGrid w:val="0"/>
                <w:spacing w:val="-16"/>
                <w:kern w:val="21"/>
                <w:sz w:val="21"/>
                <w:highlight w:val="none"/>
              </w:rPr>
            </w:pPr>
            <w:r>
              <w:rPr>
                <w:bCs/>
                <w:snapToGrid w:val="0"/>
                <w:spacing w:val="-16"/>
                <w:kern w:val="21"/>
                <w:sz w:val="21"/>
                <w:highlight w:val="none"/>
              </w:rPr>
              <w:t>（新建项目不填）</w:t>
            </w:r>
            <w:r>
              <w:rPr>
                <w:bCs/>
                <w:snapToGrid w:val="0"/>
                <w:spacing w:val="-16"/>
                <w:kern w:val="21"/>
                <w:sz w:val="21"/>
                <w:highlight w:val="none"/>
              </w:rPr>
              <w:fldChar w:fldCharType="begin"/>
            </w:r>
            <w:r>
              <w:rPr>
                <w:bCs/>
                <w:snapToGrid w:val="0"/>
                <w:spacing w:val="-16"/>
                <w:kern w:val="21"/>
                <w:sz w:val="21"/>
                <w:highlight w:val="none"/>
              </w:rPr>
              <w:instrText xml:space="preserve"> = 5 \* GB3 \* MERGEFORMAT </w:instrText>
            </w:r>
            <w:r>
              <w:rPr>
                <w:bCs/>
                <w:snapToGrid w:val="0"/>
                <w:spacing w:val="-16"/>
                <w:kern w:val="21"/>
                <w:sz w:val="21"/>
                <w:highlight w:val="none"/>
              </w:rPr>
              <w:fldChar w:fldCharType="separate"/>
            </w:r>
            <w:r>
              <w:rPr>
                <w:bCs/>
                <w:kern w:val="2"/>
                <w:sz w:val="21"/>
                <w:highlight w:val="none"/>
              </w:rPr>
              <w:t>⑤</w:t>
            </w:r>
            <w:r>
              <w:rPr>
                <w:bCs/>
                <w:snapToGrid w:val="0"/>
                <w:spacing w:val="-16"/>
                <w:kern w:val="21"/>
                <w:sz w:val="21"/>
                <w:highlight w:val="none"/>
              </w:rPr>
              <w:fldChar w:fldCharType="end"/>
            </w:r>
          </w:p>
        </w:tc>
        <w:tc>
          <w:tcPr>
            <w:tcW w:w="1742" w:type="dxa"/>
            <w:tcMar>
              <w:left w:w="28" w:type="dxa"/>
              <w:right w:w="28" w:type="dxa"/>
            </w:tcMar>
            <w:vAlign w:val="center"/>
          </w:tcPr>
          <w:p>
            <w:pPr>
              <w:pStyle w:val="58"/>
              <w:jc w:val="center"/>
              <w:rPr>
                <w:bCs/>
                <w:snapToGrid w:val="0"/>
                <w:spacing w:val="-16"/>
                <w:kern w:val="21"/>
                <w:sz w:val="21"/>
                <w:highlight w:val="none"/>
              </w:rPr>
            </w:pPr>
            <w:r>
              <w:rPr>
                <w:bCs/>
                <w:snapToGrid w:val="0"/>
                <w:spacing w:val="-16"/>
                <w:kern w:val="21"/>
                <w:sz w:val="21"/>
                <w:highlight w:val="none"/>
              </w:rPr>
              <w:t>本项目建成后</w:t>
            </w:r>
          </w:p>
          <w:p>
            <w:pPr>
              <w:pStyle w:val="58"/>
              <w:jc w:val="center"/>
              <w:rPr>
                <w:bCs/>
                <w:snapToGrid w:val="0"/>
                <w:spacing w:val="-16"/>
                <w:kern w:val="21"/>
                <w:sz w:val="21"/>
                <w:highlight w:val="none"/>
              </w:rPr>
            </w:pPr>
            <w:r>
              <w:rPr>
                <w:bCs/>
                <w:snapToGrid w:val="0"/>
                <w:spacing w:val="-16"/>
                <w:kern w:val="21"/>
                <w:sz w:val="21"/>
                <w:highlight w:val="none"/>
              </w:rPr>
              <w:t>全厂排放量（固体废物产生量）</w:t>
            </w:r>
            <w:r>
              <w:rPr>
                <w:bCs/>
                <w:snapToGrid w:val="0"/>
                <w:spacing w:val="-16"/>
                <w:kern w:val="21"/>
                <w:sz w:val="21"/>
                <w:highlight w:val="none"/>
              </w:rPr>
              <w:fldChar w:fldCharType="begin"/>
            </w:r>
            <w:r>
              <w:rPr>
                <w:bCs/>
                <w:snapToGrid w:val="0"/>
                <w:spacing w:val="-16"/>
                <w:kern w:val="21"/>
                <w:sz w:val="21"/>
                <w:highlight w:val="none"/>
              </w:rPr>
              <w:instrText xml:space="preserve"> = 6 \* GB3 \* MERGEFORMAT </w:instrText>
            </w:r>
            <w:r>
              <w:rPr>
                <w:bCs/>
                <w:snapToGrid w:val="0"/>
                <w:spacing w:val="-16"/>
                <w:kern w:val="21"/>
                <w:sz w:val="21"/>
                <w:highlight w:val="none"/>
              </w:rPr>
              <w:fldChar w:fldCharType="separate"/>
            </w:r>
            <w:r>
              <w:rPr>
                <w:bCs/>
                <w:kern w:val="2"/>
                <w:sz w:val="21"/>
                <w:highlight w:val="none"/>
              </w:rPr>
              <w:t>⑥</w:t>
            </w:r>
            <w:r>
              <w:rPr>
                <w:bCs/>
                <w:snapToGrid w:val="0"/>
                <w:spacing w:val="-16"/>
                <w:kern w:val="21"/>
                <w:sz w:val="21"/>
                <w:highlight w:val="none"/>
              </w:rPr>
              <w:fldChar w:fldCharType="end"/>
            </w:r>
          </w:p>
        </w:tc>
        <w:tc>
          <w:tcPr>
            <w:tcW w:w="1293" w:type="dxa"/>
            <w:tcMar>
              <w:left w:w="28" w:type="dxa"/>
              <w:right w:w="28" w:type="dxa"/>
            </w:tcMar>
            <w:vAlign w:val="center"/>
          </w:tcPr>
          <w:p>
            <w:pPr>
              <w:pStyle w:val="58"/>
              <w:jc w:val="center"/>
              <w:rPr>
                <w:bCs/>
                <w:snapToGrid w:val="0"/>
                <w:spacing w:val="-6"/>
                <w:kern w:val="21"/>
                <w:sz w:val="21"/>
                <w:highlight w:val="none"/>
              </w:rPr>
            </w:pPr>
            <w:r>
              <w:rPr>
                <w:bCs/>
                <w:snapToGrid w:val="0"/>
                <w:spacing w:val="-6"/>
                <w:kern w:val="21"/>
                <w:sz w:val="21"/>
                <w:highlight w:val="none"/>
              </w:rPr>
              <w:t>变化量</w:t>
            </w:r>
          </w:p>
          <w:p>
            <w:pPr>
              <w:pStyle w:val="58"/>
              <w:jc w:val="center"/>
              <w:rPr>
                <w:bCs/>
                <w:snapToGrid w:val="0"/>
                <w:spacing w:val="-6"/>
                <w:kern w:val="21"/>
                <w:sz w:val="21"/>
                <w:highlight w:val="none"/>
              </w:rPr>
            </w:pPr>
            <w:r>
              <w:rPr>
                <w:bCs/>
                <w:snapToGrid w:val="0"/>
                <w:spacing w:val="-6"/>
                <w:kern w:val="21"/>
                <w:sz w:val="21"/>
                <w:highlight w:val="none"/>
              </w:rPr>
              <w:fldChar w:fldCharType="begin"/>
            </w:r>
            <w:r>
              <w:rPr>
                <w:bCs/>
                <w:snapToGrid w:val="0"/>
                <w:spacing w:val="-6"/>
                <w:kern w:val="21"/>
                <w:sz w:val="21"/>
                <w:highlight w:val="none"/>
              </w:rPr>
              <w:instrText xml:space="preserve"> = 7 \* GB3 \* MERGEFORMAT </w:instrText>
            </w:r>
            <w:r>
              <w:rPr>
                <w:bCs/>
                <w:snapToGrid w:val="0"/>
                <w:spacing w:val="-6"/>
                <w:kern w:val="21"/>
                <w:sz w:val="21"/>
                <w:highlight w:val="none"/>
              </w:rPr>
              <w:fldChar w:fldCharType="separate"/>
            </w:r>
            <w:r>
              <w:rPr>
                <w:bCs/>
                <w:kern w:val="2"/>
                <w:sz w:val="21"/>
                <w:highlight w:val="none"/>
              </w:rPr>
              <w:t>⑦</w:t>
            </w:r>
            <w:r>
              <w:rPr>
                <w:bCs/>
                <w:snapToGrid w:val="0"/>
                <w:spacing w:val="-6"/>
                <w:kern w:val="21"/>
                <w:sz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58"/>
              <w:ind w:left="420" w:hanging="420" w:hangingChars="200"/>
              <w:jc w:val="center"/>
              <w:rPr>
                <w:bCs/>
                <w:snapToGrid w:val="0"/>
                <w:kern w:val="21"/>
                <w:sz w:val="21"/>
                <w:highlight w:val="none"/>
              </w:rPr>
            </w:pPr>
            <w:r>
              <w:rPr>
                <w:rFonts w:hint="eastAsia" w:hAnsi="宋体" w:cs="宋体"/>
                <w:snapToGrid w:val="0"/>
                <w:kern w:val="21"/>
                <w:sz w:val="21"/>
                <w:highlight w:val="none"/>
              </w:rPr>
              <w:t>废气</w:t>
            </w:r>
          </w:p>
        </w:tc>
        <w:tc>
          <w:tcPr>
            <w:tcW w:w="2097" w:type="dxa"/>
            <w:vAlign w:val="center"/>
          </w:tcPr>
          <w:p>
            <w:pPr>
              <w:jc w:val="center"/>
              <w:rPr>
                <w:szCs w:val="21"/>
                <w:highlight w:val="none"/>
              </w:rPr>
            </w:pPr>
            <w:r>
              <w:rPr>
                <w:rFonts w:hint="eastAsia"/>
                <w:szCs w:val="21"/>
                <w:highlight w:val="none"/>
              </w:rPr>
              <w:t>颗粒物</w:t>
            </w:r>
          </w:p>
        </w:tc>
        <w:tc>
          <w:tcPr>
            <w:tcW w:w="1575" w:type="dxa"/>
            <w:vAlign w:val="center"/>
          </w:tcPr>
          <w:p>
            <w:pPr>
              <w:wordWrap w:val="0"/>
              <w:jc w:val="center"/>
              <w:rPr>
                <w:highlight w:val="none"/>
              </w:rPr>
            </w:pPr>
            <w:r>
              <w:rPr>
                <w:rFonts w:hint="eastAsia"/>
                <w:highlight w:val="none"/>
              </w:rPr>
              <w:t>/</w:t>
            </w:r>
          </w:p>
        </w:tc>
        <w:tc>
          <w:tcPr>
            <w:tcW w:w="1260" w:type="dxa"/>
            <w:vAlign w:val="center"/>
          </w:tcPr>
          <w:p>
            <w:pPr>
              <w:wordWrap w:val="0"/>
              <w:jc w:val="center"/>
              <w:rPr>
                <w:highlight w:val="none"/>
              </w:rPr>
            </w:pPr>
            <w:r>
              <w:rPr>
                <w:rFonts w:hint="eastAsia"/>
                <w:highlight w:val="none"/>
              </w:rPr>
              <w:t>/</w:t>
            </w:r>
          </w:p>
        </w:tc>
        <w:tc>
          <w:tcPr>
            <w:tcW w:w="1612" w:type="dxa"/>
            <w:vAlign w:val="center"/>
          </w:tcPr>
          <w:p>
            <w:pPr>
              <w:wordWrap w:val="0"/>
              <w:jc w:val="center"/>
              <w:rPr>
                <w:highlight w:val="none"/>
              </w:rPr>
            </w:pPr>
            <w:r>
              <w:rPr>
                <w:rFonts w:hint="eastAsia"/>
                <w:highlight w:val="none"/>
              </w:rPr>
              <w:t>/</w:t>
            </w:r>
          </w:p>
        </w:tc>
        <w:tc>
          <w:tcPr>
            <w:tcW w:w="1559" w:type="dxa"/>
            <w:vAlign w:val="center"/>
          </w:tcPr>
          <w:p>
            <w:pPr>
              <w:wordWrap w:val="0"/>
              <w:jc w:val="center"/>
              <w:rPr>
                <w:color w:val="0000FF"/>
                <w:highlight w:val="none"/>
              </w:rPr>
            </w:pPr>
            <w:r>
              <w:rPr>
                <w:rFonts w:hint="eastAsia"/>
                <w:color w:val="0000FF"/>
                <w:highlight w:val="none"/>
                <w:lang w:val="en-US" w:eastAsia="zh-CN"/>
              </w:rPr>
              <w:t>0.0024</w:t>
            </w:r>
            <w:r>
              <w:rPr>
                <w:color w:val="0000FF"/>
                <w:highlight w:val="none"/>
              </w:rPr>
              <w:t>t/a</w:t>
            </w:r>
          </w:p>
        </w:tc>
        <w:tc>
          <w:tcPr>
            <w:tcW w:w="1761" w:type="dxa"/>
            <w:vAlign w:val="center"/>
          </w:tcPr>
          <w:p>
            <w:pPr>
              <w:wordWrap w:val="0"/>
              <w:jc w:val="center"/>
              <w:rPr>
                <w:color w:val="0000FF"/>
                <w:highlight w:val="none"/>
              </w:rPr>
            </w:pPr>
            <w:r>
              <w:rPr>
                <w:rFonts w:hint="eastAsia"/>
                <w:color w:val="0000FF"/>
                <w:highlight w:val="none"/>
              </w:rPr>
              <w:t>/</w:t>
            </w:r>
          </w:p>
        </w:tc>
        <w:tc>
          <w:tcPr>
            <w:tcW w:w="1742" w:type="dxa"/>
            <w:vAlign w:val="center"/>
          </w:tcPr>
          <w:p>
            <w:pPr>
              <w:wordWrap w:val="0"/>
              <w:jc w:val="center"/>
              <w:rPr>
                <w:color w:val="0000FF"/>
                <w:highlight w:val="none"/>
              </w:rPr>
            </w:pPr>
            <w:r>
              <w:rPr>
                <w:rFonts w:hint="eastAsia"/>
                <w:color w:val="0000FF"/>
                <w:highlight w:val="none"/>
                <w:lang w:val="en-US" w:eastAsia="zh-CN"/>
              </w:rPr>
              <w:t>0.0024</w:t>
            </w:r>
            <w:r>
              <w:rPr>
                <w:color w:val="0000FF"/>
                <w:highlight w:val="none"/>
              </w:rPr>
              <w:t>t/a</w:t>
            </w:r>
          </w:p>
        </w:tc>
        <w:tc>
          <w:tcPr>
            <w:tcW w:w="1293" w:type="dxa"/>
            <w:vAlign w:val="center"/>
          </w:tcPr>
          <w:p>
            <w:pPr>
              <w:wordWrap w:val="0"/>
              <w:jc w:val="center"/>
              <w:rPr>
                <w:color w:val="0000FF"/>
                <w:highlight w:val="none"/>
              </w:rPr>
            </w:pPr>
            <w:r>
              <w:rPr>
                <w:rFonts w:hint="eastAsia"/>
                <w:color w:val="0000FF"/>
                <w:highlight w:val="none"/>
                <w:lang w:val="en-US" w:eastAsia="zh-CN"/>
              </w:rPr>
              <w:t>+0.0024</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rFonts w:hAnsi="宋体" w:cs="宋体"/>
                <w:snapToGrid w:val="0"/>
                <w:kern w:val="21"/>
                <w:sz w:val="21"/>
                <w:highlight w:val="none"/>
              </w:rPr>
            </w:pPr>
          </w:p>
        </w:tc>
        <w:tc>
          <w:tcPr>
            <w:tcW w:w="2097" w:type="dxa"/>
          </w:tcPr>
          <w:p>
            <w:pPr>
              <w:jc w:val="center"/>
              <w:rPr>
                <w:szCs w:val="21"/>
                <w:highlight w:val="none"/>
              </w:rPr>
            </w:pPr>
            <w:r>
              <w:rPr>
                <w:rFonts w:hint="eastAsia"/>
                <w:szCs w:val="21"/>
                <w:highlight w:val="none"/>
              </w:rPr>
              <w:t>二氧化硫</w:t>
            </w:r>
          </w:p>
        </w:tc>
        <w:tc>
          <w:tcPr>
            <w:tcW w:w="1575" w:type="dxa"/>
            <w:vAlign w:val="center"/>
          </w:tcPr>
          <w:p>
            <w:pPr>
              <w:wordWrap w:val="0"/>
              <w:jc w:val="center"/>
              <w:rPr>
                <w:highlight w:val="none"/>
              </w:rPr>
            </w:pPr>
            <w:r>
              <w:rPr>
                <w:rFonts w:hint="eastAsia"/>
                <w:highlight w:val="none"/>
              </w:rPr>
              <w:t>/</w:t>
            </w:r>
          </w:p>
        </w:tc>
        <w:tc>
          <w:tcPr>
            <w:tcW w:w="1260" w:type="dxa"/>
            <w:vAlign w:val="center"/>
          </w:tcPr>
          <w:p>
            <w:pPr>
              <w:wordWrap w:val="0"/>
              <w:jc w:val="center"/>
              <w:rPr>
                <w:highlight w:val="none"/>
              </w:rPr>
            </w:pPr>
            <w:r>
              <w:rPr>
                <w:rFonts w:hint="eastAsia"/>
                <w:highlight w:val="none"/>
              </w:rPr>
              <w:t>/</w:t>
            </w:r>
          </w:p>
        </w:tc>
        <w:tc>
          <w:tcPr>
            <w:tcW w:w="1612" w:type="dxa"/>
            <w:vAlign w:val="center"/>
          </w:tcPr>
          <w:p>
            <w:pPr>
              <w:wordWrap w:val="0"/>
              <w:jc w:val="center"/>
              <w:rPr>
                <w:highlight w:val="none"/>
              </w:rPr>
            </w:pPr>
            <w:r>
              <w:rPr>
                <w:rFonts w:hint="eastAsia"/>
                <w:highlight w:val="none"/>
              </w:rPr>
              <w:t>/</w:t>
            </w:r>
          </w:p>
        </w:tc>
        <w:tc>
          <w:tcPr>
            <w:tcW w:w="1559" w:type="dxa"/>
            <w:vAlign w:val="center"/>
          </w:tcPr>
          <w:p>
            <w:pPr>
              <w:wordWrap w:val="0"/>
              <w:jc w:val="center"/>
              <w:rPr>
                <w:color w:val="0000FF"/>
                <w:highlight w:val="none"/>
              </w:rPr>
            </w:pPr>
            <w:r>
              <w:rPr>
                <w:rFonts w:hint="eastAsia"/>
                <w:color w:val="0000FF"/>
                <w:highlight w:val="none"/>
                <w:lang w:val="en-US" w:eastAsia="zh-CN"/>
              </w:rPr>
              <w:t>0.274</w:t>
            </w:r>
            <w:r>
              <w:rPr>
                <w:color w:val="0000FF"/>
                <w:highlight w:val="none"/>
              </w:rPr>
              <w:t>t/a</w:t>
            </w:r>
          </w:p>
        </w:tc>
        <w:tc>
          <w:tcPr>
            <w:tcW w:w="1761" w:type="dxa"/>
            <w:vAlign w:val="center"/>
          </w:tcPr>
          <w:p>
            <w:pPr>
              <w:wordWrap w:val="0"/>
              <w:jc w:val="center"/>
              <w:rPr>
                <w:color w:val="0000FF"/>
                <w:highlight w:val="none"/>
              </w:rPr>
            </w:pPr>
            <w:r>
              <w:rPr>
                <w:rFonts w:hint="eastAsia"/>
                <w:color w:val="0000FF"/>
                <w:highlight w:val="none"/>
              </w:rPr>
              <w:t>/</w:t>
            </w:r>
          </w:p>
        </w:tc>
        <w:tc>
          <w:tcPr>
            <w:tcW w:w="1742" w:type="dxa"/>
            <w:vAlign w:val="center"/>
          </w:tcPr>
          <w:p>
            <w:pPr>
              <w:wordWrap w:val="0"/>
              <w:jc w:val="center"/>
              <w:rPr>
                <w:color w:val="0000FF"/>
                <w:highlight w:val="none"/>
              </w:rPr>
            </w:pPr>
            <w:r>
              <w:rPr>
                <w:rFonts w:hint="eastAsia"/>
                <w:color w:val="0000FF"/>
                <w:highlight w:val="none"/>
                <w:lang w:val="en-US" w:eastAsia="zh-CN"/>
              </w:rPr>
              <w:t>0.274</w:t>
            </w:r>
            <w:r>
              <w:rPr>
                <w:color w:val="0000FF"/>
                <w:highlight w:val="none"/>
              </w:rPr>
              <w:t>t/a</w:t>
            </w:r>
          </w:p>
        </w:tc>
        <w:tc>
          <w:tcPr>
            <w:tcW w:w="1293" w:type="dxa"/>
            <w:vAlign w:val="center"/>
          </w:tcPr>
          <w:p>
            <w:pPr>
              <w:wordWrap w:val="0"/>
              <w:jc w:val="center"/>
              <w:rPr>
                <w:color w:val="0000FF"/>
                <w:highlight w:val="none"/>
              </w:rPr>
            </w:pPr>
            <w:r>
              <w:rPr>
                <w:rFonts w:hint="eastAsia"/>
                <w:color w:val="0000FF"/>
                <w:highlight w:val="none"/>
                <w:lang w:val="en-US" w:eastAsia="zh-CN"/>
              </w:rPr>
              <w:t>+0.274</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rFonts w:hAnsi="宋体" w:cs="宋体"/>
                <w:snapToGrid w:val="0"/>
                <w:kern w:val="21"/>
                <w:sz w:val="21"/>
                <w:highlight w:val="none"/>
              </w:rPr>
            </w:pPr>
          </w:p>
        </w:tc>
        <w:tc>
          <w:tcPr>
            <w:tcW w:w="2097" w:type="dxa"/>
          </w:tcPr>
          <w:p>
            <w:pPr>
              <w:jc w:val="center"/>
              <w:rPr>
                <w:szCs w:val="21"/>
                <w:highlight w:val="none"/>
              </w:rPr>
            </w:pPr>
            <w:r>
              <w:rPr>
                <w:rFonts w:hint="eastAsia"/>
                <w:szCs w:val="21"/>
                <w:highlight w:val="none"/>
              </w:rPr>
              <w:t>氮氧化物</w:t>
            </w:r>
          </w:p>
        </w:tc>
        <w:tc>
          <w:tcPr>
            <w:tcW w:w="1575" w:type="dxa"/>
            <w:vAlign w:val="center"/>
          </w:tcPr>
          <w:p>
            <w:pPr>
              <w:wordWrap w:val="0"/>
              <w:jc w:val="center"/>
              <w:rPr>
                <w:highlight w:val="none"/>
              </w:rPr>
            </w:pPr>
            <w:r>
              <w:rPr>
                <w:rFonts w:hint="eastAsia"/>
                <w:highlight w:val="none"/>
              </w:rPr>
              <w:t>/</w:t>
            </w:r>
          </w:p>
        </w:tc>
        <w:tc>
          <w:tcPr>
            <w:tcW w:w="1260" w:type="dxa"/>
            <w:vAlign w:val="center"/>
          </w:tcPr>
          <w:p>
            <w:pPr>
              <w:wordWrap w:val="0"/>
              <w:jc w:val="center"/>
              <w:rPr>
                <w:highlight w:val="none"/>
              </w:rPr>
            </w:pPr>
            <w:r>
              <w:rPr>
                <w:rFonts w:hint="eastAsia"/>
                <w:highlight w:val="none"/>
              </w:rPr>
              <w:t>/</w:t>
            </w:r>
          </w:p>
        </w:tc>
        <w:tc>
          <w:tcPr>
            <w:tcW w:w="1612" w:type="dxa"/>
            <w:vAlign w:val="center"/>
          </w:tcPr>
          <w:p>
            <w:pPr>
              <w:wordWrap w:val="0"/>
              <w:jc w:val="center"/>
              <w:rPr>
                <w:highlight w:val="none"/>
              </w:rPr>
            </w:pPr>
            <w:r>
              <w:rPr>
                <w:rFonts w:hint="eastAsia"/>
                <w:highlight w:val="none"/>
              </w:rPr>
              <w:t>/</w:t>
            </w:r>
          </w:p>
        </w:tc>
        <w:tc>
          <w:tcPr>
            <w:tcW w:w="1559" w:type="dxa"/>
            <w:vAlign w:val="center"/>
          </w:tcPr>
          <w:p>
            <w:pPr>
              <w:wordWrap w:val="0"/>
              <w:jc w:val="center"/>
              <w:rPr>
                <w:color w:val="0000FF"/>
                <w:highlight w:val="none"/>
              </w:rPr>
            </w:pPr>
            <w:r>
              <w:rPr>
                <w:rFonts w:hint="eastAsia"/>
                <w:color w:val="0000FF"/>
                <w:highlight w:val="none"/>
                <w:lang w:val="en-US" w:eastAsia="zh-CN"/>
              </w:rPr>
              <w:t>1.643</w:t>
            </w:r>
            <w:r>
              <w:rPr>
                <w:color w:val="0000FF"/>
                <w:highlight w:val="none"/>
              </w:rPr>
              <w:t>t/a</w:t>
            </w:r>
          </w:p>
        </w:tc>
        <w:tc>
          <w:tcPr>
            <w:tcW w:w="1761" w:type="dxa"/>
            <w:vAlign w:val="center"/>
          </w:tcPr>
          <w:p>
            <w:pPr>
              <w:wordWrap w:val="0"/>
              <w:jc w:val="center"/>
              <w:rPr>
                <w:color w:val="0000FF"/>
                <w:highlight w:val="none"/>
              </w:rPr>
            </w:pPr>
            <w:r>
              <w:rPr>
                <w:rFonts w:hint="eastAsia"/>
                <w:color w:val="0000FF"/>
                <w:highlight w:val="none"/>
              </w:rPr>
              <w:t>/</w:t>
            </w:r>
          </w:p>
        </w:tc>
        <w:tc>
          <w:tcPr>
            <w:tcW w:w="1742" w:type="dxa"/>
            <w:vAlign w:val="center"/>
          </w:tcPr>
          <w:p>
            <w:pPr>
              <w:wordWrap w:val="0"/>
              <w:jc w:val="center"/>
              <w:rPr>
                <w:color w:val="0000FF"/>
                <w:highlight w:val="none"/>
              </w:rPr>
            </w:pPr>
            <w:r>
              <w:rPr>
                <w:rFonts w:hint="eastAsia"/>
                <w:color w:val="0000FF"/>
                <w:highlight w:val="none"/>
                <w:lang w:val="en-US" w:eastAsia="zh-CN"/>
              </w:rPr>
              <w:t>1.643</w:t>
            </w:r>
            <w:r>
              <w:rPr>
                <w:color w:val="0000FF"/>
                <w:highlight w:val="none"/>
              </w:rPr>
              <w:t>t/a</w:t>
            </w:r>
          </w:p>
        </w:tc>
        <w:tc>
          <w:tcPr>
            <w:tcW w:w="1293" w:type="dxa"/>
            <w:vAlign w:val="center"/>
          </w:tcPr>
          <w:p>
            <w:pPr>
              <w:wordWrap w:val="0"/>
              <w:jc w:val="center"/>
              <w:rPr>
                <w:color w:val="0000FF"/>
                <w:highlight w:val="none"/>
              </w:rPr>
            </w:pPr>
            <w:r>
              <w:rPr>
                <w:rFonts w:hint="eastAsia"/>
                <w:color w:val="0000FF"/>
                <w:highlight w:val="none"/>
                <w:lang w:val="en-US" w:eastAsia="zh-CN"/>
              </w:rPr>
              <w:t>+1.643</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rFonts w:hAnsi="宋体" w:cs="宋体"/>
                <w:snapToGrid w:val="0"/>
                <w:kern w:val="21"/>
                <w:sz w:val="21"/>
                <w:highlight w:val="none"/>
              </w:rPr>
            </w:pPr>
          </w:p>
        </w:tc>
        <w:tc>
          <w:tcPr>
            <w:tcW w:w="2097" w:type="dxa"/>
          </w:tcPr>
          <w:p>
            <w:pPr>
              <w:jc w:val="center"/>
              <w:rPr>
                <w:szCs w:val="21"/>
                <w:highlight w:val="none"/>
              </w:rPr>
            </w:pPr>
            <w:r>
              <w:rPr>
                <w:rFonts w:hint="eastAsia"/>
                <w:szCs w:val="21"/>
                <w:highlight w:val="none"/>
              </w:rPr>
              <w:t>氨</w:t>
            </w:r>
          </w:p>
        </w:tc>
        <w:tc>
          <w:tcPr>
            <w:tcW w:w="1575" w:type="dxa"/>
            <w:vAlign w:val="center"/>
          </w:tcPr>
          <w:p>
            <w:pPr>
              <w:wordWrap w:val="0"/>
              <w:jc w:val="center"/>
              <w:rPr>
                <w:highlight w:val="none"/>
              </w:rPr>
            </w:pPr>
            <w:r>
              <w:rPr>
                <w:rFonts w:hint="eastAsia"/>
                <w:highlight w:val="none"/>
              </w:rPr>
              <w:t>/</w:t>
            </w:r>
          </w:p>
        </w:tc>
        <w:tc>
          <w:tcPr>
            <w:tcW w:w="1260" w:type="dxa"/>
            <w:vAlign w:val="center"/>
          </w:tcPr>
          <w:p>
            <w:pPr>
              <w:wordWrap w:val="0"/>
              <w:jc w:val="center"/>
              <w:rPr>
                <w:highlight w:val="none"/>
              </w:rPr>
            </w:pPr>
            <w:r>
              <w:rPr>
                <w:rFonts w:hint="eastAsia"/>
                <w:highlight w:val="none"/>
              </w:rPr>
              <w:t>/</w:t>
            </w:r>
          </w:p>
        </w:tc>
        <w:tc>
          <w:tcPr>
            <w:tcW w:w="1612" w:type="dxa"/>
            <w:vAlign w:val="center"/>
          </w:tcPr>
          <w:p>
            <w:pPr>
              <w:wordWrap w:val="0"/>
              <w:jc w:val="center"/>
              <w:rPr>
                <w:highlight w:val="none"/>
              </w:rPr>
            </w:pPr>
            <w:r>
              <w:rPr>
                <w:rFonts w:hint="eastAsia"/>
                <w:highlight w:val="none"/>
              </w:rPr>
              <w:t>/</w:t>
            </w:r>
          </w:p>
        </w:tc>
        <w:tc>
          <w:tcPr>
            <w:tcW w:w="1559" w:type="dxa"/>
            <w:vAlign w:val="center"/>
          </w:tcPr>
          <w:p>
            <w:pPr>
              <w:wordWrap w:val="0"/>
              <w:jc w:val="center"/>
              <w:rPr>
                <w:color w:val="0000FF"/>
                <w:highlight w:val="none"/>
              </w:rPr>
            </w:pPr>
            <w:r>
              <w:rPr>
                <w:rFonts w:hint="eastAsia"/>
                <w:color w:val="0000FF"/>
                <w:highlight w:val="none"/>
              </w:rPr>
              <w:t>0.139</w:t>
            </w:r>
            <w:r>
              <w:rPr>
                <w:color w:val="0000FF"/>
                <w:highlight w:val="none"/>
              </w:rPr>
              <w:t>t/a</w:t>
            </w:r>
          </w:p>
        </w:tc>
        <w:tc>
          <w:tcPr>
            <w:tcW w:w="1761" w:type="dxa"/>
            <w:vAlign w:val="center"/>
          </w:tcPr>
          <w:p>
            <w:pPr>
              <w:wordWrap w:val="0"/>
              <w:jc w:val="center"/>
              <w:rPr>
                <w:color w:val="0000FF"/>
                <w:highlight w:val="none"/>
              </w:rPr>
            </w:pPr>
            <w:r>
              <w:rPr>
                <w:rFonts w:hint="eastAsia"/>
                <w:color w:val="0000FF"/>
                <w:highlight w:val="none"/>
              </w:rPr>
              <w:t>/</w:t>
            </w:r>
          </w:p>
        </w:tc>
        <w:tc>
          <w:tcPr>
            <w:tcW w:w="1742" w:type="dxa"/>
            <w:vAlign w:val="center"/>
          </w:tcPr>
          <w:p>
            <w:pPr>
              <w:wordWrap w:val="0"/>
              <w:jc w:val="center"/>
              <w:rPr>
                <w:color w:val="0000FF"/>
                <w:highlight w:val="none"/>
              </w:rPr>
            </w:pPr>
            <w:r>
              <w:rPr>
                <w:rFonts w:hint="eastAsia"/>
                <w:color w:val="0000FF"/>
                <w:highlight w:val="none"/>
              </w:rPr>
              <w:t>0.139</w:t>
            </w:r>
            <w:r>
              <w:rPr>
                <w:color w:val="0000FF"/>
                <w:highlight w:val="none"/>
              </w:rPr>
              <w:t>t/a</w:t>
            </w:r>
          </w:p>
        </w:tc>
        <w:tc>
          <w:tcPr>
            <w:tcW w:w="1293" w:type="dxa"/>
            <w:vAlign w:val="center"/>
          </w:tcPr>
          <w:p>
            <w:pPr>
              <w:wordWrap w:val="0"/>
              <w:jc w:val="center"/>
              <w:rPr>
                <w:color w:val="0000FF"/>
                <w:highlight w:val="none"/>
              </w:rPr>
            </w:pPr>
            <w:r>
              <w:rPr>
                <w:rFonts w:hint="eastAsia"/>
                <w:color w:val="0000FF"/>
                <w:highlight w:val="none"/>
                <w:lang w:val="en-US" w:eastAsia="zh-CN"/>
              </w:rPr>
              <w:t>+</w:t>
            </w:r>
            <w:r>
              <w:rPr>
                <w:rFonts w:hint="eastAsia"/>
                <w:color w:val="0000FF"/>
                <w:highlight w:val="none"/>
              </w:rPr>
              <w:t>0.139</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rFonts w:hAnsi="宋体" w:cs="宋体"/>
                <w:snapToGrid w:val="0"/>
                <w:kern w:val="21"/>
                <w:sz w:val="21"/>
                <w:highlight w:val="none"/>
              </w:rPr>
            </w:pPr>
          </w:p>
        </w:tc>
        <w:tc>
          <w:tcPr>
            <w:tcW w:w="2097" w:type="dxa"/>
          </w:tcPr>
          <w:p>
            <w:pPr>
              <w:jc w:val="center"/>
              <w:rPr>
                <w:szCs w:val="21"/>
                <w:highlight w:val="none"/>
              </w:rPr>
            </w:pPr>
            <w:r>
              <w:rPr>
                <w:rFonts w:hint="eastAsia"/>
                <w:szCs w:val="21"/>
                <w:highlight w:val="none"/>
              </w:rPr>
              <w:t>硫化氢</w:t>
            </w:r>
          </w:p>
        </w:tc>
        <w:tc>
          <w:tcPr>
            <w:tcW w:w="1575" w:type="dxa"/>
            <w:vAlign w:val="center"/>
          </w:tcPr>
          <w:p>
            <w:pPr>
              <w:wordWrap w:val="0"/>
              <w:jc w:val="center"/>
              <w:rPr>
                <w:highlight w:val="none"/>
              </w:rPr>
            </w:pPr>
            <w:r>
              <w:rPr>
                <w:rFonts w:hint="eastAsia"/>
                <w:highlight w:val="none"/>
              </w:rPr>
              <w:t>/</w:t>
            </w:r>
          </w:p>
        </w:tc>
        <w:tc>
          <w:tcPr>
            <w:tcW w:w="1260" w:type="dxa"/>
            <w:vAlign w:val="center"/>
          </w:tcPr>
          <w:p>
            <w:pPr>
              <w:wordWrap w:val="0"/>
              <w:jc w:val="center"/>
              <w:rPr>
                <w:highlight w:val="none"/>
              </w:rPr>
            </w:pPr>
            <w:r>
              <w:rPr>
                <w:rFonts w:hint="eastAsia"/>
                <w:highlight w:val="none"/>
              </w:rPr>
              <w:t>/</w:t>
            </w:r>
          </w:p>
        </w:tc>
        <w:tc>
          <w:tcPr>
            <w:tcW w:w="1612" w:type="dxa"/>
            <w:vAlign w:val="center"/>
          </w:tcPr>
          <w:p>
            <w:pPr>
              <w:wordWrap w:val="0"/>
              <w:jc w:val="center"/>
              <w:rPr>
                <w:highlight w:val="none"/>
              </w:rPr>
            </w:pPr>
            <w:r>
              <w:rPr>
                <w:rFonts w:hint="eastAsia"/>
                <w:highlight w:val="none"/>
              </w:rPr>
              <w:t>/</w:t>
            </w:r>
          </w:p>
        </w:tc>
        <w:tc>
          <w:tcPr>
            <w:tcW w:w="1559" w:type="dxa"/>
            <w:vAlign w:val="center"/>
          </w:tcPr>
          <w:p>
            <w:pPr>
              <w:wordWrap w:val="0"/>
              <w:jc w:val="center"/>
              <w:rPr>
                <w:color w:val="0000FF"/>
                <w:highlight w:val="none"/>
              </w:rPr>
            </w:pPr>
            <w:r>
              <w:rPr>
                <w:rFonts w:hint="eastAsia"/>
                <w:color w:val="0000FF"/>
                <w:highlight w:val="none"/>
              </w:rPr>
              <w:t>0.005</w:t>
            </w:r>
            <w:r>
              <w:rPr>
                <w:color w:val="0000FF"/>
                <w:highlight w:val="none"/>
              </w:rPr>
              <w:t>t/a</w:t>
            </w:r>
          </w:p>
        </w:tc>
        <w:tc>
          <w:tcPr>
            <w:tcW w:w="1761" w:type="dxa"/>
            <w:vAlign w:val="center"/>
          </w:tcPr>
          <w:p>
            <w:pPr>
              <w:wordWrap w:val="0"/>
              <w:jc w:val="center"/>
              <w:rPr>
                <w:color w:val="0000FF"/>
                <w:highlight w:val="none"/>
              </w:rPr>
            </w:pPr>
            <w:r>
              <w:rPr>
                <w:rFonts w:hint="eastAsia"/>
                <w:color w:val="0000FF"/>
                <w:highlight w:val="none"/>
              </w:rPr>
              <w:t>/</w:t>
            </w:r>
          </w:p>
        </w:tc>
        <w:tc>
          <w:tcPr>
            <w:tcW w:w="1742" w:type="dxa"/>
            <w:vAlign w:val="center"/>
          </w:tcPr>
          <w:p>
            <w:pPr>
              <w:wordWrap w:val="0"/>
              <w:jc w:val="center"/>
              <w:rPr>
                <w:color w:val="0000FF"/>
                <w:highlight w:val="none"/>
              </w:rPr>
            </w:pPr>
            <w:r>
              <w:rPr>
                <w:rFonts w:hint="eastAsia"/>
                <w:color w:val="0000FF"/>
                <w:highlight w:val="none"/>
              </w:rPr>
              <w:t>0.005</w:t>
            </w:r>
            <w:r>
              <w:rPr>
                <w:color w:val="0000FF"/>
                <w:highlight w:val="none"/>
              </w:rPr>
              <w:t>t/a</w:t>
            </w:r>
          </w:p>
        </w:tc>
        <w:tc>
          <w:tcPr>
            <w:tcW w:w="1293" w:type="dxa"/>
            <w:vAlign w:val="center"/>
          </w:tcPr>
          <w:p>
            <w:pPr>
              <w:wordWrap w:val="0"/>
              <w:jc w:val="center"/>
              <w:rPr>
                <w:color w:val="0000FF"/>
                <w:highlight w:val="none"/>
              </w:rPr>
            </w:pPr>
            <w:r>
              <w:rPr>
                <w:rFonts w:hint="eastAsia"/>
                <w:color w:val="0000FF"/>
                <w:highlight w:val="none"/>
                <w:lang w:val="en-US" w:eastAsia="zh-CN"/>
              </w:rPr>
              <w:t>+</w:t>
            </w:r>
            <w:r>
              <w:rPr>
                <w:rFonts w:hint="eastAsia"/>
                <w:color w:val="0000FF"/>
                <w:highlight w:val="none"/>
              </w:rPr>
              <w:t>0.005</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58"/>
              <w:ind w:left="420" w:hanging="420" w:hangingChars="200"/>
              <w:jc w:val="center"/>
              <w:rPr>
                <w:bCs/>
                <w:snapToGrid w:val="0"/>
                <w:kern w:val="21"/>
                <w:sz w:val="21"/>
                <w:highlight w:val="none"/>
              </w:rPr>
            </w:pPr>
            <w:r>
              <w:rPr>
                <w:rFonts w:hint="eastAsia" w:hAnsi="宋体" w:cs="宋体"/>
                <w:snapToGrid w:val="0"/>
                <w:kern w:val="21"/>
                <w:sz w:val="21"/>
                <w:highlight w:val="none"/>
              </w:rPr>
              <w:t>废水</w:t>
            </w:r>
          </w:p>
        </w:tc>
        <w:tc>
          <w:tcPr>
            <w:tcW w:w="2097" w:type="dxa"/>
            <w:vAlign w:val="center"/>
          </w:tcPr>
          <w:p>
            <w:pPr>
              <w:jc w:val="center"/>
              <w:rPr>
                <w:szCs w:val="21"/>
                <w:highlight w:val="none"/>
              </w:rPr>
            </w:pPr>
            <w:r>
              <w:rPr>
                <w:rFonts w:hint="eastAsia"/>
                <w:szCs w:val="21"/>
                <w:highlight w:val="none"/>
              </w:rPr>
              <w:t>pH</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wordWrap w:val="0"/>
              <w:jc w:val="center"/>
              <w:rPr>
                <w:rFonts w:hint="default" w:eastAsia="宋体"/>
                <w:color w:val="0000FF"/>
                <w:highlight w:val="none"/>
                <w:lang w:val="en-US" w:eastAsia="zh-CN"/>
              </w:rPr>
            </w:pPr>
            <w:r>
              <w:rPr>
                <w:rFonts w:hint="eastAsia"/>
                <w:color w:val="0000FF"/>
                <w:highlight w:val="none"/>
                <w:lang w:val="en-US" w:eastAsia="zh-CN"/>
              </w:rPr>
              <w:t>6-8.5</w:t>
            </w:r>
          </w:p>
        </w:tc>
        <w:tc>
          <w:tcPr>
            <w:tcW w:w="1761"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wordWrap w:val="0"/>
              <w:jc w:val="center"/>
              <w:rPr>
                <w:rFonts w:hint="default" w:eastAsia="宋体"/>
                <w:snapToGrid w:val="0"/>
                <w:color w:val="0000FF"/>
                <w:kern w:val="21"/>
                <w:szCs w:val="21"/>
                <w:highlight w:val="none"/>
                <w:lang w:val="en-US" w:eastAsia="zh-CN"/>
              </w:rPr>
            </w:pPr>
            <w:r>
              <w:rPr>
                <w:rFonts w:hint="eastAsia"/>
                <w:color w:val="0000FF"/>
                <w:highlight w:val="none"/>
                <w:lang w:val="en-US" w:eastAsia="zh-CN"/>
              </w:rPr>
              <w:t>6-8.5</w:t>
            </w:r>
          </w:p>
        </w:tc>
        <w:tc>
          <w:tcPr>
            <w:tcW w:w="1293" w:type="dxa"/>
            <w:vAlign w:val="center"/>
          </w:tcPr>
          <w:p>
            <w:pPr>
              <w:wordWrap w:val="0"/>
              <w:jc w:val="center"/>
              <w:rPr>
                <w:rFonts w:hint="default" w:eastAsia="宋体"/>
                <w:snapToGrid w:val="0"/>
                <w:color w:val="0000FF"/>
                <w:kern w:val="21"/>
                <w:szCs w:val="21"/>
                <w:highlight w:val="none"/>
                <w:lang w:val="en-US" w:eastAsia="zh-CN"/>
              </w:rPr>
            </w:pPr>
            <w:r>
              <w:rPr>
                <w:rFonts w:hint="eastAsia"/>
                <w:color w:val="0000FF"/>
                <w:highlight w:val="none"/>
                <w:lang w:val="en-US" w:eastAsia="zh-CN"/>
              </w:rPr>
              <w:t>6-8.5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highlight w:val="none"/>
              </w:rPr>
              <w:t>COD</w:t>
            </w:r>
          </w:p>
        </w:tc>
        <w:tc>
          <w:tcPr>
            <w:tcW w:w="1575"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559" w:type="dxa"/>
            <w:vAlign w:val="center"/>
          </w:tcPr>
          <w:p>
            <w:pPr>
              <w:wordWrap w:val="0"/>
              <w:jc w:val="center"/>
              <w:rPr>
                <w:color w:val="0000FF"/>
                <w:highlight w:val="none"/>
              </w:rPr>
            </w:pPr>
            <w:r>
              <w:rPr>
                <w:rFonts w:hint="eastAsia"/>
                <w:color w:val="0000FF"/>
                <w:highlight w:val="none"/>
                <w:lang w:val="en-US" w:eastAsia="zh-CN"/>
              </w:rPr>
              <w:t>0.872</w:t>
            </w:r>
            <w:r>
              <w:rPr>
                <w:color w:val="0000FF"/>
                <w:highlight w:val="none"/>
              </w:rPr>
              <w:t>t/a</w:t>
            </w:r>
          </w:p>
        </w:tc>
        <w:tc>
          <w:tcPr>
            <w:tcW w:w="1761" w:type="dxa"/>
            <w:vAlign w:val="center"/>
          </w:tcPr>
          <w:p>
            <w:pPr>
              <w:jc w:val="center"/>
              <w:rPr>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wordWrap w:val="0"/>
              <w:jc w:val="center"/>
              <w:rPr>
                <w:color w:val="0000FF"/>
                <w:szCs w:val="21"/>
                <w:highlight w:val="none"/>
              </w:rPr>
            </w:pPr>
            <w:r>
              <w:rPr>
                <w:rFonts w:hint="eastAsia"/>
                <w:color w:val="0000FF"/>
                <w:highlight w:val="none"/>
                <w:lang w:val="en-US" w:eastAsia="zh-CN"/>
              </w:rPr>
              <w:t>0.872</w:t>
            </w:r>
            <w:r>
              <w:rPr>
                <w:color w:val="0000FF"/>
                <w:highlight w:val="none"/>
              </w:rPr>
              <w:t>t/a</w:t>
            </w:r>
          </w:p>
        </w:tc>
        <w:tc>
          <w:tcPr>
            <w:tcW w:w="1293" w:type="dxa"/>
            <w:vAlign w:val="center"/>
          </w:tcPr>
          <w:p>
            <w:pPr>
              <w:wordWrap w:val="0"/>
              <w:jc w:val="center"/>
              <w:rPr>
                <w:color w:val="0000FF"/>
                <w:szCs w:val="21"/>
                <w:highlight w:val="none"/>
              </w:rPr>
            </w:pPr>
            <w:r>
              <w:rPr>
                <w:rFonts w:hint="eastAsia"/>
                <w:color w:val="0000FF"/>
                <w:highlight w:val="none"/>
                <w:lang w:val="en-US" w:eastAsia="zh-CN"/>
              </w:rPr>
              <w:t>+0.872</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highlight w:val="none"/>
              </w:rPr>
              <w:t>BOD</w:t>
            </w:r>
            <w:r>
              <w:rPr>
                <w:highlight w:val="none"/>
                <w:vertAlign w:val="subscript"/>
              </w:rPr>
              <w:t>5</w:t>
            </w:r>
          </w:p>
        </w:tc>
        <w:tc>
          <w:tcPr>
            <w:tcW w:w="1575" w:type="dxa"/>
            <w:vAlign w:val="center"/>
          </w:tcPr>
          <w:p>
            <w:pPr>
              <w:jc w:val="center"/>
              <w:rPr>
                <w:bCs/>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559" w:type="dxa"/>
            <w:vAlign w:val="center"/>
          </w:tcPr>
          <w:p>
            <w:pPr>
              <w:wordWrap w:val="0"/>
              <w:jc w:val="center"/>
              <w:rPr>
                <w:color w:val="0000FF"/>
                <w:highlight w:val="none"/>
              </w:rPr>
            </w:pPr>
            <w:r>
              <w:rPr>
                <w:rFonts w:hint="eastAsia"/>
                <w:color w:val="0000FF"/>
                <w:highlight w:val="none"/>
                <w:lang w:val="en-US" w:eastAsia="zh-CN"/>
              </w:rPr>
              <w:t>0.364</w:t>
            </w:r>
            <w:r>
              <w:rPr>
                <w:color w:val="0000FF"/>
                <w:highlight w:val="none"/>
              </w:rPr>
              <w:t>t/a</w:t>
            </w:r>
          </w:p>
        </w:tc>
        <w:tc>
          <w:tcPr>
            <w:tcW w:w="1761" w:type="dxa"/>
            <w:vAlign w:val="center"/>
          </w:tcPr>
          <w:p>
            <w:pPr>
              <w:jc w:val="center"/>
              <w:rPr>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wordWrap w:val="0"/>
              <w:jc w:val="center"/>
              <w:rPr>
                <w:color w:val="0000FF"/>
                <w:szCs w:val="21"/>
                <w:highlight w:val="none"/>
              </w:rPr>
            </w:pPr>
            <w:r>
              <w:rPr>
                <w:rFonts w:hint="eastAsia"/>
                <w:color w:val="0000FF"/>
                <w:highlight w:val="none"/>
                <w:lang w:val="en-US" w:eastAsia="zh-CN"/>
              </w:rPr>
              <w:t>0.364</w:t>
            </w:r>
            <w:r>
              <w:rPr>
                <w:color w:val="0000FF"/>
                <w:highlight w:val="none"/>
              </w:rPr>
              <w:t>t/a</w:t>
            </w:r>
          </w:p>
        </w:tc>
        <w:tc>
          <w:tcPr>
            <w:tcW w:w="1293" w:type="dxa"/>
            <w:vAlign w:val="center"/>
          </w:tcPr>
          <w:p>
            <w:pPr>
              <w:wordWrap w:val="0"/>
              <w:jc w:val="center"/>
              <w:rPr>
                <w:color w:val="0000FF"/>
                <w:szCs w:val="21"/>
                <w:highlight w:val="none"/>
              </w:rPr>
            </w:pPr>
            <w:r>
              <w:rPr>
                <w:rFonts w:hint="eastAsia"/>
                <w:color w:val="0000FF"/>
                <w:highlight w:val="none"/>
                <w:lang w:val="en-US" w:eastAsia="zh-CN"/>
              </w:rPr>
              <w:t>+0.364</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highlight w:val="none"/>
              </w:rPr>
              <w:t>SS</w:t>
            </w:r>
          </w:p>
        </w:tc>
        <w:tc>
          <w:tcPr>
            <w:tcW w:w="1575" w:type="dxa"/>
            <w:vAlign w:val="center"/>
          </w:tcPr>
          <w:p>
            <w:pPr>
              <w:jc w:val="center"/>
              <w:rPr>
                <w:bCs/>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559" w:type="dxa"/>
            <w:vAlign w:val="center"/>
          </w:tcPr>
          <w:p>
            <w:pPr>
              <w:pStyle w:val="58"/>
              <w:jc w:val="center"/>
              <w:rPr>
                <w:bCs/>
                <w:color w:val="0000FF"/>
                <w:kern w:val="2"/>
                <w:sz w:val="21"/>
                <w:szCs w:val="24"/>
                <w:highlight w:val="none"/>
              </w:rPr>
            </w:pPr>
            <w:r>
              <w:rPr>
                <w:rFonts w:hint="eastAsia"/>
                <w:bCs/>
                <w:color w:val="0000FF"/>
                <w:kern w:val="2"/>
                <w:sz w:val="21"/>
                <w:szCs w:val="24"/>
                <w:highlight w:val="none"/>
                <w:lang w:val="en-US" w:eastAsia="zh-CN"/>
              </w:rPr>
              <w:t>0.110</w:t>
            </w:r>
            <w:r>
              <w:rPr>
                <w:color w:val="0000FF"/>
                <w:kern w:val="2"/>
                <w:sz w:val="21"/>
                <w:szCs w:val="24"/>
                <w:highlight w:val="none"/>
              </w:rPr>
              <w:t>t/a</w:t>
            </w:r>
          </w:p>
        </w:tc>
        <w:tc>
          <w:tcPr>
            <w:tcW w:w="1761" w:type="dxa"/>
            <w:vAlign w:val="center"/>
          </w:tcPr>
          <w:p>
            <w:pPr>
              <w:jc w:val="center"/>
              <w:rPr>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0.110</w:t>
            </w:r>
            <w:r>
              <w:rPr>
                <w:color w:val="0000FF"/>
                <w:kern w:val="2"/>
                <w:sz w:val="21"/>
                <w:szCs w:val="24"/>
                <w:highlight w:val="none"/>
              </w:rPr>
              <w:t>t/a</w:t>
            </w:r>
          </w:p>
        </w:tc>
        <w:tc>
          <w:tcPr>
            <w:tcW w:w="1293"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+0.110</w:t>
            </w:r>
            <w:r>
              <w:rPr>
                <w:color w:val="0000FF"/>
                <w:kern w:val="2"/>
                <w:sz w:val="21"/>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highlight w:val="none"/>
              </w:rPr>
              <w:t>氨氮</w:t>
            </w:r>
          </w:p>
        </w:tc>
        <w:tc>
          <w:tcPr>
            <w:tcW w:w="1575" w:type="dxa"/>
            <w:vAlign w:val="center"/>
          </w:tcPr>
          <w:p>
            <w:pPr>
              <w:jc w:val="center"/>
              <w:rPr>
                <w:bCs/>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559" w:type="dxa"/>
            <w:vAlign w:val="center"/>
          </w:tcPr>
          <w:p>
            <w:pPr>
              <w:pStyle w:val="58"/>
              <w:jc w:val="center"/>
              <w:rPr>
                <w:bCs/>
                <w:color w:val="0000FF"/>
                <w:kern w:val="2"/>
                <w:sz w:val="21"/>
                <w:szCs w:val="24"/>
                <w:highlight w:val="none"/>
              </w:rPr>
            </w:pPr>
            <w:r>
              <w:rPr>
                <w:rFonts w:hint="eastAsia"/>
                <w:bCs/>
                <w:color w:val="0000FF"/>
                <w:kern w:val="2"/>
                <w:sz w:val="21"/>
                <w:szCs w:val="24"/>
                <w:highlight w:val="none"/>
                <w:lang w:val="en-US" w:eastAsia="zh-CN"/>
              </w:rPr>
              <w:t>0.172</w:t>
            </w:r>
            <w:r>
              <w:rPr>
                <w:color w:val="0000FF"/>
                <w:kern w:val="2"/>
                <w:sz w:val="21"/>
                <w:szCs w:val="24"/>
                <w:highlight w:val="none"/>
              </w:rPr>
              <w:t>t/a</w:t>
            </w:r>
          </w:p>
        </w:tc>
        <w:tc>
          <w:tcPr>
            <w:tcW w:w="1761" w:type="dxa"/>
            <w:vAlign w:val="center"/>
          </w:tcPr>
          <w:p>
            <w:pPr>
              <w:jc w:val="center"/>
              <w:rPr>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0.172</w:t>
            </w:r>
            <w:r>
              <w:rPr>
                <w:color w:val="0000FF"/>
                <w:kern w:val="2"/>
                <w:sz w:val="21"/>
                <w:szCs w:val="24"/>
                <w:highlight w:val="none"/>
              </w:rPr>
              <w:t>t/a</w:t>
            </w:r>
          </w:p>
        </w:tc>
        <w:tc>
          <w:tcPr>
            <w:tcW w:w="1293"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+0.172</w:t>
            </w:r>
            <w:r>
              <w:rPr>
                <w:color w:val="0000FF"/>
                <w:kern w:val="2"/>
                <w:sz w:val="21"/>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highlight w:val="none"/>
              </w:rPr>
              <w:t>T</w:t>
            </w:r>
            <w:r>
              <w:rPr>
                <w:rFonts w:hint="eastAsia"/>
                <w:highlight w:val="none"/>
              </w:rPr>
              <w:t>N</w:t>
            </w:r>
          </w:p>
        </w:tc>
        <w:tc>
          <w:tcPr>
            <w:tcW w:w="1575" w:type="dxa"/>
            <w:vAlign w:val="center"/>
          </w:tcPr>
          <w:p>
            <w:pPr>
              <w:jc w:val="center"/>
              <w:rPr>
                <w:bCs/>
                <w:szCs w:val="21"/>
                <w:highlight w:val="none"/>
              </w:rPr>
            </w:pPr>
            <w:r>
              <w:rPr>
                <w:rFonts w:hint="eastAsia" w:hAnsi="宋体" w:cs="宋体"/>
                <w:snapToGrid w:val="0"/>
                <w:kern w:val="21"/>
                <w:szCs w:val="21"/>
                <w:highlight w:val="none"/>
              </w:rPr>
              <w:t>/</w:t>
            </w:r>
          </w:p>
        </w:tc>
        <w:tc>
          <w:tcPr>
            <w:tcW w:w="1260" w:type="dxa"/>
            <w:vAlign w:val="center"/>
          </w:tcPr>
          <w:p>
            <w:pPr>
              <w:jc w:val="center"/>
              <w:rPr>
                <w:szCs w:val="21"/>
                <w:highlight w:val="none"/>
              </w:rPr>
            </w:pPr>
            <w:r>
              <w:rPr>
                <w:rFonts w:hint="eastAsia" w:hAnsi="宋体" w:cs="宋体"/>
                <w:snapToGrid w:val="0"/>
                <w:kern w:val="21"/>
                <w:szCs w:val="21"/>
                <w:highlight w:val="none"/>
              </w:rPr>
              <w:t>/</w:t>
            </w:r>
          </w:p>
        </w:tc>
        <w:tc>
          <w:tcPr>
            <w:tcW w:w="1612" w:type="dxa"/>
            <w:vAlign w:val="center"/>
          </w:tcPr>
          <w:p>
            <w:pPr>
              <w:jc w:val="center"/>
              <w:rPr>
                <w:szCs w:val="21"/>
                <w:highlight w:val="none"/>
              </w:rPr>
            </w:pPr>
            <w:r>
              <w:rPr>
                <w:rFonts w:hint="eastAsia" w:hAnsi="宋体" w:cs="宋体"/>
                <w:snapToGrid w:val="0"/>
                <w:kern w:val="21"/>
                <w:szCs w:val="21"/>
                <w:highlight w:val="none"/>
              </w:rPr>
              <w:t>/</w:t>
            </w:r>
          </w:p>
        </w:tc>
        <w:tc>
          <w:tcPr>
            <w:tcW w:w="1559" w:type="dxa"/>
            <w:vAlign w:val="center"/>
          </w:tcPr>
          <w:p>
            <w:pPr>
              <w:pStyle w:val="58"/>
              <w:jc w:val="center"/>
              <w:rPr>
                <w:bCs/>
                <w:color w:val="0000FF"/>
                <w:kern w:val="2"/>
                <w:sz w:val="21"/>
                <w:szCs w:val="24"/>
                <w:highlight w:val="none"/>
              </w:rPr>
            </w:pPr>
            <w:r>
              <w:rPr>
                <w:rFonts w:hint="eastAsia"/>
                <w:bCs/>
                <w:color w:val="0000FF"/>
                <w:kern w:val="2"/>
                <w:sz w:val="21"/>
                <w:szCs w:val="24"/>
                <w:highlight w:val="none"/>
                <w:lang w:val="en-US" w:eastAsia="zh-CN"/>
              </w:rPr>
              <w:t>0.382</w:t>
            </w:r>
            <w:r>
              <w:rPr>
                <w:color w:val="0000FF"/>
                <w:kern w:val="2"/>
                <w:sz w:val="21"/>
                <w:szCs w:val="24"/>
                <w:highlight w:val="none"/>
              </w:rPr>
              <w:t>t/a</w:t>
            </w:r>
          </w:p>
        </w:tc>
        <w:tc>
          <w:tcPr>
            <w:tcW w:w="1761" w:type="dxa"/>
            <w:vAlign w:val="center"/>
          </w:tcPr>
          <w:p>
            <w:pPr>
              <w:jc w:val="center"/>
              <w:rPr>
                <w:bCs/>
                <w:color w:val="0000FF"/>
                <w:szCs w:val="21"/>
                <w:highlight w:val="none"/>
              </w:rPr>
            </w:pPr>
            <w:r>
              <w:rPr>
                <w:rFonts w:hint="eastAsia" w:hAnsi="宋体" w:cs="宋体"/>
                <w:bCs/>
                <w:snapToGrid w:val="0"/>
                <w:color w:val="0000FF"/>
                <w:kern w:val="21"/>
                <w:szCs w:val="21"/>
                <w:highlight w:val="none"/>
              </w:rPr>
              <w:t>/</w:t>
            </w:r>
          </w:p>
        </w:tc>
        <w:tc>
          <w:tcPr>
            <w:tcW w:w="1742"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0.382</w:t>
            </w:r>
            <w:r>
              <w:rPr>
                <w:color w:val="0000FF"/>
                <w:kern w:val="2"/>
                <w:sz w:val="21"/>
                <w:szCs w:val="24"/>
                <w:highlight w:val="none"/>
              </w:rPr>
              <w:t>t/a</w:t>
            </w:r>
          </w:p>
        </w:tc>
        <w:tc>
          <w:tcPr>
            <w:tcW w:w="1293"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+0.382</w:t>
            </w:r>
            <w:r>
              <w:rPr>
                <w:color w:val="0000FF"/>
                <w:kern w:val="2"/>
                <w:sz w:val="21"/>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rFonts w:hint="eastAsia"/>
                <w:highlight w:val="none"/>
              </w:rPr>
              <w:t>TP</w:t>
            </w:r>
          </w:p>
        </w:tc>
        <w:tc>
          <w:tcPr>
            <w:tcW w:w="1575" w:type="dxa"/>
            <w:vAlign w:val="center"/>
          </w:tcPr>
          <w:p>
            <w:pPr>
              <w:jc w:val="center"/>
              <w:rPr>
                <w:bCs/>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snapToGrid w:val="0"/>
                <w:kern w:val="21"/>
                <w:szCs w:val="21"/>
                <w:highlight w:val="none"/>
              </w:rPr>
            </w:pPr>
            <w:r>
              <w:rPr>
                <w:rFonts w:hint="eastAsia" w:hAnsi="宋体" w:cs="宋体"/>
                <w:snapToGrid w:val="0"/>
                <w:kern w:val="21"/>
                <w:szCs w:val="21"/>
                <w:highlight w:val="none"/>
              </w:rPr>
              <w:t>/</w:t>
            </w:r>
          </w:p>
        </w:tc>
        <w:tc>
          <w:tcPr>
            <w:tcW w:w="1559" w:type="dxa"/>
            <w:vAlign w:val="center"/>
          </w:tcPr>
          <w:p>
            <w:pPr>
              <w:pStyle w:val="58"/>
              <w:jc w:val="center"/>
              <w:rPr>
                <w:bCs/>
                <w:color w:val="0000FF"/>
                <w:kern w:val="2"/>
                <w:sz w:val="21"/>
                <w:szCs w:val="24"/>
                <w:highlight w:val="none"/>
              </w:rPr>
            </w:pPr>
            <w:r>
              <w:rPr>
                <w:rFonts w:hint="eastAsia"/>
                <w:bCs/>
                <w:color w:val="0000FF"/>
                <w:kern w:val="2"/>
                <w:sz w:val="21"/>
                <w:szCs w:val="24"/>
                <w:highlight w:val="none"/>
                <w:lang w:val="en-US" w:eastAsia="zh-CN"/>
              </w:rPr>
              <w:t>0.019</w:t>
            </w:r>
            <w:r>
              <w:rPr>
                <w:color w:val="0000FF"/>
                <w:kern w:val="2"/>
                <w:sz w:val="21"/>
                <w:szCs w:val="24"/>
                <w:highlight w:val="none"/>
              </w:rPr>
              <w:t>t/a</w:t>
            </w:r>
          </w:p>
        </w:tc>
        <w:tc>
          <w:tcPr>
            <w:tcW w:w="1761" w:type="dxa"/>
            <w:vAlign w:val="center"/>
          </w:tcPr>
          <w:p>
            <w:pPr>
              <w:jc w:val="center"/>
              <w:rPr>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0.019</w:t>
            </w:r>
            <w:r>
              <w:rPr>
                <w:color w:val="0000FF"/>
                <w:kern w:val="2"/>
                <w:sz w:val="21"/>
                <w:szCs w:val="24"/>
                <w:highlight w:val="none"/>
              </w:rPr>
              <w:t>t/a</w:t>
            </w:r>
          </w:p>
        </w:tc>
        <w:tc>
          <w:tcPr>
            <w:tcW w:w="1293" w:type="dxa"/>
            <w:vAlign w:val="center"/>
          </w:tcPr>
          <w:p>
            <w:pPr>
              <w:pStyle w:val="58"/>
              <w:ind w:left="0" w:leftChars="0"/>
              <w:jc w:val="center"/>
              <w:rPr>
                <w:bCs/>
                <w:color w:val="0000FF"/>
                <w:kern w:val="2"/>
                <w:sz w:val="21"/>
                <w:highlight w:val="none"/>
              </w:rPr>
            </w:pPr>
            <w:r>
              <w:rPr>
                <w:rFonts w:hint="eastAsia"/>
                <w:bCs/>
                <w:color w:val="0000FF"/>
                <w:kern w:val="2"/>
                <w:sz w:val="21"/>
                <w:szCs w:val="24"/>
                <w:highlight w:val="none"/>
                <w:lang w:val="en-US" w:eastAsia="zh-CN"/>
              </w:rPr>
              <w:t>+0.019</w:t>
            </w:r>
            <w:r>
              <w:rPr>
                <w:color w:val="0000FF"/>
                <w:kern w:val="2"/>
                <w:sz w:val="21"/>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rFonts w:hint="eastAsia"/>
                <w:highlight w:val="none"/>
              </w:rPr>
              <w:t>动植物油</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pStyle w:val="58"/>
              <w:jc w:val="center"/>
              <w:rPr>
                <w:bCs/>
                <w:color w:val="0000FF"/>
                <w:kern w:val="2"/>
                <w:sz w:val="21"/>
                <w:szCs w:val="24"/>
                <w:highlight w:val="none"/>
              </w:rPr>
            </w:pPr>
            <w:r>
              <w:rPr>
                <w:rFonts w:hint="eastAsia"/>
                <w:bCs/>
                <w:color w:val="0000FF"/>
                <w:kern w:val="2"/>
                <w:sz w:val="21"/>
                <w:szCs w:val="24"/>
                <w:highlight w:val="none"/>
                <w:lang w:val="en-US" w:eastAsia="zh-CN"/>
              </w:rPr>
              <w:t>0.004</w:t>
            </w:r>
            <w:r>
              <w:rPr>
                <w:color w:val="0000FF"/>
                <w:kern w:val="2"/>
                <w:sz w:val="21"/>
                <w:szCs w:val="24"/>
                <w:highlight w:val="none"/>
              </w:rPr>
              <w:t>t/a</w:t>
            </w:r>
          </w:p>
        </w:tc>
        <w:tc>
          <w:tcPr>
            <w:tcW w:w="1761"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pStyle w:val="58"/>
              <w:ind w:left="0" w:leftChars="0"/>
              <w:jc w:val="center"/>
              <w:rPr>
                <w:bCs/>
                <w:color w:val="0000FF"/>
                <w:sz w:val="21"/>
                <w:highlight w:val="none"/>
              </w:rPr>
            </w:pPr>
            <w:r>
              <w:rPr>
                <w:rFonts w:hint="eastAsia"/>
                <w:bCs/>
                <w:color w:val="0000FF"/>
                <w:kern w:val="2"/>
                <w:sz w:val="21"/>
                <w:szCs w:val="24"/>
                <w:highlight w:val="none"/>
                <w:lang w:val="en-US" w:eastAsia="zh-CN"/>
              </w:rPr>
              <w:t>0.004</w:t>
            </w:r>
            <w:r>
              <w:rPr>
                <w:color w:val="0000FF"/>
                <w:kern w:val="2"/>
                <w:sz w:val="21"/>
                <w:szCs w:val="24"/>
                <w:highlight w:val="none"/>
              </w:rPr>
              <w:t>t/a</w:t>
            </w:r>
          </w:p>
        </w:tc>
        <w:tc>
          <w:tcPr>
            <w:tcW w:w="1293" w:type="dxa"/>
            <w:vAlign w:val="center"/>
          </w:tcPr>
          <w:p>
            <w:pPr>
              <w:pStyle w:val="58"/>
              <w:ind w:left="0" w:leftChars="0"/>
              <w:jc w:val="center"/>
              <w:rPr>
                <w:bCs/>
                <w:color w:val="0000FF"/>
                <w:sz w:val="21"/>
                <w:highlight w:val="none"/>
              </w:rPr>
            </w:pPr>
            <w:r>
              <w:rPr>
                <w:rFonts w:hint="eastAsia"/>
                <w:bCs/>
                <w:color w:val="0000FF"/>
                <w:kern w:val="2"/>
                <w:sz w:val="21"/>
                <w:szCs w:val="24"/>
                <w:highlight w:val="none"/>
                <w:lang w:val="en-US" w:eastAsia="zh-CN"/>
              </w:rPr>
              <w:t>+0.004</w:t>
            </w:r>
            <w:r>
              <w:rPr>
                <w:color w:val="0000FF"/>
                <w:kern w:val="2"/>
                <w:sz w:val="21"/>
                <w:szCs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58"/>
              <w:jc w:val="center"/>
              <w:rPr>
                <w:rFonts w:hAnsi="宋体" w:cs="宋体"/>
                <w:snapToGrid w:val="0"/>
                <w:kern w:val="21"/>
                <w:sz w:val="21"/>
                <w:highlight w:val="none"/>
              </w:rPr>
            </w:pPr>
            <w:r>
              <w:rPr>
                <w:rFonts w:hint="eastAsia" w:hAnsi="宋体" w:cs="宋体"/>
                <w:snapToGrid w:val="0"/>
                <w:kern w:val="21"/>
                <w:sz w:val="21"/>
                <w:highlight w:val="none"/>
              </w:rPr>
              <w:t>一般工业</w:t>
            </w:r>
          </w:p>
          <w:p>
            <w:pPr>
              <w:pStyle w:val="58"/>
              <w:ind w:left="420" w:hanging="420" w:hangingChars="200"/>
              <w:jc w:val="center"/>
              <w:rPr>
                <w:bCs/>
                <w:snapToGrid w:val="0"/>
                <w:kern w:val="21"/>
                <w:sz w:val="21"/>
                <w:highlight w:val="none"/>
              </w:rPr>
            </w:pPr>
            <w:r>
              <w:rPr>
                <w:rFonts w:hint="eastAsia" w:hAnsi="宋体" w:cs="宋体"/>
                <w:snapToGrid w:val="0"/>
                <w:kern w:val="21"/>
                <w:sz w:val="21"/>
                <w:highlight w:val="none"/>
              </w:rPr>
              <w:t>固体废物</w:t>
            </w:r>
          </w:p>
        </w:tc>
        <w:tc>
          <w:tcPr>
            <w:tcW w:w="2097" w:type="dxa"/>
            <w:vAlign w:val="center"/>
          </w:tcPr>
          <w:p>
            <w:pPr>
              <w:wordWrap w:val="0"/>
              <w:jc w:val="center"/>
              <w:rPr>
                <w:bCs/>
                <w:snapToGrid w:val="0"/>
                <w:kern w:val="21"/>
                <w:szCs w:val="21"/>
                <w:highlight w:val="none"/>
              </w:rPr>
            </w:pPr>
            <w:r>
              <w:rPr>
                <w:rFonts w:hint="eastAsia"/>
                <w:highlight w:val="none"/>
              </w:rPr>
              <w:t>不合格蛋</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140</w:t>
            </w:r>
            <w:r>
              <w:rPr>
                <w:color w:val="0000FF"/>
                <w:highlight w:val="none"/>
              </w:rPr>
              <w:t>t/a</w:t>
            </w:r>
          </w:p>
        </w:tc>
        <w:tc>
          <w:tcPr>
            <w:tcW w:w="1761"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140</w:t>
            </w:r>
            <w:r>
              <w:rPr>
                <w:color w:val="0000FF"/>
                <w:highlight w:val="none"/>
              </w:rPr>
              <w:t>t/a</w:t>
            </w:r>
          </w:p>
        </w:tc>
        <w:tc>
          <w:tcPr>
            <w:tcW w:w="1293"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+140</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bCs/>
                <w:snapToGrid w:val="0"/>
                <w:kern w:val="21"/>
                <w:szCs w:val="21"/>
                <w:highlight w:val="none"/>
              </w:rPr>
            </w:pPr>
            <w:r>
              <w:rPr>
                <w:rFonts w:hint="eastAsia"/>
                <w:highlight w:val="none"/>
              </w:rPr>
              <w:t>废蛋液</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22</w:t>
            </w:r>
            <w:r>
              <w:rPr>
                <w:color w:val="0000FF"/>
                <w:highlight w:val="none"/>
              </w:rPr>
              <w:t>t/a</w:t>
            </w:r>
          </w:p>
        </w:tc>
        <w:tc>
          <w:tcPr>
            <w:tcW w:w="1761"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22</w:t>
            </w:r>
            <w:r>
              <w:rPr>
                <w:color w:val="0000FF"/>
                <w:highlight w:val="none"/>
              </w:rPr>
              <w:t>t/a</w:t>
            </w:r>
          </w:p>
        </w:tc>
        <w:tc>
          <w:tcPr>
            <w:tcW w:w="1293"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w:t>
            </w:r>
            <w:r>
              <w:rPr>
                <w:rFonts w:hint="eastAsia" w:hAnsi="宋体" w:cs="宋体"/>
                <w:bCs/>
                <w:snapToGrid w:val="0"/>
                <w:color w:val="0000FF"/>
                <w:kern w:val="21"/>
                <w:szCs w:val="21"/>
                <w:highlight w:val="none"/>
              </w:rPr>
              <w:t>22</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bCs/>
                <w:snapToGrid w:val="0"/>
                <w:kern w:val="21"/>
                <w:szCs w:val="21"/>
                <w:highlight w:val="none"/>
              </w:rPr>
            </w:pPr>
            <w:r>
              <w:rPr>
                <w:rFonts w:hint="eastAsia"/>
                <w:highlight w:val="none"/>
              </w:rPr>
              <w:t>蛋壳</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2788</w:t>
            </w:r>
            <w:r>
              <w:rPr>
                <w:color w:val="0000FF"/>
                <w:highlight w:val="none"/>
              </w:rPr>
              <w:t>t/a</w:t>
            </w:r>
          </w:p>
        </w:tc>
        <w:tc>
          <w:tcPr>
            <w:tcW w:w="1761"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2788</w:t>
            </w:r>
            <w:r>
              <w:rPr>
                <w:color w:val="0000FF"/>
                <w:highlight w:val="none"/>
              </w:rPr>
              <w:t>t/a</w:t>
            </w:r>
          </w:p>
        </w:tc>
        <w:tc>
          <w:tcPr>
            <w:tcW w:w="1293"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+2788</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bCs/>
                <w:snapToGrid w:val="0"/>
                <w:kern w:val="21"/>
                <w:szCs w:val="21"/>
                <w:highlight w:val="none"/>
              </w:rPr>
            </w:pPr>
            <w:r>
              <w:rPr>
                <w:rFonts w:hint="eastAsia"/>
                <w:highlight w:val="none"/>
              </w:rPr>
              <w:t>过滤废弃物</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25</w:t>
            </w:r>
            <w:r>
              <w:rPr>
                <w:color w:val="0000FF"/>
                <w:highlight w:val="none"/>
              </w:rPr>
              <w:t>t/a</w:t>
            </w:r>
          </w:p>
        </w:tc>
        <w:tc>
          <w:tcPr>
            <w:tcW w:w="1761"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25</w:t>
            </w:r>
            <w:r>
              <w:rPr>
                <w:color w:val="0000FF"/>
                <w:highlight w:val="none"/>
              </w:rPr>
              <w:t>t/a</w:t>
            </w:r>
          </w:p>
        </w:tc>
        <w:tc>
          <w:tcPr>
            <w:tcW w:w="1293"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w:t>
            </w:r>
            <w:r>
              <w:rPr>
                <w:rFonts w:hint="eastAsia" w:hAnsi="宋体" w:cs="宋体"/>
                <w:bCs/>
                <w:snapToGrid w:val="0"/>
                <w:color w:val="0000FF"/>
                <w:kern w:val="21"/>
                <w:szCs w:val="21"/>
                <w:highlight w:val="none"/>
              </w:rPr>
              <w:t>25</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bCs/>
                <w:snapToGrid w:val="0"/>
                <w:kern w:val="21"/>
                <w:szCs w:val="21"/>
                <w:highlight w:val="none"/>
              </w:rPr>
            </w:pPr>
            <w:r>
              <w:rPr>
                <w:rFonts w:hint="eastAsia"/>
                <w:highlight w:val="none"/>
              </w:rPr>
              <w:t>不合格品</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25</w:t>
            </w:r>
            <w:r>
              <w:rPr>
                <w:color w:val="0000FF"/>
                <w:highlight w:val="none"/>
              </w:rPr>
              <w:t>t/a</w:t>
            </w:r>
          </w:p>
        </w:tc>
        <w:tc>
          <w:tcPr>
            <w:tcW w:w="1761"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w:t>
            </w:r>
          </w:p>
        </w:tc>
        <w:tc>
          <w:tcPr>
            <w:tcW w:w="1742"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25</w:t>
            </w:r>
            <w:r>
              <w:rPr>
                <w:color w:val="0000FF"/>
                <w:highlight w:val="none"/>
              </w:rPr>
              <w:t>t/a</w:t>
            </w:r>
          </w:p>
        </w:tc>
        <w:tc>
          <w:tcPr>
            <w:tcW w:w="1293"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w:t>
            </w:r>
            <w:r>
              <w:rPr>
                <w:rFonts w:hint="eastAsia" w:hAnsi="宋体" w:cs="宋体"/>
                <w:bCs/>
                <w:snapToGrid w:val="0"/>
                <w:color w:val="0000FF"/>
                <w:kern w:val="21"/>
                <w:szCs w:val="21"/>
                <w:highlight w:val="none"/>
              </w:rPr>
              <w:t>25</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szCs w:val="21"/>
                <w:highlight w:val="none"/>
              </w:rPr>
            </w:pPr>
            <w:r>
              <w:rPr>
                <w:rFonts w:hint="eastAsia"/>
                <w:highlight w:val="none"/>
              </w:rPr>
              <w:t>废包装材料</w:t>
            </w:r>
          </w:p>
        </w:tc>
        <w:tc>
          <w:tcPr>
            <w:tcW w:w="1575" w:type="dxa"/>
            <w:vAlign w:val="center"/>
          </w:tcPr>
          <w:p>
            <w:pPr>
              <w:jc w:val="center"/>
              <w:rPr>
                <w:rFonts w:hAnsi="宋体" w:cs="宋体"/>
                <w:snapToGrid w:val="0"/>
                <w:kern w:val="21"/>
                <w:szCs w:val="21"/>
                <w:highlight w:val="none"/>
              </w:rPr>
            </w:pPr>
          </w:p>
        </w:tc>
        <w:tc>
          <w:tcPr>
            <w:tcW w:w="1260" w:type="dxa"/>
            <w:vAlign w:val="center"/>
          </w:tcPr>
          <w:p>
            <w:pPr>
              <w:jc w:val="center"/>
              <w:rPr>
                <w:rFonts w:hAnsi="宋体" w:cs="宋体"/>
                <w:snapToGrid w:val="0"/>
                <w:kern w:val="21"/>
                <w:szCs w:val="21"/>
                <w:highlight w:val="none"/>
              </w:rPr>
            </w:pPr>
          </w:p>
        </w:tc>
        <w:tc>
          <w:tcPr>
            <w:tcW w:w="1612" w:type="dxa"/>
            <w:vAlign w:val="center"/>
          </w:tcPr>
          <w:p>
            <w:pPr>
              <w:jc w:val="center"/>
              <w:rPr>
                <w:rFonts w:hAnsi="宋体" w:cs="宋体"/>
                <w:snapToGrid w:val="0"/>
                <w:kern w:val="21"/>
                <w:szCs w:val="21"/>
                <w:highlight w:val="none"/>
              </w:rPr>
            </w:pPr>
          </w:p>
        </w:tc>
        <w:tc>
          <w:tcPr>
            <w:tcW w:w="1559"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0.5</w:t>
            </w:r>
            <w:r>
              <w:rPr>
                <w:color w:val="0000FF"/>
                <w:highlight w:val="none"/>
              </w:rPr>
              <w:t>t/a</w:t>
            </w:r>
          </w:p>
        </w:tc>
        <w:tc>
          <w:tcPr>
            <w:tcW w:w="1761" w:type="dxa"/>
            <w:vAlign w:val="center"/>
          </w:tcPr>
          <w:p>
            <w:pPr>
              <w:wordWrap w:val="0"/>
              <w:jc w:val="center"/>
              <w:rPr>
                <w:rFonts w:hAnsi="宋体" w:cs="宋体"/>
                <w:bCs/>
                <w:snapToGrid w:val="0"/>
                <w:color w:val="0000FF"/>
                <w:kern w:val="21"/>
                <w:szCs w:val="21"/>
                <w:highlight w:val="none"/>
              </w:rPr>
            </w:pPr>
            <w:r>
              <w:rPr>
                <w:rFonts w:hint="eastAsia"/>
                <w:color w:val="0000FF"/>
                <w:highlight w:val="none"/>
              </w:rPr>
              <w:t>/</w:t>
            </w:r>
          </w:p>
        </w:tc>
        <w:tc>
          <w:tcPr>
            <w:tcW w:w="1742"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rPr>
              <w:t>0.5</w:t>
            </w:r>
            <w:r>
              <w:rPr>
                <w:color w:val="0000FF"/>
                <w:highlight w:val="none"/>
              </w:rPr>
              <w:t>t/a</w:t>
            </w:r>
          </w:p>
        </w:tc>
        <w:tc>
          <w:tcPr>
            <w:tcW w:w="1293" w:type="dxa"/>
            <w:vAlign w:val="center"/>
          </w:tcPr>
          <w:p>
            <w:pPr>
              <w:jc w:val="center"/>
              <w:rPr>
                <w:rFonts w:hAnsi="宋体" w:cs="宋体"/>
                <w:bCs/>
                <w:snapToGrid w:val="0"/>
                <w:color w:val="0000FF"/>
                <w:kern w:val="21"/>
                <w:szCs w:val="21"/>
                <w:highlight w:val="none"/>
              </w:rPr>
            </w:pPr>
            <w:r>
              <w:rPr>
                <w:rFonts w:hint="eastAsia" w:hAnsi="宋体" w:cs="宋体"/>
                <w:bCs/>
                <w:snapToGrid w:val="0"/>
                <w:color w:val="0000FF"/>
                <w:kern w:val="21"/>
                <w:szCs w:val="21"/>
                <w:highlight w:val="none"/>
                <w:lang w:val="en-US" w:eastAsia="zh-CN"/>
              </w:rPr>
              <w:t>+</w:t>
            </w:r>
            <w:r>
              <w:rPr>
                <w:rFonts w:hint="eastAsia" w:hAnsi="宋体" w:cs="宋体"/>
                <w:bCs/>
                <w:snapToGrid w:val="0"/>
                <w:color w:val="0000FF"/>
                <w:kern w:val="21"/>
                <w:szCs w:val="21"/>
                <w:highlight w:val="none"/>
              </w:rPr>
              <w:t>0.5</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58"/>
              <w:jc w:val="center"/>
              <w:rPr>
                <w:rFonts w:hAnsi="宋体" w:cs="宋体"/>
                <w:snapToGrid w:val="0"/>
                <w:kern w:val="21"/>
                <w:sz w:val="21"/>
                <w:highlight w:val="none"/>
              </w:rPr>
            </w:pPr>
            <w:r>
              <w:rPr>
                <w:rFonts w:hint="eastAsia" w:hAnsi="宋体" w:cs="宋体"/>
                <w:snapToGrid w:val="0"/>
                <w:kern w:val="21"/>
                <w:sz w:val="21"/>
                <w:highlight w:val="none"/>
              </w:rPr>
              <w:t>一般工业</w:t>
            </w:r>
          </w:p>
          <w:p>
            <w:pPr>
              <w:pStyle w:val="58"/>
              <w:ind w:left="420" w:hanging="420" w:hangingChars="200"/>
              <w:jc w:val="center"/>
              <w:rPr>
                <w:bCs/>
                <w:snapToGrid w:val="0"/>
                <w:kern w:val="21"/>
                <w:sz w:val="21"/>
                <w:highlight w:val="none"/>
              </w:rPr>
            </w:pPr>
            <w:r>
              <w:rPr>
                <w:rFonts w:hint="eastAsia" w:hAnsi="宋体" w:cs="宋体"/>
                <w:snapToGrid w:val="0"/>
                <w:kern w:val="21"/>
                <w:sz w:val="21"/>
                <w:highlight w:val="none"/>
              </w:rPr>
              <w:t>固体废物</w:t>
            </w:r>
          </w:p>
        </w:tc>
        <w:tc>
          <w:tcPr>
            <w:tcW w:w="2097" w:type="dxa"/>
            <w:vAlign w:val="center"/>
          </w:tcPr>
          <w:p>
            <w:pPr>
              <w:wordWrap w:val="0"/>
              <w:jc w:val="center"/>
              <w:rPr>
                <w:bCs/>
                <w:snapToGrid w:val="0"/>
                <w:kern w:val="21"/>
                <w:szCs w:val="21"/>
                <w:highlight w:val="none"/>
              </w:rPr>
            </w:pPr>
            <w:r>
              <w:rPr>
                <w:szCs w:val="21"/>
                <w:highlight w:val="none"/>
              </w:rPr>
              <w:t>污水处理站污泥</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17.05</w:t>
            </w:r>
            <w:r>
              <w:rPr>
                <w:color w:val="0000FF"/>
                <w:highlight w:val="none"/>
              </w:rPr>
              <w:t>t/a</w:t>
            </w:r>
          </w:p>
        </w:tc>
        <w:tc>
          <w:tcPr>
            <w:tcW w:w="1761" w:type="dxa"/>
            <w:vAlign w:val="center"/>
          </w:tcPr>
          <w:p>
            <w:pPr>
              <w:wordWrap w:val="0"/>
              <w:jc w:val="center"/>
              <w:rPr>
                <w:rFonts w:hAnsi="宋体" w:cs="宋体"/>
                <w:snapToGrid w:val="0"/>
                <w:color w:val="0000FF"/>
                <w:kern w:val="21"/>
                <w:szCs w:val="21"/>
                <w:highlight w:val="none"/>
              </w:rPr>
            </w:pPr>
            <w:r>
              <w:rPr>
                <w:rFonts w:hint="eastAsia"/>
                <w:color w:val="0000FF"/>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17.05</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+17.05</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bCs/>
                <w:snapToGrid w:val="0"/>
                <w:kern w:val="21"/>
                <w:szCs w:val="21"/>
                <w:highlight w:val="none"/>
              </w:rPr>
            </w:pPr>
            <w:r>
              <w:rPr>
                <w:rFonts w:hint="eastAsia"/>
                <w:szCs w:val="21"/>
                <w:highlight w:val="none"/>
              </w:rPr>
              <w:t>废布袋</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0.2</w:t>
            </w:r>
            <w:r>
              <w:rPr>
                <w:color w:val="0000FF"/>
                <w:highlight w:val="none"/>
              </w:rPr>
              <w:t>t/a</w:t>
            </w:r>
          </w:p>
        </w:tc>
        <w:tc>
          <w:tcPr>
            <w:tcW w:w="1761" w:type="dxa"/>
            <w:vAlign w:val="center"/>
          </w:tcPr>
          <w:p>
            <w:pPr>
              <w:wordWrap w:val="0"/>
              <w:jc w:val="center"/>
              <w:rPr>
                <w:rFonts w:hAnsi="宋体" w:cs="宋体"/>
                <w:snapToGrid w:val="0"/>
                <w:color w:val="0000FF"/>
                <w:kern w:val="21"/>
                <w:szCs w:val="21"/>
                <w:highlight w:val="none"/>
              </w:rPr>
            </w:pPr>
            <w:r>
              <w:rPr>
                <w:rFonts w:hint="eastAsia"/>
                <w:color w:val="0000FF"/>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0.2</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w:t>
            </w:r>
            <w:r>
              <w:rPr>
                <w:rFonts w:hint="eastAsia" w:hAnsi="宋体" w:cs="宋体"/>
                <w:snapToGrid w:val="0"/>
                <w:color w:val="0000FF"/>
                <w:kern w:val="21"/>
                <w:szCs w:val="21"/>
                <w:highlight w:val="none"/>
              </w:rPr>
              <w:t>0.2</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highlight w:val="none"/>
              </w:rPr>
            </w:pPr>
            <w:r>
              <w:rPr>
                <w:rFonts w:hint="eastAsia"/>
                <w:szCs w:val="21"/>
                <w:highlight w:val="none"/>
              </w:rPr>
              <w:t>除尘灰</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0.8</w:t>
            </w:r>
            <w:r>
              <w:rPr>
                <w:color w:val="0000FF"/>
                <w:highlight w:val="none"/>
              </w:rPr>
              <w:t>t/a</w:t>
            </w:r>
          </w:p>
        </w:tc>
        <w:tc>
          <w:tcPr>
            <w:tcW w:w="1761" w:type="dxa"/>
            <w:vAlign w:val="center"/>
          </w:tcPr>
          <w:p>
            <w:pPr>
              <w:wordWrap w:val="0"/>
              <w:jc w:val="center"/>
              <w:rPr>
                <w:rFonts w:hAnsi="宋体" w:cs="宋体"/>
                <w:snapToGrid w:val="0"/>
                <w:color w:val="0000FF"/>
                <w:kern w:val="21"/>
                <w:szCs w:val="21"/>
                <w:highlight w:val="none"/>
              </w:rPr>
            </w:pPr>
            <w:r>
              <w:rPr>
                <w:rFonts w:hint="eastAsia"/>
                <w:color w:val="0000FF"/>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0.8</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+0.8</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rFonts w:hint="default" w:eastAsia="宋体"/>
                <w:szCs w:val="21"/>
                <w:highlight w:val="none"/>
                <w:lang w:val="en-US" w:eastAsia="zh-CN"/>
              </w:rPr>
            </w:pPr>
            <w:r>
              <w:rPr>
                <w:rFonts w:hint="eastAsia"/>
                <w:szCs w:val="21"/>
                <w:highlight w:val="none"/>
                <w:lang w:val="en-US" w:eastAsia="zh-CN"/>
              </w:rPr>
              <w:t>锅炉炉渣</w:t>
            </w:r>
          </w:p>
        </w:tc>
        <w:tc>
          <w:tcPr>
            <w:tcW w:w="1575" w:type="dxa"/>
            <w:vAlign w:val="center"/>
          </w:tcPr>
          <w:p>
            <w:pPr>
              <w:jc w:val="center"/>
              <w:rPr>
                <w:rFonts w:hint="eastAsia"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int="eastAsia"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int="eastAsia"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int="default" w:hAnsi="宋体" w:eastAsia="宋体" w:cs="宋体"/>
                <w:snapToGrid w:val="0"/>
                <w:color w:val="0000FF"/>
                <w:kern w:val="21"/>
                <w:szCs w:val="21"/>
                <w:highlight w:val="none"/>
                <w:lang w:val="en-US" w:eastAsia="zh-CN"/>
              </w:rPr>
            </w:pPr>
            <w:r>
              <w:rPr>
                <w:rFonts w:hint="eastAsia" w:hAnsi="宋体" w:cs="宋体"/>
                <w:snapToGrid w:val="0"/>
                <w:color w:val="0000FF"/>
                <w:kern w:val="21"/>
                <w:szCs w:val="21"/>
                <w:highlight w:val="none"/>
                <w:lang w:val="en-US" w:eastAsia="zh-CN"/>
              </w:rPr>
              <w:t>28.4</w:t>
            </w:r>
            <w:r>
              <w:rPr>
                <w:color w:val="0000FF"/>
                <w:highlight w:val="none"/>
              </w:rPr>
              <w:t>t/a</w:t>
            </w:r>
          </w:p>
        </w:tc>
        <w:tc>
          <w:tcPr>
            <w:tcW w:w="1761" w:type="dxa"/>
            <w:vAlign w:val="center"/>
          </w:tcPr>
          <w:p>
            <w:pPr>
              <w:wordWrap w:val="0"/>
              <w:jc w:val="center"/>
              <w:rPr>
                <w:rFonts w:hint="eastAsia" w:hAnsi="宋体" w:cs="宋体"/>
                <w:snapToGrid w:val="0"/>
                <w:color w:val="0000FF"/>
                <w:kern w:val="21"/>
                <w:szCs w:val="21"/>
                <w:highlight w:val="none"/>
              </w:rPr>
            </w:pPr>
            <w:r>
              <w:rPr>
                <w:rFonts w:hint="eastAsia"/>
                <w:color w:val="0000FF"/>
                <w:highlight w:val="none"/>
              </w:rPr>
              <w:t>/</w:t>
            </w:r>
          </w:p>
        </w:tc>
        <w:tc>
          <w:tcPr>
            <w:tcW w:w="1742" w:type="dxa"/>
            <w:vAlign w:val="center"/>
          </w:tcPr>
          <w:p>
            <w:pPr>
              <w:jc w:val="center"/>
              <w:rPr>
                <w:rFonts w:hint="eastAsia"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28.4</w:t>
            </w:r>
            <w:r>
              <w:rPr>
                <w:color w:val="0000FF"/>
                <w:highlight w:val="none"/>
              </w:rPr>
              <w:t>t/a</w:t>
            </w:r>
          </w:p>
        </w:tc>
        <w:tc>
          <w:tcPr>
            <w:tcW w:w="1293" w:type="dxa"/>
            <w:vAlign w:val="center"/>
          </w:tcPr>
          <w:p>
            <w:pPr>
              <w:jc w:val="center"/>
              <w:rPr>
                <w:rFonts w:hint="eastAsia"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+28.4</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rFonts w:hint="default" w:eastAsia="宋体"/>
                <w:szCs w:val="21"/>
                <w:highlight w:val="none"/>
                <w:lang w:val="en-US" w:eastAsia="zh-CN"/>
              </w:rPr>
            </w:pPr>
            <w:r>
              <w:rPr>
                <w:rFonts w:hint="eastAsia"/>
                <w:szCs w:val="21"/>
                <w:highlight w:val="none"/>
                <w:lang w:val="en-US" w:eastAsia="zh-CN"/>
              </w:rPr>
              <w:t>废离子交换树脂</w:t>
            </w:r>
          </w:p>
        </w:tc>
        <w:tc>
          <w:tcPr>
            <w:tcW w:w="1575" w:type="dxa"/>
            <w:vAlign w:val="center"/>
          </w:tcPr>
          <w:p>
            <w:pPr>
              <w:jc w:val="center"/>
              <w:rPr>
                <w:rFonts w:hint="eastAsia"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int="eastAsia"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int="eastAsia"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int="default" w:hAnsi="宋体" w:eastAsia="宋体" w:cs="宋体"/>
                <w:snapToGrid w:val="0"/>
                <w:color w:val="0000FF"/>
                <w:kern w:val="21"/>
                <w:szCs w:val="21"/>
                <w:highlight w:val="none"/>
                <w:lang w:val="en-US" w:eastAsia="zh-CN"/>
              </w:rPr>
            </w:pPr>
            <w:r>
              <w:rPr>
                <w:rFonts w:hint="eastAsia" w:hAnsi="宋体" w:cs="宋体"/>
                <w:snapToGrid w:val="0"/>
                <w:color w:val="0000FF"/>
                <w:kern w:val="21"/>
                <w:szCs w:val="21"/>
                <w:highlight w:val="none"/>
                <w:lang w:val="en-US" w:eastAsia="zh-CN"/>
              </w:rPr>
              <w:t>0.3</w:t>
            </w:r>
            <w:r>
              <w:rPr>
                <w:color w:val="0000FF"/>
                <w:highlight w:val="none"/>
              </w:rPr>
              <w:t>t/a</w:t>
            </w:r>
          </w:p>
        </w:tc>
        <w:tc>
          <w:tcPr>
            <w:tcW w:w="1761" w:type="dxa"/>
            <w:vAlign w:val="center"/>
          </w:tcPr>
          <w:p>
            <w:pPr>
              <w:wordWrap w:val="0"/>
              <w:jc w:val="center"/>
              <w:rPr>
                <w:rFonts w:hint="eastAsia" w:hAnsi="宋体" w:cs="宋体"/>
                <w:snapToGrid w:val="0"/>
                <w:color w:val="0000FF"/>
                <w:kern w:val="21"/>
                <w:szCs w:val="21"/>
                <w:highlight w:val="none"/>
              </w:rPr>
            </w:pPr>
            <w:r>
              <w:rPr>
                <w:rFonts w:hint="eastAsia"/>
                <w:color w:val="0000FF"/>
                <w:highlight w:val="none"/>
              </w:rPr>
              <w:t>/</w:t>
            </w:r>
          </w:p>
        </w:tc>
        <w:tc>
          <w:tcPr>
            <w:tcW w:w="1742" w:type="dxa"/>
            <w:vAlign w:val="center"/>
          </w:tcPr>
          <w:p>
            <w:pPr>
              <w:jc w:val="center"/>
              <w:rPr>
                <w:rFonts w:hint="eastAsia"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0.3</w:t>
            </w:r>
            <w:r>
              <w:rPr>
                <w:color w:val="0000FF"/>
                <w:highlight w:val="none"/>
              </w:rPr>
              <w:t>t/a</w:t>
            </w:r>
          </w:p>
        </w:tc>
        <w:tc>
          <w:tcPr>
            <w:tcW w:w="1293" w:type="dxa"/>
            <w:vAlign w:val="center"/>
          </w:tcPr>
          <w:p>
            <w:pPr>
              <w:jc w:val="center"/>
              <w:rPr>
                <w:rFonts w:hint="eastAsia"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+0.3</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58"/>
              <w:ind w:left="420" w:hanging="420" w:hangingChars="200"/>
              <w:jc w:val="center"/>
              <w:rPr>
                <w:bCs/>
                <w:snapToGrid w:val="0"/>
                <w:kern w:val="21"/>
                <w:sz w:val="21"/>
                <w:highlight w:val="none"/>
              </w:rPr>
            </w:pPr>
            <w:r>
              <w:rPr>
                <w:rFonts w:hint="eastAsia" w:hAnsi="宋体" w:cs="宋体"/>
                <w:snapToGrid w:val="0"/>
                <w:kern w:val="21"/>
                <w:sz w:val="21"/>
                <w:highlight w:val="none"/>
              </w:rPr>
              <w:t>危险废物</w:t>
            </w:r>
          </w:p>
        </w:tc>
        <w:tc>
          <w:tcPr>
            <w:tcW w:w="2097" w:type="dxa"/>
            <w:vAlign w:val="center"/>
          </w:tcPr>
          <w:p>
            <w:pPr>
              <w:wordWrap w:val="0"/>
              <w:jc w:val="center"/>
              <w:rPr>
                <w:highlight w:val="none"/>
              </w:rPr>
            </w:pPr>
            <w:r>
              <w:rPr>
                <w:rFonts w:hint="eastAsia"/>
                <w:szCs w:val="21"/>
                <w:highlight w:val="none"/>
              </w:rPr>
              <w:t>废酸碱包装桶</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0.5</w:t>
            </w:r>
            <w:r>
              <w:rPr>
                <w:color w:val="0000FF"/>
                <w:highlight w:val="none"/>
              </w:rPr>
              <w:t>t/a</w:t>
            </w:r>
          </w:p>
        </w:tc>
        <w:tc>
          <w:tcPr>
            <w:tcW w:w="1761"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0.5</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w:t>
            </w:r>
            <w:r>
              <w:rPr>
                <w:rFonts w:hint="eastAsia" w:hAnsi="宋体" w:cs="宋体"/>
                <w:snapToGrid w:val="0"/>
                <w:color w:val="0000FF"/>
                <w:kern w:val="21"/>
                <w:szCs w:val="21"/>
                <w:highlight w:val="none"/>
              </w:rPr>
              <w:t>0.5</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wordWrap w:val="0"/>
              <w:jc w:val="center"/>
              <w:rPr>
                <w:rFonts w:hint="default" w:eastAsia="宋体"/>
                <w:highlight w:val="none"/>
                <w:lang w:val="en-US" w:eastAsia="zh-CN"/>
              </w:rPr>
            </w:pPr>
            <w:r>
              <w:rPr>
                <w:rFonts w:hint="eastAsia"/>
                <w:highlight w:val="none"/>
                <w:lang w:val="en-US" w:eastAsia="zh-CN"/>
              </w:rPr>
              <w:t>检验固废</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1.0</w:t>
            </w:r>
            <w:r>
              <w:rPr>
                <w:color w:val="0000FF"/>
                <w:highlight w:val="none"/>
              </w:rPr>
              <w:t>t/a</w:t>
            </w:r>
          </w:p>
        </w:tc>
        <w:tc>
          <w:tcPr>
            <w:tcW w:w="1761"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1.0</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w:t>
            </w:r>
            <w:r>
              <w:rPr>
                <w:rFonts w:hint="eastAsia" w:hAnsi="宋体" w:cs="宋体"/>
                <w:snapToGrid w:val="0"/>
                <w:color w:val="0000FF"/>
                <w:kern w:val="21"/>
                <w:szCs w:val="21"/>
                <w:highlight w:val="none"/>
              </w:rPr>
              <w:t>1.0</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jc w:val="center"/>
              <w:rPr>
                <w:highlight w:val="none"/>
              </w:rPr>
            </w:pPr>
            <w:r>
              <w:rPr>
                <w:rFonts w:hint="eastAsia"/>
                <w:highlight w:val="none"/>
              </w:rPr>
              <w:t>含油沾染废物</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0.2</w:t>
            </w:r>
            <w:r>
              <w:rPr>
                <w:color w:val="0000FF"/>
                <w:highlight w:val="none"/>
              </w:rPr>
              <w:t>t/a</w:t>
            </w:r>
          </w:p>
        </w:tc>
        <w:tc>
          <w:tcPr>
            <w:tcW w:w="1761"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0.2</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w:t>
            </w:r>
            <w:r>
              <w:rPr>
                <w:rFonts w:hint="eastAsia" w:hAnsi="宋体" w:cs="宋体"/>
                <w:snapToGrid w:val="0"/>
                <w:color w:val="0000FF"/>
                <w:kern w:val="21"/>
                <w:szCs w:val="21"/>
                <w:highlight w:val="none"/>
              </w:rPr>
              <w:t>0.2</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58"/>
              <w:ind w:left="420" w:hanging="420" w:hangingChars="200"/>
              <w:jc w:val="center"/>
              <w:rPr>
                <w:bCs/>
                <w:snapToGrid w:val="0"/>
                <w:kern w:val="21"/>
                <w:sz w:val="21"/>
                <w:highlight w:val="none"/>
              </w:rPr>
            </w:pPr>
          </w:p>
        </w:tc>
        <w:tc>
          <w:tcPr>
            <w:tcW w:w="2097" w:type="dxa"/>
            <w:vAlign w:val="center"/>
          </w:tcPr>
          <w:p>
            <w:pPr>
              <w:jc w:val="center"/>
              <w:rPr>
                <w:highlight w:val="none"/>
              </w:rPr>
            </w:pPr>
            <w:r>
              <w:rPr>
                <w:rFonts w:hint="eastAsia"/>
                <w:highlight w:val="none"/>
              </w:rPr>
              <w:t>废机油</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0.1</w:t>
            </w:r>
            <w:r>
              <w:rPr>
                <w:color w:val="0000FF"/>
                <w:highlight w:val="none"/>
              </w:rPr>
              <w:t>t/a</w:t>
            </w:r>
          </w:p>
        </w:tc>
        <w:tc>
          <w:tcPr>
            <w:tcW w:w="1761"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0.1</w:t>
            </w:r>
            <w:r>
              <w:rPr>
                <w:color w:val="0000FF"/>
                <w:highlight w:val="none"/>
              </w:rPr>
              <w:t>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w:t>
            </w:r>
            <w:r>
              <w:rPr>
                <w:rFonts w:hint="eastAsia" w:hAnsi="宋体" w:cs="宋体"/>
                <w:snapToGrid w:val="0"/>
                <w:color w:val="0000FF"/>
                <w:kern w:val="21"/>
                <w:szCs w:val="21"/>
                <w:highlight w:val="none"/>
              </w:rPr>
              <w:t>0.1</w:t>
            </w:r>
            <w:r>
              <w:rPr>
                <w:color w:val="0000FF"/>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Align w:val="center"/>
          </w:tcPr>
          <w:p>
            <w:pPr>
              <w:pStyle w:val="58"/>
              <w:ind w:left="420" w:hanging="420" w:hangingChars="200"/>
              <w:jc w:val="center"/>
              <w:rPr>
                <w:bCs/>
                <w:snapToGrid w:val="0"/>
                <w:kern w:val="21"/>
                <w:sz w:val="21"/>
                <w:highlight w:val="none"/>
              </w:rPr>
            </w:pPr>
            <w:r>
              <w:rPr>
                <w:rFonts w:hint="eastAsia" w:hAnsi="宋体" w:cs="宋体"/>
                <w:snapToGrid w:val="0"/>
                <w:kern w:val="21"/>
                <w:sz w:val="21"/>
                <w:highlight w:val="none"/>
              </w:rPr>
              <w:t>其他废物</w:t>
            </w:r>
          </w:p>
        </w:tc>
        <w:tc>
          <w:tcPr>
            <w:tcW w:w="2097" w:type="dxa"/>
            <w:vAlign w:val="center"/>
          </w:tcPr>
          <w:p>
            <w:pPr>
              <w:pStyle w:val="58"/>
              <w:jc w:val="center"/>
              <w:rPr>
                <w:sz w:val="21"/>
                <w:highlight w:val="none"/>
              </w:rPr>
            </w:pPr>
            <w:r>
              <w:rPr>
                <w:rFonts w:hint="eastAsia"/>
                <w:sz w:val="21"/>
                <w:highlight w:val="none"/>
              </w:rPr>
              <w:t>生活垃圾</w:t>
            </w:r>
          </w:p>
        </w:tc>
        <w:tc>
          <w:tcPr>
            <w:tcW w:w="1575"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260"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612" w:type="dxa"/>
            <w:vAlign w:val="center"/>
          </w:tcPr>
          <w:p>
            <w:pPr>
              <w:jc w:val="center"/>
              <w:rPr>
                <w:rFonts w:hAnsi="宋体" w:cs="宋体"/>
                <w:snapToGrid w:val="0"/>
                <w:kern w:val="21"/>
                <w:szCs w:val="21"/>
                <w:highlight w:val="none"/>
              </w:rPr>
            </w:pPr>
            <w:r>
              <w:rPr>
                <w:rFonts w:hint="eastAsia" w:hAnsi="宋体" w:cs="宋体"/>
                <w:snapToGrid w:val="0"/>
                <w:kern w:val="21"/>
                <w:szCs w:val="21"/>
                <w:highlight w:val="none"/>
              </w:rPr>
              <w:t>/</w:t>
            </w:r>
          </w:p>
        </w:tc>
        <w:tc>
          <w:tcPr>
            <w:tcW w:w="1559"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6t/a</w:t>
            </w:r>
          </w:p>
        </w:tc>
        <w:tc>
          <w:tcPr>
            <w:tcW w:w="1761"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w:t>
            </w:r>
          </w:p>
        </w:tc>
        <w:tc>
          <w:tcPr>
            <w:tcW w:w="1742"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rPr>
              <w:t>6t/a</w:t>
            </w:r>
          </w:p>
        </w:tc>
        <w:tc>
          <w:tcPr>
            <w:tcW w:w="1293" w:type="dxa"/>
            <w:vAlign w:val="center"/>
          </w:tcPr>
          <w:p>
            <w:pPr>
              <w:jc w:val="center"/>
              <w:rPr>
                <w:rFonts w:hAnsi="宋体" w:cs="宋体"/>
                <w:snapToGrid w:val="0"/>
                <w:color w:val="0000FF"/>
                <w:kern w:val="21"/>
                <w:szCs w:val="21"/>
                <w:highlight w:val="none"/>
              </w:rPr>
            </w:pPr>
            <w:r>
              <w:rPr>
                <w:rFonts w:hint="eastAsia" w:hAnsi="宋体" w:cs="宋体"/>
                <w:snapToGrid w:val="0"/>
                <w:color w:val="0000FF"/>
                <w:kern w:val="21"/>
                <w:szCs w:val="21"/>
                <w:highlight w:val="none"/>
                <w:lang w:val="en-US" w:eastAsia="zh-CN"/>
              </w:rPr>
              <w:t>+</w:t>
            </w:r>
            <w:r>
              <w:rPr>
                <w:rFonts w:hint="eastAsia" w:hAnsi="宋体" w:cs="宋体"/>
                <w:snapToGrid w:val="0"/>
                <w:color w:val="0000FF"/>
                <w:kern w:val="21"/>
                <w:szCs w:val="21"/>
                <w:highlight w:val="none"/>
              </w:rPr>
              <w:t>6t/a</w:t>
            </w:r>
          </w:p>
        </w:tc>
      </w:tr>
    </w:tbl>
    <w:p>
      <w:pPr>
        <w:pStyle w:val="58"/>
        <w:spacing w:before="249" w:beforeLines="80" w:after="31" w:afterLines="10" w:line="260" w:lineRule="auto"/>
        <w:ind w:left="38" w:leftChars="18"/>
        <w:jc w:val="left"/>
        <w:rPr>
          <w:highlight w:val="none"/>
        </w:rPr>
      </w:pPr>
      <w:r>
        <w:rPr>
          <w:rFonts w:hint="eastAsia" w:ascii="宋体" w:hAnsi="宋体" w:cs="宋体"/>
          <w:bCs/>
          <w:snapToGrid w:val="0"/>
          <w:kern w:val="21"/>
          <w:highlight w:val="none"/>
        </w:rPr>
        <w:t>注：</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6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⑥</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1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①</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3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③</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4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④</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5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⑤</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7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⑦</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6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⑥</w:t>
      </w:r>
      <w:r>
        <w:rPr>
          <w:rFonts w:hint="eastAsia" w:ascii="宋体" w:hAnsi="宋体" w:cs="宋体"/>
          <w:bCs/>
          <w:snapToGrid w:val="0"/>
          <w:kern w:val="21"/>
          <w:highlight w:val="none"/>
        </w:rPr>
        <w:fldChar w:fldCharType="end"/>
      </w:r>
      <w:r>
        <w:rPr>
          <w:rFonts w:hint="eastAsia" w:ascii="宋体" w:hAnsi="宋体" w:cs="宋体"/>
          <w:bCs/>
          <w:snapToGrid w:val="0"/>
          <w:kern w:val="21"/>
          <w:highlight w:val="none"/>
        </w:rPr>
        <w:t>-</w:t>
      </w:r>
      <w:r>
        <w:rPr>
          <w:rFonts w:hint="eastAsia" w:ascii="宋体" w:hAnsi="宋体" w:cs="宋体"/>
          <w:bCs/>
          <w:snapToGrid w:val="0"/>
          <w:kern w:val="21"/>
          <w:highlight w:val="none"/>
        </w:rPr>
        <w:fldChar w:fldCharType="begin"/>
      </w:r>
      <w:r>
        <w:rPr>
          <w:rFonts w:hint="eastAsia" w:ascii="宋体" w:hAnsi="宋体" w:cs="宋体"/>
          <w:bCs/>
          <w:snapToGrid w:val="0"/>
          <w:kern w:val="21"/>
          <w:highlight w:val="none"/>
        </w:rPr>
        <w:instrText xml:space="preserve"> = 1 \* GB3 \* MERGEFORMAT </w:instrText>
      </w:r>
      <w:r>
        <w:rPr>
          <w:rFonts w:hint="eastAsia" w:ascii="宋体" w:hAnsi="宋体" w:cs="宋体"/>
          <w:bCs/>
          <w:snapToGrid w:val="0"/>
          <w:kern w:val="21"/>
          <w:highlight w:val="none"/>
        </w:rPr>
        <w:fldChar w:fldCharType="separate"/>
      </w:r>
      <w:r>
        <w:rPr>
          <w:rFonts w:hint="eastAsia" w:ascii="宋体" w:hAnsi="宋体" w:cs="宋体"/>
          <w:bCs/>
          <w:snapToGrid w:val="0"/>
          <w:kern w:val="21"/>
          <w:highlight w:val="none"/>
        </w:rPr>
        <w:t>①</w:t>
      </w:r>
      <w:r>
        <w:rPr>
          <w:rFonts w:hint="eastAsia" w:ascii="宋体" w:hAnsi="宋体" w:cs="宋体"/>
          <w:bCs/>
          <w:snapToGrid w:val="0"/>
          <w:kern w:val="21"/>
          <w:highlight w:val="none"/>
        </w:rPr>
        <w:fldChar w:fldCharType="end"/>
      </w:r>
    </w:p>
    <w:sectPr>
      <w:footerReference r:id="rId7" w:type="default"/>
      <w:pgSz w:w="16838" w:h="11906" w:orient="landscape"/>
      <w:pgMar w:top="1531" w:right="1440" w:bottom="1531"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Helv">
    <w:altName w:val="Liberation Sans"/>
    <w:panose1 w:val="020B060402020203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Impact">
    <w:altName w:val="Noto Sans Khmer"/>
    <w:panose1 w:val="020B0806030902050204"/>
    <w:charset w:val="00"/>
    <w:family w:val="swiss"/>
    <w:pitch w:val="default"/>
    <w:sig w:usb0="00000000" w:usb1="00000000" w:usb2="00000000" w:usb3="00000000" w:csb0="2000009F" w:csb1="DFD70000"/>
  </w:font>
  <w:font w:name="Noto Sans Khmer">
    <w:panose1 w:val="020B0606030804020204"/>
    <w:charset w:val="00"/>
    <w:family w:val="auto"/>
    <w:pitch w:val="default"/>
    <w:sig w:usb0="00000000" w:usb1="00000000" w:usb2="00010000" w:usb3="00000000" w:csb0="20000111" w:csb1="41000000"/>
  </w:font>
  <w:font w:name="华康简宋">
    <w:altName w:val="方正书宋_GBK"/>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00002000" w:usb1="80000000" w:usb2="00000008" w:usb3="00000000" w:csb0="00000041" w:csb1="0008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Malgun Gothic">
    <w:panose1 w:val="020B0503020000020004"/>
    <w:charset w:val="81"/>
    <w:family w:val="auto"/>
    <w:pitch w:val="default"/>
    <w:sig w:usb0="900002AF" w:usb1="01D77CFB" w:usb2="00000012" w:usb3="00000000" w:csb0="00080001"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3"/>
      </w:rPr>
    </w:pPr>
    <w:r>
      <w:fldChar w:fldCharType="begin"/>
    </w:r>
    <w:r>
      <w:rPr>
        <w:rStyle w:val="43"/>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-10795</wp:posOffset>
              </wp:positionV>
              <wp:extent cx="156210" cy="142240"/>
              <wp:effectExtent l="0" t="0" r="0" b="0"/>
              <wp:wrapNone/>
              <wp:docPr id="2" name="文本框 3"/>
              <wp:cNvGraphicFramePr/>
              <a:graphic xmlns:a="http://schemas.openxmlformats.org/drawingml/2006/main">
                <a:graphicData uri="http://schemas.microsoft.com/office/word/2010/wordprocessingShape">
                  <wps:wsp>
                    <wps:cNvSpPr/>
                    <wps:spPr>
                      <a:xfrm>
                        <a:off x="0" y="0"/>
                        <a:ext cx="156210" cy="142240"/>
                      </a:xfrm>
                      <a:prstGeom prst="rect">
                        <a:avLst/>
                      </a:prstGeom>
                      <a:ln>
                        <a:noFill/>
                      </a:ln>
                    </wps:spPr>
                    <wps:txbx>
                      <w:txbxContent>
                        <w:p>
                          <w:pPr>
                            <w:pStyle w:val="31"/>
                          </w:pPr>
                          <w:r>
                            <w:fldChar w:fldCharType="begin"/>
                          </w:r>
                          <w:r>
                            <w:instrText xml:space="preserve"> PAGE  \* MERGEFORMAT </w:instrText>
                          </w:r>
                          <w:r>
                            <w:fldChar w:fldCharType="separate"/>
                          </w:r>
                          <w:r>
                            <w:t>13</w:t>
                          </w:r>
                          <w:r>
                            <w:fldChar w:fldCharType="end"/>
                          </w:r>
                        </w:p>
                      </w:txbxContent>
                    </wps:txbx>
                    <wps:bodyPr vert="horz" wrap="square" lIns="0" tIns="0" rIns="0" bIns="0" anchor="t">
                      <a:noAutofit/>
                    </wps:bodyPr>
                  </wps:wsp>
                </a:graphicData>
              </a:graphic>
            </wp:anchor>
          </w:drawing>
        </mc:Choice>
        <mc:Fallback>
          <w:pict>
            <v:rect id="文本框 3" o:spid="_x0000_s1026" o:spt="1" style="position:absolute;left:0pt;margin-top:-0.85pt;height:11.2pt;width:12.3pt;mso-position-horizontal:center;mso-position-horizontal-relative:margin;z-index:251659264;mso-width-relative:page;mso-height-relative:page;" filled="f" stroked="f" coordsize="21600,21600" o:gfxdata="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">
              <v:fill on="f" focussize="0,0"/>
              <v:stroke on="f"/>
              <v:imagedata o:title=""/>
              <o:lock v:ext="edit" aspectratio="f"/>
              <v:textbox inset="0mm,0mm,0mm,0mm">
                <w:txbxContent>
                  <w:p>
                    <w:pPr>
                      <w:pStyle w:val="31"/>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-10795</wp:posOffset>
              </wp:positionV>
              <wp:extent cx="165735" cy="142240"/>
              <wp:effectExtent l="0" t="0" r="0" b="0"/>
              <wp:wrapNone/>
              <wp:docPr id="4097" name="文本框 3"/>
              <wp:cNvGraphicFramePr/>
              <a:graphic xmlns:a="http://schemas.openxmlformats.org/drawingml/2006/main">
                <a:graphicData uri="http://schemas.microsoft.com/office/word/2010/wordprocessingShape">
                  <wps:wsp>
                    <wps:cNvSpPr/>
                    <wps:spPr>
                      <a:xfrm>
                        <a:off x="0" y="0"/>
                        <a:ext cx="165735" cy="142240"/>
                      </a:xfrm>
                      <a:prstGeom prst="rect">
                        <a:avLst/>
                      </a:prstGeom>
                      <a:ln>
                        <a:noFill/>
                      </a:ln>
                    </wps:spPr>
                    <wps:txbx>
                      <w:txbxContent>
                        <w:p>
                          <w:pPr>
                            <w:pStyle w:val="31"/>
                            <w:jc w:val="center"/>
                          </w:pPr>
                          <w:r>
                            <w:fldChar w:fldCharType="begin"/>
                          </w:r>
                          <w:r>
                            <w:instrText xml:space="preserve"> PAGE  \* MERGEFORMAT </w:instrText>
                          </w:r>
                          <w:r>
                            <w:fldChar w:fldCharType="separate"/>
                          </w:r>
                          <w:r>
                            <w:t>34</w:t>
                          </w:r>
                          <w:r>
                            <w:fldChar w:fldCharType="end"/>
                          </w:r>
                        </w:p>
                      </w:txbxContent>
                    </wps:txbx>
                    <wps:bodyPr vert="horz" wrap="square" lIns="0" tIns="0" rIns="0" bIns="0" anchor="t">
                      <a:noAutofit/>
                    </wps:bodyPr>
                  </wps:wsp>
                </a:graphicData>
              </a:graphic>
            </wp:anchor>
          </w:drawing>
        </mc:Choice>
        <mc:Fallback>
          <w:pict>
            <v:rect id="文本框 3" o:spid="_x0000_s1026" o:spt="1" style="position:absolute;left:0pt;margin-top:-0.85pt;height:11.2pt;width:13.05pt;mso-position-horizontal:center;mso-position-horizontal-relative:margin;z-index:251660288;mso-width-relative:page;mso-height-relative:page;" filled="f" stroked="f" coordsize="21600,21600" o:gfxdata="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">
              <v:fill on="f" focussize="0,0"/>
              <v:stroke on="f"/>
              <v:imagedata o:title=""/>
              <o:lock v:ext="edit" aspectratio="f"/>
              <v:textbox inset="0mm,0mm,0mm,0mm">
                <w:txbxContent>
                  <w:p>
                    <w:pPr>
                      <w:pStyle w:val="31"/>
                      <w:jc w:val="center"/>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-10795</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1"/>
                          </w:pPr>
                          <w:r>
                            <w:fldChar w:fldCharType="begin"/>
                          </w:r>
                          <w:r>
                            <w:instrText xml:space="preserve"> PAGE  \* MERGEFORMAT </w:instrText>
                          </w:r>
                          <w:r>
                            <w:fldChar w:fldCharType="separate"/>
                          </w:r>
                          <w:r>
                            <w:t>81</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85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81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5DFBC"/>
    <w:multiLevelType w:val="singleLevel"/>
    <w:tmpl w:val="9665DFBC"/>
    <w:lvl w:ilvl="0" w:tentative="0">
      <w:start w:val="1"/>
      <w:numFmt w:val="decimal"/>
      <w:suff w:val="nothing"/>
      <w:lvlText w:val="%1）"/>
      <w:lvlJc w:val="left"/>
    </w:lvl>
  </w:abstractNum>
  <w:abstractNum w:abstractNumId="1">
    <w:nsid w:val="980DCA98"/>
    <w:multiLevelType w:val="singleLevel"/>
    <w:tmpl w:val="980DCA98"/>
    <w:lvl w:ilvl="0" w:tentative="0">
      <w:start w:val="7"/>
      <w:numFmt w:val="decimal"/>
      <w:suff w:val="nothing"/>
      <w:lvlText w:val="%1、"/>
      <w:lvlJc w:val="left"/>
    </w:lvl>
  </w:abstractNum>
  <w:abstractNum w:abstractNumId="2">
    <w:nsid w:val="B0B030BE"/>
    <w:multiLevelType w:val="singleLevel"/>
    <w:tmpl w:val="B0B030BE"/>
    <w:lvl w:ilvl="0" w:tentative="0">
      <w:start w:val="12"/>
      <w:numFmt w:val="decimal"/>
      <w:suff w:val="nothing"/>
      <w:lvlText w:val="%1）"/>
      <w:lvlJc w:val="left"/>
    </w:lvl>
  </w:abstractNum>
  <w:abstractNum w:abstractNumId="3">
    <w:nsid w:val="B0C13B8E"/>
    <w:multiLevelType w:val="singleLevel"/>
    <w:tmpl w:val="B0C13B8E"/>
    <w:lvl w:ilvl="0" w:tentative="0">
      <w:start w:val="3"/>
      <w:numFmt w:val="decimal"/>
      <w:suff w:val="nothing"/>
      <w:lvlText w:val="（%1）"/>
      <w:lvlJc w:val="left"/>
    </w:lvl>
  </w:abstractNum>
  <w:abstractNum w:abstractNumId="4">
    <w:nsid w:val="C3C47125"/>
    <w:multiLevelType w:val="multilevel"/>
    <w:tmpl w:val="C3C47125"/>
    <w:lvl w:ilvl="0" w:tentative="0">
      <w:start w:val="1"/>
      <w:numFmt w:val="chineseCounting"/>
      <w:suff w:val="space"/>
      <w:lvlText w:val="%1、"/>
      <w:lvlJc w:val="left"/>
      <w:pPr>
        <w:tabs>
          <w:tab w:val="left" w:pos="6945"/>
        </w:tabs>
        <w:ind w:left="6945" w:firstLine="0"/>
      </w:pPr>
      <w:rPr>
        <w:rFonts w:hint="eastAsia" w:ascii="Times New Roman" w:hAnsi="Times New Roman" w:eastAsia="宋体" w:cs="宋体"/>
        <w:b/>
        <w:bCs w:val="0"/>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tabs>
          <w:tab w:val="left" w:pos="420"/>
        </w:tabs>
        <w:ind w:left="567" w:hanging="567"/>
      </w:pPr>
      <w:rPr>
        <w:rFonts w:hint="eastAsia" w:ascii="宋体" w:hAnsi="宋体" w:eastAsia="宋体" w:cs="宋体"/>
        <w:i w:val="0"/>
        <w:iCs w:val="0"/>
        <w:caps w:val="0"/>
        <w:smallCaps w:val="0"/>
        <w:strike w:val="0"/>
        <w:dstrike w:val="0"/>
        <w:vanish w:val="0"/>
        <w:color w:val="000000"/>
        <w:spacing w:val="0"/>
        <w:position w:val="0"/>
        <w:u w:val="none"/>
        <w:vertAlign w:val="baseline"/>
      </w:rPr>
    </w:lvl>
    <w:lvl w:ilvl="2" w:tentative="0">
      <w:start w:val="1"/>
      <w:numFmt w:val="decimal"/>
      <w:isLgl/>
      <w:suff w:val="space"/>
      <w:lvlText w:val="%1.%2.%3"/>
      <w:lvlJc w:val="left"/>
      <w:pPr>
        <w:ind w:left="567" w:hanging="567"/>
      </w:pPr>
      <w:rPr>
        <w:rFonts w:hint="eastAsia" w:ascii="宋体" w:hAnsi="宋体" w:eastAsia="宋体" w:cs="宋体"/>
      </w:rPr>
    </w:lvl>
    <w:lvl w:ilvl="3" w:tentative="0">
      <w:start w:val="1"/>
      <w:numFmt w:val="decimal"/>
      <w:isLgl/>
      <w:suff w:val="space"/>
      <w:lvlText w:val="%1.%2.%3.%4"/>
      <w:lvlJc w:val="left"/>
      <w:pPr>
        <w:ind w:left="567" w:hanging="567"/>
      </w:pPr>
      <w:rPr>
        <w:rFonts w:hint="eastAsia" w:ascii="宋体" w:hAnsi="宋体" w:eastAsia="宋体" w:cs="宋体"/>
        <w:b/>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pPr>
        <w:ind w:left="1134" w:hanging="567"/>
      </w:pPr>
      <w:rPr>
        <w:rFonts w:hint="eastAsia" w:ascii="宋体" w:hAnsi="宋体" w:eastAsia="宋体" w:cs="宋体"/>
      </w:rPr>
    </w:lvl>
    <w:lvl w:ilvl="5" w:tentative="0">
      <w:start w:val="1"/>
      <w:numFmt w:val="decimal"/>
      <w:lvlRestart w:val="1"/>
      <w:pStyle w:val="101"/>
      <w:isLgl/>
      <w:suff w:val="space"/>
      <w:lvlText w:val="表%1-%6"/>
      <w:lvlJc w:val="center"/>
      <w:pPr>
        <w:tabs>
          <w:tab w:val="left" w:pos="0"/>
        </w:tabs>
        <w:ind w:left="0" w:firstLine="0"/>
      </w:pPr>
      <w:rPr>
        <w:rFonts w:hint="default" w:ascii="宋体" w:hAnsi="宋体" w:eastAsia="宋体" w:cs="宋体"/>
        <w:b/>
        <w:bCs w:val="0"/>
        <w:i w:val="0"/>
        <w:iCs w:val="0"/>
        <w:caps w:val="0"/>
        <w:smallCaps w:val="0"/>
        <w:strike w:val="0"/>
        <w:dstrike w:val="0"/>
        <w:vanish w:val="0"/>
        <w:color w:val="000000"/>
        <w:spacing w:val="0"/>
        <w:position w:val="0"/>
        <w:sz w:val="21"/>
        <w:szCs w:val="21"/>
        <w:u w:val="none"/>
        <w:vertAlign w:val="baseline"/>
      </w:rPr>
    </w:lvl>
    <w:lvl w:ilvl="6" w:tentative="0">
      <w:start w:val="1"/>
      <w:numFmt w:val="decimal"/>
      <w:lvlRestart w:val="1"/>
      <w:isLgl/>
      <w:suff w:val="space"/>
      <w:lvlText w:val="图%1.%2-%7"/>
      <w:lvlJc w:val="center"/>
      <w:pPr>
        <w:ind w:left="0" w:firstLine="0"/>
      </w:pPr>
      <w:rPr>
        <w:rFonts w:hint="eastAsia" w:ascii="宋体" w:hAnsi="宋体" w:eastAsia="宋体" w:cs="宋体"/>
        <w:b/>
        <w:bCs w:val="0"/>
        <w:i w:val="0"/>
        <w:iCs w:val="0"/>
        <w:caps w:val="0"/>
        <w:smallCaps w:val="0"/>
        <w:strike w:val="0"/>
        <w:dstrike w:val="0"/>
        <w:vanish w:val="0"/>
        <w:color w:val="000000"/>
        <w:spacing w:val="0"/>
        <w:position w:val="0"/>
        <w:u w:val="none"/>
        <w:vertAlign w:val="baseline"/>
      </w:rPr>
    </w:lvl>
    <w:lvl w:ilvl="7" w:tentative="0">
      <w:start w:val="1"/>
      <w:numFmt w:val="none"/>
      <w:lvlRestart w:val="2"/>
      <w:isLgl/>
      <w:suff w:val="nothing"/>
      <w:lvlText w:val=""/>
      <w:lvlJc w:val="left"/>
      <w:pPr>
        <w:ind w:left="283" w:firstLine="0"/>
      </w:pPr>
      <w:rPr>
        <w:rFonts w:hint="eastAsia" w:cs="仿宋_GB2312"/>
        <w:b w:val="0"/>
        <w:bCs w:val="0"/>
        <w:i w:val="0"/>
        <w:iCs w:val="0"/>
        <w:caps w:val="0"/>
        <w:smallCaps w:val="0"/>
        <w:strike w:val="0"/>
        <w:dstrike w:val="0"/>
        <w:vanish w:val="0"/>
        <w:color w:val="000000"/>
        <w:spacing w:val="0"/>
        <w:position w:val="0"/>
        <w:u w:val="none"/>
        <w:vertAlign w:val="baseline"/>
      </w:rPr>
    </w:lvl>
    <w:lvl w:ilvl="8" w:tentative="0">
      <w:start w:val="1"/>
      <w:numFmt w:val="none"/>
      <w:isLgl/>
      <w:lvlText w:val=""/>
      <w:lvlJc w:val="left"/>
      <w:pPr>
        <w:ind w:left="1559" w:hanging="1559"/>
      </w:pPr>
      <w:rPr>
        <w:rFonts w:hint="eastAsia"/>
      </w:rPr>
    </w:lvl>
  </w:abstractNum>
  <w:abstractNum w:abstractNumId="5">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pStyle w:val="1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53B61920"/>
    <w:multiLevelType w:val="singleLevel"/>
    <w:tmpl w:val="53B61920"/>
    <w:lvl w:ilvl="0" w:tentative="0">
      <w:start w:val="2"/>
      <w:numFmt w:val="decimal"/>
      <w:suff w:val="nothing"/>
      <w:lvlText w:val="%1）"/>
      <w:lvlJc w:val="left"/>
    </w:lvl>
  </w:abstractNum>
  <w:abstractNum w:abstractNumId="7">
    <w:nsid w:val="53EFFCBC"/>
    <w:multiLevelType w:val="singleLevel"/>
    <w:tmpl w:val="53EFFCBC"/>
    <w:lvl w:ilvl="0" w:tentative="0">
      <w:start w:val="7"/>
      <w:numFmt w:val="decimal"/>
      <w:suff w:val="nothing"/>
      <w:lvlText w:val="%1、"/>
      <w:lvlJc w:val="left"/>
    </w:lvl>
  </w:abstractNum>
  <w:num w:numId="1">
    <w:abstractNumId w:val="5"/>
  </w:num>
  <w:num w:numId="2">
    <w:abstractNumId w:val="4"/>
  </w:num>
  <w:num w:numId="3">
    <w:abstractNumId w:val="1"/>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WI5YzQ0OGRlZmVjNzJiYmMzYTMxNzE5NzdmZWIifQ=="/>
  </w:docVars>
  <w:rsids>
    <w:rsidRoot w:val="00470805"/>
    <w:rsid w:val="00016BB8"/>
    <w:rsid w:val="000528E5"/>
    <w:rsid w:val="00082D2B"/>
    <w:rsid w:val="001B2C4E"/>
    <w:rsid w:val="001D1D73"/>
    <w:rsid w:val="00381959"/>
    <w:rsid w:val="0041737E"/>
    <w:rsid w:val="00470805"/>
    <w:rsid w:val="004D351A"/>
    <w:rsid w:val="005A44DD"/>
    <w:rsid w:val="005E7330"/>
    <w:rsid w:val="00893CEE"/>
    <w:rsid w:val="00AA2D4A"/>
    <w:rsid w:val="00B92777"/>
    <w:rsid w:val="00C96A59"/>
    <w:rsid w:val="00CE0496"/>
    <w:rsid w:val="00CE22AC"/>
    <w:rsid w:val="00D95F24"/>
    <w:rsid w:val="011C648D"/>
    <w:rsid w:val="014D480D"/>
    <w:rsid w:val="01633DBA"/>
    <w:rsid w:val="01634CF4"/>
    <w:rsid w:val="019D5B1C"/>
    <w:rsid w:val="01B6046E"/>
    <w:rsid w:val="01C04E49"/>
    <w:rsid w:val="01C14567"/>
    <w:rsid w:val="01E6268D"/>
    <w:rsid w:val="021A68E3"/>
    <w:rsid w:val="02663C42"/>
    <w:rsid w:val="026B3B3D"/>
    <w:rsid w:val="026C52C2"/>
    <w:rsid w:val="027C4D23"/>
    <w:rsid w:val="02832449"/>
    <w:rsid w:val="02927CCB"/>
    <w:rsid w:val="02D67FBA"/>
    <w:rsid w:val="02F03161"/>
    <w:rsid w:val="0337721B"/>
    <w:rsid w:val="0346238F"/>
    <w:rsid w:val="036B5288"/>
    <w:rsid w:val="03944CD1"/>
    <w:rsid w:val="03977E2B"/>
    <w:rsid w:val="039E1B8C"/>
    <w:rsid w:val="03BA1571"/>
    <w:rsid w:val="03C84F02"/>
    <w:rsid w:val="03C95C6E"/>
    <w:rsid w:val="03D86878"/>
    <w:rsid w:val="03DB1C42"/>
    <w:rsid w:val="03DC5E75"/>
    <w:rsid w:val="03F16302"/>
    <w:rsid w:val="041A3FE9"/>
    <w:rsid w:val="04232E26"/>
    <w:rsid w:val="042C0247"/>
    <w:rsid w:val="047F0942"/>
    <w:rsid w:val="04A454E6"/>
    <w:rsid w:val="04CA7768"/>
    <w:rsid w:val="04D01F18"/>
    <w:rsid w:val="04FA47EC"/>
    <w:rsid w:val="04FE4606"/>
    <w:rsid w:val="05302E81"/>
    <w:rsid w:val="056B1A10"/>
    <w:rsid w:val="057C3EA6"/>
    <w:rsid w:val="058014BF"/>
    <w:rsid w:val="058C61C5"/>
    <w:rsid w:val="059056AB"/>
    <w:rsid w:val="05962A91"/>
    <w:rsid w:val="05A91A80"/>
    <w:rsid w:val="05B85FBC"/>
    <w:rsid w:val="05C80B13"/>
    <w:rsid w:val="05FD666C"/>
    <w:rsid w:val="063630D6"/>
    <w:rsid w:val="06495CB3"/>
    <w:rsid w:val="06E8731C"/>
    <w:rsid w:val="07043D9E"/>
    <w:rsid w:val="07142152"/>
    <w:rsid w:val="073D5469"/>
    <w:rsid w:val="07641C33"/>
    <w:rsid w:val="07EC6A51"/>
    <w:rsid w:val="07F65A68"/>
    <w:rsid w:val="085B58CB"/>
    <w:rsid w:val="088E04ED"/>
    <w:rsid w:val="08966833"/>
    <w:rsid w:val="08B077B6"/>
    <w:rsid w:val="08CC77B5"/>
    <w:rsid w:val="08E43A89"/>
    <w:rsid w:val="08EF6757"/>
    <w:rsid w:val="08F04052"/>
    <w:rsid w:val="092B7994"/>
    <w:rsid w:val="093B09EA"/>
    <w:rsid w:val="09473232"/>
    <w:rsid w:val="095C071C"/>
    <w:rsid w:val="097208DC"/>
    <w:rsid w:val="09750C0F"/>
    <w:rsid w:val="098172EA"/>
    <w:rsid w:val="099530EA"/>
    <w:rsid w:val="099C30CB"/>
    <w:rsid w:val="09AF3DD8"/>
    <w:rsid w:val="09B95616"/>
    <w:rsid w:val="0A0337C8"/>
    <w:rsid w:val="0A3D5E32"/>
    <w:rsid w:val="0A8A57C1"/>
    <w:rsid w:val="0A8D5D45"/>
    <w:rsid w:val="0AB168B1"/>
    <w:rsid w:val="0B112455"/>
    <w:rsid w:val="0B3A4552"/>
    <w:rsid w:val="0B4D05D3"/>
    <w:rsid w:val="0B7218AA"/>
    <w:rsid w:val="0B7A70D7"/>
    <w:rsid w:val="0B9B4DFC"/>
    <w:rsid w:val="0B9F326B"/>
    <w:rsid w:val="0C385F08"/>
    <w:rsid w:val="0C3F015D"/>
    <w:rsid w:val="0C4E07CE"/>
    <w:rsid w:val="0C5C1C12"/>
    <w:rsid w:val="0C6F01F3"/>
    <w:rsid w:val="0C9E59A1"/>
    <w:rsid w:val="0CB06D2E"/>
    <w:rsid w:val="0CDD0494"/>
    <w:rsid w:val="0D454F7F"/>
    <w:rsid w:val="0D547644"/>
    <w:rsid w:val="0D594EEF"/>
    <w:rsid w:val="0D775E73"/>
    <w:rsid w:val="0D7D67C7"/>
    <w:rsid w:val="0DCA5B75"/>
    <w:rsid w:val="0DCF5AE5"/>
    <w:rsid w:val="0DF50570"/>
    <w:rsid w:val="0DFC4FDE"/>
    <w:rsid w:val="0E267298"/>
    <w:rsid w:val="0E2F4EB5"/>
    <w:rsid w:val="0E486CF9"/>
    <w:rsid w:val="0E557C6A"/>
    <w:rsid w:val="0E8B10AF"/>
    <w:rsid w:val="0E8E3AE4"/>
    <w:rsid w:val="0EA96BDB"/>
    <w:rsid w:val="0ECA425A"/>
    <w:rsid w:val="0EE52E34"/>
    <w:rsid w:val="0F302C19"/>
    <w:rsid w:val="0F415538"/>
    <w:rsid w:val="0F4C15BB"/>
    <w:rsid w:val="0F711E78"/>
    <w:rsid w:val="0F915892"/>
    <w:rsid w:val="0FA673B6"/>
    <w:rsid w:val="100B423A"/>
    <w:rsid w:val="102B004F"/>
    <w:rsid w:val="102C2807"/>
    <w:rsid w:val="102D1421"/>
    <w:rsid w:val="10394744"/>
    <w:rsid w:val="103B04D4"/>
    <w:rsid w:val="1072724B"/>
    <w:rsid w:val="10922B1A"/>
    <w:rsid w:val="10A54570"/>
    <w:rsid w:val="10E17CCC"/>
    <w:rsid w:val="10F1501F"/>
    <w:rsid w:val="111D44A9"/>
    <w:rsid w:val="11356B11"/>
    <w:rsid w:val="11683226"/>
    <w:rsid w:val="1184298F"/>
    <w:rsid w:val="11C532A4"/>
    <w:rsid w:val="11FE18A0"/>
    <w:rsid w:val="11FE7001"/>
    <w:rsid w:val="121E7451"/>
    <w:rsid w:val="12421A01"/>
    <w:rsid w:val="1251618F"/>
    <w:rsid w:val="125427CE"/>
    <w:rsid w:val="12CE1D5D"/>
    <w:rsid w:val="12D82C44"/>
    <w:rsid w:val="12DA64CF"/>
    <w:rsid w:val="13104540"/>
    <w:rsid w:val="13211443"/>
    <w:rsid w:val="13430321"/>
    <w:rsid w:val="137A7C4F"/>
    <w:rsid w:val="137E3324"/>
    <w:rsid w:val="13CF564B"/>
    <w:rsid w:val="14101C60"/>
    <w:rsid w:val="14223741"/>
    <w:rsid w:val="14830684"/>
    <w:rsid w:val="14846AB8"/>
    <w:rsid w:val="14CF5755"/>
    <w:rsid w:val="14E91F9D"/>
    <w:rsid w:val="14EB7F7D"/>
    <w:rsid w:val="14EF7FF9"/>
    <w:rsid w:val="15016039"/>
    <w:rsid w:val="15027151"/>
    <w:rsid w:val="15403338"/>
    <w:rsid w:val="15632399"/>
    <w:rsid w:val="156F42E1"/>
    <w:rsid w:val="15A84394"/>
    <w:rsid w:val="15B933A1"/>
    <w:rsid w:val="15F15AC1"/>
    <w:rsid w:val="160C3F81"/>
    <w:rsid w:val="161543C6"/>
    <w:rsid w:val="162C3DEF"/>
    <w:rsid w:val="164D71F1"/>
    <w:rsid w:val="165F4BDE"/>
    <w:rsid w:val="16FA7577"/>
    <w:rsid w:val="170369EE"/>
    <w:rsid w:val="17090150"/>
    <w:rsid w:val="171D4602"/>
    <w:rsid w:val="17294A21"/>
    <w:rsid w:val="174A79BD"/>
    <w:rsid w:val="17904DBF"/>
    <w:rsid w:val="17A513B0"/>
    <w:rsid w:val="17AC366D"/>
    <w:rsid w:val="17E64C5F"/>
    <w:rsid w:val="18380917"/>
    <w:rsid w:val="184D60FA"/>
    <w:rsid w:val="18535A17"/>
    <w:rsid w:val="187F25FF"/>
    <w:rsid w:val="188C59B7"/>
    <w:rsid w:val="188D0C92"/>
    <w:rsid w:val="188D6EBB"/>
    <w:rsid w:val="18BC442C"/>
    <w:rsid w:val="18D94BB0"/>
    <w:rsid w:val="18F36824"/>
    <w:rsid w:val="18FF61B3"/>
    <w:rsid w:val="190E0700"/>
    <w:rsid w:val="195E2594"/>
    <w:rsid w:val="19706CFD"/>
    <w:rsid w:val="198E702B"/>
    <w:rsid w:val="19950B7F"/>
    <w:rsid w:val="19B412DF"/>
    <w:rsid w:val="19C918B7"/>
    <w:rsid w:val="1A0334F0"/>
    <w:rsid w:val="1A1641BE"/>
    <w:rsid w:val="1A2D122D"/>
    <w:rsid w:val="1A327A57"/>
    <w:rsid w:val="1A365C76"/>
    <w:rsid w:val="1A492DF9"/>
    <w:rsid w:val="1A5E1A3A"/>
    <w:rsid w:val="1A8A533F"/>
    <w:rsid w:val="1A94246B"/>
    <w:rsid w:val="1ACC4D45"/>
    <w:rsid w:val="1ADB6ABB"/>
    <w:rsid w:val="1AE24731"/>
    <w:rsid w:val="1AF5187E"/>
    <w:rsid w:val="1B1A6D70"/>
    <w:rsid w:val="1B247BA0"/>
    <w:rsid w:val="1B336E17"/>
    <w:rsid w:val="1B3E56BF"/>
    <w:rsid w:val="1B51595E"/>
    <w:rsid w:val="1B7B7A65"/>
    <w:rsid w:val="1B8A270E"/>
    <w:rsid w:val="1BE91A2A"/>
    <w:rsid w:val="1BED43A3"/>
    <w:rsid w:val="1BF86523"/>
    <w:rsid w:val="1C2E1720"/>
    <w:rsid w:val="1C5F66BF"/>
    <w:rsid w:val="1C727D57"/>
    <w:rsid w:val="1C746FDA"/>
    <w:rsid w:val="1C850D11"/>
    <w:rsid w:val="1CA90611"/>
    <w:rsid w:val="1CE17917"/>
    <w:rsid w:val="1D110E25"/>
    <w:rsid w:val="1D322C47"/>
    <w:rsid w:val="1D5073BC"/>
    <w:rsid w:val="1D5C16FB"/>
    <w:rsid w:val="1D861520"/>
    <w:rsid w:val="1DAB19C3"/>
    <w:rsid w:val="1DAD6CAB"/>
    <w:rsid w:val="1DBD04A4"/>
    <w:rsid w:val="1DC55869"/>
    <w:rsid w:val="1DD106B2"/>
    <w:rsid w:val="1E162E5E"/>
    <w:rsid w:val="1E391DB3"/>
    <w:rsid w:val="1E3D60CC"/>
    <w:rsid w:val="1E672AA3"/>
    <w:rsid w:val="1E6B7527"/>
    <w:rsid w:val="1E8B462A"/>
    <w:rsid w:val="1E9E734A"/>
    <w:rsid w:val="1EA35762"/>
    <w:rsid w:val="1EBB7193"/>
    <w:rsid w:val="1EC74AB7"/>
    <w:rsid w:val="1EDB1A02"/>
    <w:rsid w:val="1F2F40F4"/>
    <w:rsid w:val="1F365E18"/>
    <w:rsid w:val="1F5210CA"/>
    <w:rsid w:val="1F624827"/>
    <w:rsid w:val="1FA37E2C"/>
    <w:rsid w:val="1FA54B55"/>
    <w:rsid w:val="1FAA708D"/>
    <w:rsid w:val="1FAC6571"/>
    <w:rsid w:val="1FD32790"/>
    <w:rsid w:val="1FE84B96"/>
    <w:rsid w:val="1FF34E9A"/>
    <w:rsid w:val="203C1C78"/>
    <w:rsid w:val="203F7B19"/>
    <w:rsid w:val="207E03A3"/>
    <w:rsid w:val="208A0FEC"/>
    <w:rsid w:val="20D03823"/>
    <w:rsid w:val="2125275B"/>
    <w:rsid w:val="214647A3"/>
    <w:rsid w:val="214B42D7"/>
    <w:rsid w:val="215C7134"/>
    <w:rsid w:val="217405FD"/>
    <w:rsid w:val="21C278B0"/>
    <w:rsid w:val="21CA1B59"/>
    <w:rsid w:val="21D6056F"/>
    <w:rsid w:val="21EE0130"/>
    <w:rsid w:val="21F04642"/>
    <w:rsid w:val="21F8393B"/>
    <w:rsid w:val="220A0BA8"/>
    <w:rsid w:val="22166536"/>
    <w:rsid w:val="222B3A18"/>
    <w:rsid w:val="224F2398"/>
    <w:rsid w:val="2268661C"/>
    <w:rsid w:val="226B2A43"/>
    <w:rsid w:val="22827207"/>
    <w:rsid w:val="229C3BB7"/>
    <w:rsid w:val="22A52B91"/>
    <w:rsid w:val="22DB7C75"/>
    <w:rsid w:val="22FF3B67"/>
    <w:rsid w:val="231100E8"/>
    <w:rsid w:val="232057D5"/>
    <w:rsid w:val="23661D7C"/>
    <w:rsid w:val="2366216A"/>
    <w:rsid w:val="23EB7FF4"/>
    <w:rsid w:val="23F65495"/>
    <w:rsid w:val="247A3D3C"/>
    <w:rsid w:val="249E14E7"/>
    <w:rsid w:val="24A36BCD"/>
    <w:rsid w:val="24AE3B64"/>
    <w:rsid w:val="24F8488B"/>
    <w:rsid w:val="25236F44"/>
    <w:rsid w:val="25330DE6"/>
    <w:rsid w:val="2534533D"/>
    <w:rsid w:val="254D29A7"/>
    <w:rsid w:val="254E5723"/>
    <w:rsid w:val="25533D7B"/>
    <w:rsid w:val="2567153B"/>
    <w:rsid w:val="258F4C69"/>
    <w:rsid w:val="25BF34E6"/>
    <w:rsid w:val="25C042C4"/>
    <w:rsid w:val="25C5799A"/>
    <w:rsid w:val="25DA0E81"/>
    <w:rsid w:val="25DC7BF4"/>
    <w:rsid w:val="25DF3E76"/>
    <w:rsid w:val="25ED5C53"/>
    <w:rsid w:val="25F907E8"/>
    <w:rsid w:val="26014AD2"/>
    <w:rsid w:val="26282E39"/>
    <w:rsid w:val="264A7253"/>
    <w:rsid w:val="26881739"/>
    <w:rsid w:val="27492919"/>
    <w:rsid w:val="277D0F63"/>
    <w:rsid w:val="279432A6"/>
    <w:rsid w:val="27AC6E57"/>
    <w:rsid w:val="27CE387C"/>
    <w:rsid w:val="281C48D0"/>
    <w:rsid w:val="285B753C"/>
    <w:rsid w:val="28647B3A"/>
    <w:rsid w:val="28685063"/>
    <w:rsid w:val="28803124"/>
    <w:rsid w:val="28857756"/>
    <w:rsid w:val="28980211"/>
    <w:rsid w:val="28B018E3"/>
    <w:rsid w:val="28B74D1E"/>
    <w:rsid w:val="29017E7D"/>
    <w:rsid w:val="290D274E"/>
    <w:rsid w:val="291D0C4F"/>
    <w:rsid w:val="29564D71"/>
    <w:rsid w:val="29AE0099"/>
    <w:rsid w:val="29B02C76"/>
    <w:rsid w:val="29BD3A0D"/>
    <w:rsid w:val="29C9766F"/>
    <w:rsid w:val="29CA2459"/>
    <w:rsid w:val="29F456C0"/>
    <w:rsid w:val="29F56180"/>
    <w:rsid w:val="2A047746"/>
    <w:rsid w:val="2A6B3E70"/>
    <w:rsid w:val="2A7733AE"/>
    <w:rsid w:val="2AC46EA9"/>
    <w:rsid w:val="2AE83EC6"/>
    <w:rsid w:val="2B13658C"/>
    <w:rsid w:val="2B1A331C"/>
    <w:rsid w:val="2B230073"/>
    <w:rsid w:val="2B2E00C6"/>
    <w:rsid w:val="2B3C4600"/>
    <w:rsid w:val="2B6255C3"/>
    <w:rsid w:val="2B69017C"/>
    <w:rsid w:val="2B6A39AF"/>
    <w:rsid w:val="2B841236"/>
    <w:rsid w:val="2B885423"/>
    <w:rsid w:val="2BBA1A67"/>
    <w:rsid w:val="2BCB3905"/>
    <w:rsid w:val="2BF160B0"/>
    <w:rsid w:val="2C0A0C75"/>
    <w:rsid w:val="2C1F4CF2"/>
    <w:rsid w:val="2C384906"/>
    <w:rsid w:val="2C425D39"/>
    <w:rsid w:val="2C4C4D42"/>
    <w:rsid w:val="2C4D184B"/>
    <w:rsid w:val="2C930E96"/>
    <w:rsid w:val="2C9E20A7"/>
    <w:rsid w:val="2CC23DD6"/>
    <w:rsid w:val="2CC97A35"/>
    <w:rsid w:val="2CDE24A4"/>
    <w:rsid w:val="2CEF1F3A"/>
    <w:rsid w:val="2CF56D75"/>
    <w:rsid w:val="2D022235"/>
    <w:rsid w:val="2D51517F"/>
    <w:rsid w:val="2D782E09"/>
    <w:rsid w:val="2D94372E"/>
    <w:rsid w:val="2D952830"/>
    <w:rsid w:val="2DA37249"/>
    <w:rsid w:val="2DB06E65"/>
    <w:rsid w:val="2DB766E1"/>
    <w:rsid w:val="2DE563A9"/>
    <w:rsid w:val="2DFE26D1"/>
    <w:rsid w:val="2E8E42A4"/>
    <w:rsid w:val="2EA0058E"/>
    <w:rsid w:val="2EB22511"/>
    <w:rsid w:val="2EB35325"/>
    <w:rsid w:val="2EB81EF6"/>
    <w:rsid w:val="2EE32F12"/>
    <w:rsid w:val="2F0C27F4"/>
    <w:rsid w:val="2F144C70"/>
    <w:rsid w:val="2F2F3A45"/>
    <w:rsid w:val="2F324D67"/>
    <w:rsid w:val="300E33CB"/>
    <w:rsid w:val="30111333"/>
    <w:rsid w:val="301F52AD"/>
    <w:rsid w:val="304128BE"/>
    <w:rsid w:val="305D3488"/>
    <w:rsid w:val="306D42E7"/>
    <w:rsid w:val="30866CD1"/>
    <w:rsid w:val="30D74AA7"/>
    <w:rsid w:val="30E3452C"/>
    <w:rsid w:val="310D76E8"/>
    <w:rsid w:val="312C303D"/>
    <w:rsid w:val="3138414C"/>
    <w:rsid w:val="314E7B01"/>
    <w:rsid w:val="319333C0"/>
    <w:rsid w:val="31A1081C"/>
    <w:rsid w:val="31A812D2"/>
    <w:rsid w:val="31C05DC4"/>
    <w:rsid w:val="31C91255"/>
    <w:rsid w:val="320918C6"/>
    <w:rsid w:val="320C0D78"/>
    <w:rsid w:val="32116E77"/>
    <w:rsid w:val="321B072C"/>
    <w:rsid w:val="32410B27"/>
    <w:rsid w:val="32417A94"/>
    <w:rsid w:val="32514B61"/>
    <w:rsid w:val="32650F71"/>
    <w:rsid w:val="327B6E8F"/>
    <w:rsid w:val="32E1031B"/>
    <w:rsid w:val="333F3E87"/>
    <w:rsid w:val="334034A3"/>
    <w:rsid w:val="335F1E64"/>
    <w:rsid w:val="336B22B1"/>
    <w:rsid w:val="337F6063"/>
    <w:rsid w:val="338424E1"/>
    <w:rsid w:val="33C4756A"/>
    <w:rsid w:val="33DF5997"/>
    <w:rsid w:val="33E16D1D"/>
    <w:rsid w:val="33EB40D2"/>
    <w:rsid w:val="34021B39"/>
    <w:rsid w:val="34680629"/>
    <w:rsid w:val="34776BDA"/>
    <w:rsid w:val="34B55708"/>
    <w:rsid w:val="34D75774"/>
    <w:rsid w:val="35B15D4C"/>
    <w:rsid w:val="35C6441D"/>
    <w:rsid w:val="35D41FC3"/>
    <w:rsid w:val="35FF1B30"/>
    <w:rsid w:val="361130DB"/>
    <w:rsid w:val="36344B63"/>
    <w:rsid w:val="365C335F"/>
    <w:rsid w:val="368F4726"/>
    <w:rsid w:val="36924357"/>
    <w:rsid w:val="36A96254"/>
    <w:rsid w:val="36AC4A51"/>
    <w:rsid w:val="36E103F5"/>
    <w:rsid w:val="37052E76"/>
    <w:rsid w:val="37070849"/>
    <w:rsid w:val="37283493"/>
    <w:rsid w:val="37493898"/>
    <w:rsid w:val="37C3625C"/>
    <w:rsid w:val="37DB794B"/>
    <w:rsid w:val="37FA2D95"/>
    <w:rsid w:val="38154E39"/>
    <w:rsid w:val="38311627"/>
    <w:rsid w:val="38897352"/>
    <w:rsid w:val="388E544E"/>
    <w:rsid w:val="389600D6"/>
    <w:rsid w:val="38997ABE"/>
    <w:rsid w:val="38A945F1"/>
    <w:rsid w:val="38B557A7"/>
    <w:rsid w:val="3910785A"/>
    <w:rsid w:val="3916129B"/>
    <w:rsid w:val="39362D77"/>
    <w:rsid w:val="393957B3"/>
    <w:rsid w:val="39444EDD"/>
    <w:rsid w:val="39507696"/>
    <w:rsid w:val="39551EF3"/>
    <w:rsid w:val="399B34CA"/>
    <w:rsid w:val="39BA6046"/>
    <w:rsid w:val="39CB40BB"/>
    <w:rsid w:val="39D30EB6"/>
    <w:rsid w:val="39DC14D6"/>
    <w:rsid w:val="39DD06AA"/>
    <w:rsid w:val="39F645DA"/>
    <w:rsid w:val="3A062A11"/>
    <w:rsid w:val="3A0A31B3"/>
    <w:rsid w:val="3A28192E"/>
    <w:rsid w:val="3A2F6786"/>
    <w:rsid w:val="3A3F00E3"/>
    <w:rsid w:val="3A4606E3"/>
    <w:rsid w:val="3A490ECA"/>
    <w:rsid w:val="3A7B017F"/>
    <w:rsid w:val="3A7B5FC3"/>
    <w:rsid w:val="3ADE5D64"/>
    <w:rsid w:val="3B07088A"/>
    <w:rsid w:val="3B0E7E0D"/>
    <w:rsid w:val="3B331258"/>
    <w:rsid w:val="3B6039D3"/>
    <w:rsid w:val="3B651B44"/>
    <w:rsid w:val="3B976EEE"/>
    <w:rsid w:val="3B9E5470"/>
    <w:rsid w:val="3BA1126C"/>
    <w:rsid w:val="3BBA2E14"/>
    <w:rsid w:val="3BC76995"/>
    <w:rsid w:val="3BE34926"/>
    <w:rsid w:val="3C0C5D26"/>
    <w:rsid w:val="3C2B03F6"/>
    <w:rsid w:val="3C325CBB"/>
    <w:rsid w:val="3C3C0F95"/>
    <w:rsid w:val="3C8006E3"/>
    <w:rsid w:val="3C9E2542"/>
    <w:rsid w:val="3D0C7687"/>
    <w:rsid w:val="3D1117D8"/>
    <w:rsid w:val="3D154464"/>
    <w:rsid w:val="3D2B5D50"/>
    <w:rsid w:val="3D65521F"/>
    <w:rsid w:val="3D937C50"/>
    <w:rsid w:val="3DAB7042"/>
    <w:rsid w:val="3DBE2765"/>
    <w:rsid w:val="3DC35C72"/>
    <w:rsid w:val="3DDF607B"/>
    <w:rsid w:val="3E2A577B"/>
    <w:rsid w:val="3E6217BD"/>
    <w:rsid w:val="3EA05921"/>
    <w:rsid w:val="3EB76FF8"/>
    <w:rsid w:val="3ECD4747"/>
    <w:rsid w:val="3ECF60F0"/>
    <w:rsid w:val="3EEB0A50"/>
    <w:rsid w:val="3EEE270C"/>
    <w:rsid w:val="3EF30DCD"/>
    <w:rsid w:val="3FC70C41"/>
    <w:rsid w:val="3FDD2A8F"/>
    <w:rsid w:val="3FE37CCF"/>
    <w:rsid w:val="3FE61E54"/>
    <w:rsid w:val="3FEC6936"/>
    <w:rsid w:val="40317735"/>
    <w:rsid w:val="40462464"/>
    <w:rsid w:val="406006B4"/>
    <w:rsid w:val="40792EE3"/>
    <w:rsid w:val="408A79A1"/>
    <w:rsid w:val="40954F4A"/>
    <w:rsid w:val="40AD061D"/>
    <w:rsid w:val="40B5705F"/>
    <w:rsid w:val="40D708D8"/>
    <w:rsid w:val="40E97BDE"/>
    <w:rsid w:val="40F8663E"/>
    <w:rsid w:val="41157281"/>
    <w:rsid w:val="411E4E23"/>
    <w:rsid w:val="41242C54"/>
    <w:rsid w:val="41253792"/>
    <w:rsid w:val="412C6278"/>
    <w:rsid w:val="418D5DEE"/>
    <w:rsid w:val="41994793"/>
    <w:rsid w:val="41BA6290"/>
    <w:rsid w:val="41E013DC"/>
    <w:rsid w:val="41F25B90"/>
    <w:rsid w:val="41FA52F9"/>
    <w:rsid w:val="420047FF"/>
    <w:rsid w:val="42064016"/>
    <w:rsid w:val="420F5DB8"/>
    <w:rsid w:val="4217296D"/>
    <w:rsid w:val="425D1F15"/>
    <w:rsid w:val="426A69DF"/>
    <w:rsid w:val="428C42F8"/>
    <w:rsid w:val="42A4204C"/>
    <w:rsid w:val="42F225C9"/>
    <w:rsid w:val="432130EE"/>
    <w:rsid w:val="43234638"/>
    <w:rsid w:val="43274B4D"/>
    <w:rsid w:val="43930EFB"/>
    <w:rsid w:val="439873F8"/>
    <w:rsid w:val="439E3C74"/>
    <w:rsid w:val="43EC32A0"/>
    <w:rsid w:val="43F120F4"/>
    <w:rsid w:val="44055A33"/>
    <w:rsid w:val="440D42D4"/>
    <w:rsid w:val="44811492"/>
    <w:rsid w:val="449776D4"/>
    <w:rsid w:val="449D2073"/>
    <w:rsid w:val="44CD3356"/>
    <w:rsid w:val="44E32549"/>
    <w:rsid w:val="451A208F"/>
    <w:rsid w:val="452A0524"/>
    <w:rsid w:val="454F6C00"/>
    <w:rsid w:val="4617099C"/>
    <w:rsid w:val="466679AA"/>
    <w:rsid w:val="46DE6C6B"/>
    <w:rsid w:val="46EB783F"/>
    <w:rsid w:val="47041FF8"/>
    <w:rsid w:val="471B4D18"/>
    <w:rsid w:val="475B59BA"/>
    <w:rsid w:val="478163F5"/>
    <w:rsid w:val="479865CD"/>
    <w:rsid w:val="47A73B53"/>
    <w:rsid w:val="47AC76D7"/>
    <w:rsid w:val="47B83827"/>
    <w:rsid w:val="481949B0"/>
    <w:rsid w:val="4847510B"/>
    <w:rsid w:val="4875106B"/>
    <w:rsid w:val="48903397"/>
    <w:rsid w:val="48CF5368"/>
    <w:rsid w:val="49384EF6"/>
    <w:rsid w:val="496E4757"/>
    <w:rsid w:val="497B24D5"/>
    <w:rsid w:val="498521CD"/>
    <w:rsid w:val="498D3C4A"/>
    <w:rsid w:val="49936C93"/>
    <w:rsid w:val="49B3380C"/>
    <w:rsid w:val="49F66B66"/>
    <w:rsid w:val="4A143650"/>
    <w:rsid w:val="4A251FD7"/>
    <w:rsid w:val="4A2975C0"/>
    <w:rsid w:val="4A3A1C71"/>
    <w:rsid w:val="4A463374"/>
    <w:rsid w:val="4A5A1E95"/>
    <w:rsid w:val="4A6138B7"/>
    <w:rsid w:val="4A7A4703"/>
    <w:rsid w:val="4AD05F30"/>
    <w:rsid w:val="4ADB2C4B"/>
    <w:rsid w:val="4B3F7861"/>
    <w:rsid w:val="4B5922F3"/>
    <w:rsid w:val="4B5B6ED2"/>
    <w:rsid w:val="4B6D5B1F"/>
    <w:rsid w:val="4BCB10FA"/>
    <w:rsid w:val="4BE43B3D"/>
    <w:rsid w:val="4C2D77FA"/>
    <w:rsid w:val="4C540588"/>
    <w:rsid w:val="4CA41A33"/>
    <w:rsid w:val="4CAD1CEA"/>
    <w:rsid w:val="4D2B3EC8"/>
    <w:rsid w:val="4D3B7679"/>
    <w:rsid w:val="4D3E2B45"/>
    <w:rsid w:val="4D47743D"/>
    <w:rsid w:val="4D920D50"/>
    <w:rsid w:val="4D9E5018"/>
    <w:rsid w:val="4DB71D8E"/>
    <w:rsid w:val="4E0929FC"/>
    <w:rsid w:val="4E1C6E78"/>
    <w:rsid w:val="4E53528A"/>
    <w:rsid w:val="4E887A35"/>
    <w:rsid w:val="4F2B5DCC"/>
    <w:rsid w:val="4F536C25"/>
    <w:rsid w:val="4F7F76BE"/>
    <w:rsid w:val="4F8E5B53"/>
    <w:rsid w:val="4F9A359B"/>
    <w:rsid w:val="50093C27"/>
    <w:rsid w:val="50282188"/>
    <w:rsid w:val="50476646"/>
    <w:rsid w:val="50710F1C"/>
    <w:rsid w:val="51025D34"/>
    <w:rsid w:val="510E13EF"/>
    <w:rsid w:val="51106BD8"/>
    <w:rsid w:val="51340035"/>
    <w:rsid w:val="515C6207"/>
    <w:rsid w:val="518861F3"/>
    <w:rsid w:val="51C13AFE"/>
    <w:rsid w:val="51E732EF"/>
    <w:rsid w:val="52326B50"/>
    <w:rsid w:val="52411017"/>
    <w:rsid w:val="5288039B"/>
    <w:rsid w:val="52F46C17"/>
    <w:rsid w:val="53067C3E"/>
    <w:rsid w:val="530C54BF"/>
    <w:rsid w:val="53172925"/>
    <w:rsid w:val="532515DC"/>
    <w:rsid w:val="532D6F7F"/>
    <w:rsid w:val="536216E8"/>
    <w:rsid w:val="536B319B"/>
    <w:rsid w:val="53731870"/>
    <w:rsid w:val="53866549"/>
    <w:rsid w:val="53987362"/>
    <w:rsid w:val="53987EBC"/>
    <w:rsid w:val="53A0585D"/>
    <w:rsid w:val="53AF0997"/>
    <w:rsid w:val="53BD3C74"/>
    <w:rsid w:val="53D32907"/>
    <w:rsid w:val="53D4561D"/>
    <w:rsid w:val="53DD6F52"/>
    <w:rsid w:val="53E51219"/>
    <w:rsid w:val="53F04C58"/>
    <w:rsid w:val="53F52340"/>
    <w:rsid w:val="54100745"/>
    <w:rsid w:val="54220D26"/>
    <w:rsid w:val="547333AA"/>
    <w:rsid w:val="547F1F0F"/>
    <w:rsid w:val="54A55509"/>
    <w:rsid w:val="54A90FFE"/>
    <w:rsid w:val="54C16083"/>
    <w:rsid w:val="54C70A68"/>
    <w:rsid w:val="54CD2FD8"/>
    <w:rsid w:val="54E305A2"/>
    <w:rsid w:val="54E31C41"/>
    <w:rsid w:val="55425416"/>
    <w:rsid w:val="55515659"/>
    <w:rsid w:val="55533C29"/>
    <w:rsid w:val="558208EC"/>
    <w:rsid w:val="55A95724"/>
    <w:rsid w:val="55BA5F42"/>
    <w:rsid w:val="55BB07A7"/>
    <w:rsid w:val="55CC7333"/>
    <w:rsid w:val="55D37073"/>
    <w:rsid w:val="55FF50B5"/>
    <w:rsid w:val="5606048A"/>
    <w:rsid w:val="560A7D0E"/>
    <w:rsid w:val="561D12E9"/>
    <w:rsid w:val="56511FF9"/>
    <w:rsid w:val="565A145B"/>
    <w:rsid w:val="56794676"/>
    <w:rsid w:val="569D7188"/>
    <w:rsid w:val="56CB1307"/>
    <w:rsid w:val="56D17BEB"/>
    <w:rsid w:val="56DF6D38"/>
    <w:rsid w:val="56EC2347"/>
    <w:rsid w:val="56F46456"/>
    <w:rsid w:val="570F65A9"/>
    <w:rsid w:val="571406B8"/>
    <w:rsid w:val="576C1626"/>
    <w:rsid w:val="576F3225"/>
    <w:rsid w:val="577D7CF6"/>
    <w:rsid w:val="57C17FAA"/>
    <w:rsid w:val="57C52BDD"/>
    <w:rsid w:val="57D457AB"/>
    <w:rsid w:val="57D85BBE"/>
    <w:rsid w:val="57E44562"/>
    <w:rsid w:val="57F86847"/>
    <w:rsid w:val="5805168F"/>
    <w:rsid w:val="582B249E"/>
    <w:rsid w:val="58424A00"/>
    <w:rsid w:val="58771D72"/>
    <w:rsid w:val="589122DD"/>
    <w:rsid w:val="58C506D2"/>
    <w:rsid w:val="58F94A8E"/>
    <w:rsid w:val="58F94CF8"/>
    <w:rsid w:val="58FC54A2"/>
    <w:rsid w:val="58FE14FC"/>
    <w:rsid w:val="596A12D9"/>
    <w:rsid w:val="59765B94"/>
    <w:rsid w:val="59813764"/>
    <w:rsid w:val="5AAF7C5C"/>
    <w:rsid w:val="5ABF6ADD"/>
    <w:rsid w:val="5AC64062"/>
    <w:rsid w:val="5AE13FAF"/>
    <w:rsid w:val="5B3359A1"/>
    <w:rsid w:val="5B486DE4"/>
    <w:rsid w:val="5B713F22"/>
    <w:rsid w:val="5B7A10B7"/>
    <w:rsid w:val="5BD24444"/>
    <w:rsid w:val="5BD50408"/>
    <w:rsid w:val="5BDD5580"/>
    <w:rsid w:val="5BEF629D"/>
    <w:rsid w:val="5BF129C5"/>
    <w:rsid w:val="5C2A1733"/>
    <w:rsid w:val="5C8C6A72"/>
    <w:rsid w:val="5CA170B6"/>
    <w:rsid w:val="5CA545CE"/>
    <w:rsid w:val="5CB600D1"/>
    <w:rsid w:val="5CC00CEB"/>
    <w:rsid w:val="5CCD4100"/>
    <w:rsid w:val="5CFE15D2"/>
    <w:rsid w:val="5D1A27D4"/>
    <w:rsid w:val="5D20178F"/>
    <w:rsid w:val="5D403C65"/>
    <w:rsid w:val="5D5D3077"/>
    <w:rsid w:val="5D6E3726"/>
    <w:rsid w:val="5D8C6F8E"/>
    <w:rsid w:val="5D9C768D"/>
    <w:rsid w:val="5E1822E9"/>
    <w:rsid w:val="5E2558FB"/>
    <w:rsid w:val="5E283690"/>
    <w:rsid w:val="5E440486"/>
    <w:rsid w:val="5E446438"/>
    <w:rsid w:val="5E681074"/>
    <w:rsid w:val="5E790DDF"/>
    <w:rsid w:val="5E992431"/>
    <w:rsid w:val="5EBD1736"/>
    <w:rsid w:val="5F200FA8"/>
    <w:rsid w:val="5F246F75"/>
    <w:rsid w:val="5F3D34FC"/>
    <w:rsid w:val="5F6D713F"/>
    <w:rsid w:val="5F9347C8"/>
    <w:rsid w:val="5FA11865"/>
    <w:rsid w:val="5FDD794C"/>
    <w:rsid w:val="5FED2422"/>
    <w:rsid w:val="5FF07C39"/>
    <w:rsid w:val="60031C46"/>
    <w:rsid w:val="602C4602"/>
    <w:rsid w:val="60584BBA"/>
    <w:rsid w:val="608D19E9"/>
    <w:rsid w:val="60DB45BC"/>
    <w:rsid w:val="60F376EA"/>
    <w:rsid w:val="60F95E5B"/>
    <w:rsid w:val="61001973"/>
    <w:rsid w:val="611B6B1B"/>
    <w:rsid w:val="611F6D02"/>
    <w:rsid w:val="61332B3C"/>
    <w:rsid w:val="61336E90"/>
    <w:rsid w:val="61345638"/>
    <w:rsid w:val="6145448D"/>
    <w:rsid w:val="61477910"/>
    <w:rsid w:val="614D2201"/>
    <w:rsid w:val="61C40983"/>
    <w:rsid w:val="61E7562D"/>
    <w:rsid w:val="61FA4FCD"/>
    <w:rsid w:val="61FD2F5E"/>
    <w:rsid w:val="62726C0F"/>
    <w:rsid w:val="627E3805"/>
    <w:rsid w:val="62A06EAA"/>
    <w:rsid w:val="62B33084"/>
    <w:rsid w:val="62E1102B"/>
    <w:rsid w:val="62F53596"/>
    <w:rsid w:val="62FE3FC2"/>
    <w:rsid w:val="632E4BBF"/>
    <w:rsid w:val="63360FCC"/>
    <w:rsid w:val="63381C06"/>
    <w:rsid w:val="6341627F"/>
    <w:rsid w:val="635D166D"/>
    <w:rsid w:val="63697A8B"/>
    <w:rsid w:val="63777021"/>
    <w:rsid w:val="639F30E3"/>
    <w:rsid w:val="639F6712"/>
    <w:rsid w:val="6421689C"/>
    <w:rsid w:val="6437167C"/>
    <w:rsid w:val="644A3F9D"/>
    <w:rsid w:val="64826C58"/>
    <w:rsid w:val="64915A72"/>
    <w:rsid w:val="64A62CD5"/>
    <w:rsid w:val="64CD7BEF"/>
    <w:rsid w:val="64E53D57"/>
    <w:rsid w:val="65183A9D"/>
    <w:rsid w:val="6518584B"/>
    <w:rsid w:val="654E6028"/>
    <w:rsid w:val="65676617"/>
    <w:rsid w:val="6572517C"/>
    <w:rsid w:val="657A1A10"/>
    <w:rsid w:val="657D6AE4"/>
    <w:rsid w:val="65A03A38"/>
    <w:rsid w:val="65A6294A"/>
    <w:rsid w:val="66581683"/>
    <w:rsid w:val="66843221"/>
    <w:rsid w:val="66BC66AA"/>
    <w:rsid w:val="66F05BF3"/>
    <w:rsid w:val="66F402EA"/>
    <w:rsid w:val="66FE0C21"/>
    <w:rsid w:val="67067D7B"/>
    <w:rsid w:val="67222534"/>
    <w:rsid w:val="67356E3D"/>
    <w:rsid w:val="678C7E07"/>
    <w:rsid w:val="678D0ECB"/>
    <w:rsid w:val="67C14818"/>
    <w:rsid w:val="67C77BAF"/>
    <w:rsid w:val="67DB6A52"/>
    <w:rsid w:val="67F3226F"/>
    <w:rsid w:val="67FF5E24"/>
    <w:rsid w:val="68605142"/>
    <w:rsid w:val="6873723D"/>
    <w:rsid w:val="687A681D"/>
    <w:rsid w:val="68BC680B"/>
    <w:rsid w:val="68C6486D"/>
    <w:rsid w:val="690F39A6"/>
    <w:rsid w:val="694908BF"/>
    <w:rsid w:val="697159A8"/>
    <w:rsid w:val="69814F01"/>
    <w:rsid w:val="69A70266"/>
    <w:rsid w:val="69B61221"/>
    <w:rsid w:val="69B67A82"/>
    <w:rsid w:val="69D112C7"/>
    <w:rsid w:val="69F84CB8"/>
    <w:rsid w:val="6A072332"/>
    <w:rsid w:val="6A09007B"/>
    <w:rsid w:val="6A106978"/>
    <w:rsid w:val="6A1E6CE2"/>
    <w:rsid w:val="6A5D7F87"/>
    <w:rsid w:val="6A6C2D8A"/>
    <w:rsid w:val="6A873112"/>
    <w:rsid w:val="6AAB0861"/>
    <w:rsid w:val="6ABE6407"/>
    <w:rsid w:val="6ACC73BF"/>
    <w:rsid w:val="6B0E01B0"/>
    <w:rsid w:val="6B2439A7"/>
    <w:rsid w:val="6B2C46FE"/>
    <w:rsid w:val="6B6C112B"/>
    <w:rsid w:val="6BCF5561"/>
    <w:rsid w:val="6C186374"/>
    <w:rsid w:val="6C2E1DF8"/>
    <w:rsid w:val="6C521745"/>
    <w:rsid w:val="6C571011"/>
    <w:rsid w:val="6C612DB0"/>
    <w:rsid w:val="6C820D7B"/>
    <w:rsid w:val="6C8C2BC7"/>
    <w:rsid w:val="6CA47B5B"/>
    <w:rsid w:val="6CB14FF2"/>
    <w:rsid w:val="6CC60283"/>
    <w:rsid w:val="6CC64214"/>
    <w:rsid w:val="6CD742D9"/>
    <w:rsid w:val="6CDA2D94"/>
    <w:rsid w:val="6D133293"/>
    <w:rsid w:val="6D1A79E3"/>
    <w:rsid w:val="6D2427BA"/>
    <w:rsid w:val="6D44729A"/>
    <w:rsid w:val="6D6A50B2"/>
    <w:rsid w:val="6D8039F9"/>
    <w:rsid w:val="6D8B4F44"/>
    <w:rsid w:val="6DD06AB1"/>
    <w:rsid w:val="6DF777CB"/>
    <w:rsid w:val="6E010CC7"/>
    <w:rsid w:val="6E526272"/>
    <w:rsid w:val="6E867CCA"/>
    <w:rsid w:val="6E9B1EE4"/>
    <w:rsid w:val="6EAE215C"/>
    <w:rsid w:val="6EE40E94"/>
    <w:rsid w:val="6EFA2E81"/>
    <w:rsid w:val="6EFC2867"/>
    <w:rsid w:val="6F2C6CFC"/>
    <w:rsid w:val="6F392CE7"/>
    <w:rsid w:val="6F4E1D50"/>
    <w:rsid w:val="6F5003BD"/>
    <w:rsid w:val="6F7174D4"/>
    <w:rsid w:val="6F7F0D5C"/>
    <w:rsid w:val="6FA11B82"/>
    <w:rsid w:val="6FB5053F"/>
    <w:rsid w:val="6FB737D6"/>
    <w:rsid w:val="702E0B83"/>
    <w:rsid w:val="702F4AED"/>
    <w:rsid w:val="70560B9A"/>
    <w:rsid w:val="709B0D8D"/>
    <w:rsid w:val="70C1148D"/>
    <w:rsid w:val="71302E6F"/>
    <w:rsid w:val="71433675"/>
    <w:rsid w:val="715776FB"/>
    <w:rsid w:val="716F32EB"/>
    <w:rsid w:val="722A12B2"/>
    <w:rsid w:val="7236678B"/>
    <w:rsid w:val="723F7C72"/>
    <w:rsid w:val="72522214"/>
    <w:rsid w:val="7266063B"/>
    <w:rsid w:val="72F82E7C"/>
    <w:rsid w:val="73156D8A"/>
    <w:rsid w:val="7325566E"/>
    <w:rsid w:val="7367064C"/>
    <w:rsid w:val="736953F1"/>
    <w:rsid w:val="736D4CB3"/>
    <w:rsid w:val="736E59C9"/>
    <w:rsid w:val="738A5B88"/>
    <w:rsid w:val="739209A7"/>
    <w:rsid w:val="73E536E4"/>
    <w:rsid w:val="740438D8"/>
    <w:rsid w:val="74171FD2"/>
    <w:rsid w:val="74311A46"/>
    <w:rsid w:val="74787846"/>
    <w:rsid w:val="747E451B"/>
    <w:rsid w:val="74C37F64"/>
    <w:rsid w:val="74F87553"/>
    <w:rsid w:val="7504028C"/>
    <w:rsid w:val="753670B1"/>
    <w:rsid w:val="753A7A60"/>
    <w:rsid w:val="755239FC"/>
    <w:rsid w:val="755E374E"/>
    <w:rsid w:val="757E51B5"/>
    <w:rsid w:val="75A14D5C"/>
    <w:rsid w:val="75B44D6F"/>
    <w:rsid w:val="75C3648F"/>
    <w:rsid w:val="75D315DC"/>
    <w:rsid w:val="75E120E5"/>
    <w:rsid w:val="76216C7F"/>
    <w:rsid w:val="763C36F5"/>
    <w:rsid w:val="764E1354"/>
    <w:rsid w:val="768B3A87"/>
    <w:rsid w:val="76913A3E"/>
    <w:rsid w:val="76924892"/>
    <w:rsid w:val="769E7B7B"/>
    <w:rsid w:val="769F72D9"/>
    <w:rsid w:val="76B91362"/>
    <w:rsid w:val="76C644E0"/>
    <w:rsid w:val="76E35644"/>
    <w:rsid w:val="76F1603A"/>
    <w:rsid w:val="76F31C74"/>
    <w:rsid w:val="770E617C"/>
    <w:rsid w:val="773F135E"/>
    <w:rsid w:val="77994E25"/>
    <w:rsid w:val="77C577DB"/>
    <w:rsid w:val="77CA0305"/>
    <w:rsid w:val="77D21361"/>
    <w:rsid w:val="77D748C9"/>
    <w:rsid w:val="78237E40"/>
    <w:rsid w:val="78281DF2"/>
    <w:rsid w:val="78306EF8"/>
    <w:rsid w:val="78346932"/>
    <w:rsid w:val="783660DD"/>
    <w:rsid w:val="78614436"/>
    <w:rsid w:val="7863344B"/>
    <w:rsid w:val="787212BF"/>
    <w:rsid w:val="788F757C"/>
    <w:rsid w:val="78AA3B0C"/>
    <w:rsid w:val="78E83217"/>
    <w:rsid w:val="78F30652"/>
    <w:rsid w:val="79121CB6"/>
    <w:rsid w:val="793C4B8F"/>
    <w:rsid w:val="79891112"/>
    <w:rsid w:val="79C35557"/>
    <w:rsid w:val="79D833A4"/>
    <w:rsid w:val="79F524B4"/>
    <w:rsid w:val="7A1202A4"/>
    <w:rsid w:val="7A2E485C"/>
    <w:rsid w:val="7A354EE0"/>
    <w:rsid w:val="7A6129B8"/>
    <w:rsid w:val="7A9864A6"/>
    <w:rsid w:val="7AA31C03"/>
    <w:rsid w:val="7ABD6174"/>
    <w:rsid w:val="7ABF4DE4"/>
    <w:rsid w:val="7AC52BAB"/>
    <w:rsid w:val="7B115ABC"/>
    <w:rsid w:val="7B1E3151"/>
    <w:rsid w:val="7B6223B7"/>
    <w:rsid w:val="7B6C169C"/>
    <w:rsid w:val="7B7A288F"/>
    <w:rsid w:val="7B821819"/>
    <w:rsid w:val="7B970ACB"/>
    <w:rsid w:val="7BA378A4"/>
    <w:rsid w:val="7BC44E97"/>
    <w:rsid w:val="7BD322DE"/>
    <w:rsid w:val="7BF43B23"/>
    <w:rsid w:val="7C155363"/>
    <w:rsid w:val="7C4B60AF"/>
    <w:rsid w:val="7C542537"/>
    <w:rsid w:val="7C6E6E53"/>
    <w:rsid w:val="7C994BEB"/>
    <w:rsid w:val="7CB67F5B"/>
    <w:rsid w:val="7CD777FC"/>
    <w:rsid w:val="7CF35DE2"/>
    <w:rsid w:val="7D0E1132"/>
    <w:rsid w:val="7D2428A3"/>
    <w:rsid w:val="7D450D65"/>
    <w:rsid w:val="7D9D035F"/>
    <w:rsid w:val="7D9F197C"/>
    <w:rsid w:val="7DB2665D"/>
    <w:rsid w:val="7E454C14"/>
    <w:rsid w:val="7E4A7E11"/>
    <w:rsid w:val="7E7F1FA8"/>
    <w:rsid w:val="7E9142D6"/>
    <w:rsid w:val="7E9B6AC9"/>
    <w:rsid w:val="7EA77065"/>
    <w:rsid w:val="7EAC3E3F"/>
    <w:rsid w:val="7EE32201"/>
    <w:rsid w:val="7EFD28EA"/>
    <w:rsid w:val="7F135177"/>
    <w:rsid w:val="7F1E6E3C"/>
    <w:rsid w:val="7F264BB1"/>
    <w:rsid w:val="7F56489A"/>
    <w:rsid w:val="7F773651"/>
    <w:rsid w:val="7F8F3D57"/>
    <w:rsid w:val="7FD14881"/>
    <w:rsid w:val="7FD50AB1"/>
    <w:rsid w:val="7FE57797"/>
    <w:rsid w:val="CFBD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cs="宋体"/>
      <w:b/>
      <w:kern w:val="0"/>
      <w:sz w:val="36"/>
      <w:szCs w:val="36"/>
    </w:rPr>
  </w:style>
  <w:style w:type="paragraph" w:styleId="6">
    <w:name w:val="heading 3"/>
    <w:basedOn w:val="1"/>
    <w:next w:val="1"/>
    <w:link w:val="126"/>
    <w:qFormat/>
    <w:uiPriority w:val="1"/>
    <w:pPr>
      <w:spacing w:beforeAutospacing="1" w:afterAutospacing="1"/>
      <w:jc w:val="left"/>
      <w:outlineLvl w:val="2"/>
    </w:pPr>
    <w:rPr>
      <w:rFonts w:hint="eastAsia" w:ascii="宋体" w:hAnsi="宋体"/>
      <w:b/>
      <w:bCs/>
      <w:kern w:val="0"/>
      <w:sz w:val="27"/>
      <w:szCs w:val="27"/>
    </w:rPr>
  </w:style>
  <w:style w:type="paragraph" w:styleId="7">
    <w:name w:val="heading 4"/>
    <w:basedOn w:val="1"/>
    <w:next w:val="1"/>
    <w:qFormat/>
    <w:uiPriority w:val="0"/>
    <w:pPr>
      <w:keepNext/>
      <w:keepLines/>
      <w:spacing w:line="440" w:lineRule="exact"/>
      <w:ind w:firstLine="200" w:firstLineChars="200"/>
      <w:outlineLvl w:val="3"/>
    </w:pPr>
    <w:rPr>
      <w:rFonts w:ascii="Calibri Light" w:hAnsi="Calibri Light"/>
      <w:bCs/>
      <w:sz w:val="24"/>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qFormat/>
    <w:uiPriority w:val="0"/>
    <w:pPr>
      <w:widowControl w:val="0"/>
      <w:autoSpaceDE w:val="0"/>
      <w:autoSpaceDN w:val="0"/>
      <w:adjustRightInd w:val="0"/>
    </w:pPr>
    <w:rPr>
      <w:rFonts w:ascii="宋体" w:eastAsia="宋体" w:cs="宋体"/>
      <w:color w:val="000000"/>
      <w:sz w:val="24"/>
      <w:szCs w:val="24"/>
      <w:lang w:val="en-US" w:eastAsia="zh-CN"/>
    </w:rPr>
  </w:style>
  <w:style w:type="paragraph" w:customStyle="1" w:styleId="3">
    <w:name w:val="Normal_14_0"/>
    <w:qFormat/>
    <w:uiPriority w:val="0"/>
    <w:pPr>
      <w:spacing w:before="120" w:after="240"/>
      <w:jc w:val="both"/>
    </w:pPr>
    <w:rPr>
      <w:rFonts w:ascii="Calibri" w:hAnsi="Calibri" w:eastAsia="Calibri" w:cs="Times New Roman"/>
      <w:sz w:val="22"/>
      <w:szCs w:val="22"/>
      <w:lang w:val="ru-RU" w:eastAsia="en-US" w:bidi="ar-SA"/>
    </w:rPr>
  </w:style>
  <w:style w:type="paragraph" w:styleId="8">
    <w:name w:val="List 3"/>
    <w:basedOn w:val="1"/>
    <w:qFormat/>
    <w:uiPriority w:val="0"/>
    <w:pPr>
      <w:ind w:left="100" w:leftChars="400" w:hanging="200" w:hangingChars="200"/>
    </w:pPr>
    <w:rPr>
      <w:rFonts w:eastAsia="仿宋_GB2312"/>
    </w:rPr>
  </w:style>
  <w:style w:type="paragraph" w:styleId="9">
    <w:name w:val="table of authorities"/>
    <w:basedOn w:val="1"/>
    <w:next w:val="1"/>
    <w:qFormat/>
    <w:uiPriority w:val="0"/>
    <w:pPr>
      <w:spacing w:line="360" w:lineRule="auto"/>
      <w:ind w:firstLine="720" w:firstLineChars="200"/>
    </w:pPr>
    <w:rPr>
      <w:sz w:val="24"/>
    </w:rPr>
  </w:style>
  <w:style w:type="paragraph" w:styleId="10">
    <w:name w:val="E-mail Signature"/>
    <w:basedOn w:val="1"/>
    <w:next w:val="11"/>
    <w:qFormat/>
    <w:uiPriority w:val="0"/>
  </w:style>
  <w:style w:type="paragraph" w:customStyle="1" w:styleId="11">
    <w:name w:val="xl84"/>
    <w:basedOn w:val="1"/>
    <w:next w:val="12"/>
    <w:qFormat/>
    <w:uiPriority w:val="0"/>
    <w:pPr>
      <w:widowControl/>
      <w:pBdr>
        <w:top w:val="single" w:color="auto" w:sz="8" w:space="0"/>
        <w:left w:val="single" w:color="auto" w:sz="8" w:space="0"/>
      </w:pBdr>
      <w:spacing w:before="100" w:beforeAutospacing="1" w:after="100" w:afterAutospacing="1"/>
      <w:jc w:val="center"/>
    </w:pPr>
    <w:rPr>
      <w:rFonts w:ascii="宋体" w:hAnsi="宋体" w:cs="宋体"/>
      <w:sz w:val="18"/>
      <w:szCs w:val="18"/>
    </w:rPr>
  </w:style>
  <w:style w:type="paragraph" w:customStyle="1" w:styleId="12">
    <w:name w:val="et15"/>
    <w:basedOn w:val="1"/>
    <w:next w:val="13"/>
    <w:qFormat/>
    <w:uiPriority w:val="0"/>
    <w:pPr>
      <w:widowControl/>
      <w:shd w:val="clear" w:color="000000" w:fill="FFFFFF"/>
      <w:spacing w:before="280" w:after="280"/>
    </w:pPr>
    <w:rPr>
      <w:rFonts w:ascii="宋体"/>
      <w:color w:val="000000"/>
      <w:sz w:val="20"/>
    </w:rPr>
  </w:style>
  <w:style w:type="paragraph" w:styleId="13">
    <w:name w:val="Signature"/>
    <w:basedOn w:val="1"/>
    <w:next w:val="1"/>
    <w:qFormat/>
    <w:uiPriority w:val="0"/>
    <w:pPr>
      <w:ind w:left="100"/>
    </w:pPr>
  </w:style>
  <w:style w:type="paragraph" w:styleId="14">
    <w:name w:val="Normal Indent"/>
    <w:basedOn w:val="1"/>
    <w:next w:val="15"/>
    <w:qFormat/>
    <w:uiPriority w:val="0"/>
    <w:pPr>
      <w:adjustRightInd w:val="0"/>
      <w:textAlignment w:val="baseline"/>
    </w:pPr>
    <w:rPr>
      <w:szCs w:val="21"/>
    </w:rPr>
  </w:style>
  <w:style w:type="paragraph" w:customStyle="1" w:styleId="15">
    <w:name w:val="样式 标题 2 + 三号1"/>
    <w:basedOn w:val="5"/>
    <w:next w:val="1"/>
    <w:qFormat/>
    <w:uiPriority w:val="99"/>
    <w:pPr>
      <w:numPr>
        <w:ilvl w:val="1"/>
        <w:numId w:val="1"/>
      </w:numPr>
      <w:tabs>
        <w:tab w:val="clear" w:pos="576"/>
      </w:tabs>
      <w:spacing w:line="480" w:lineRule="auto"/>
      <w:ind w:left="718"/>
    </w:pPr>
    <w:rPr>
      <w:sz w:val="32"/>
    </w:rPr>
  </w:style>
  <w:style w:type="paragraph" w:styleId="16">
    <w:name w:val="caption"/>
    <w:basedOn w:val="1"/>
    <w:next w:val="17"/>
    <w:qFormat/>
    <w:uiPriority w:val="0"/>
    <w:rPr>
      <w:rFonts w:ascii="Arial" w:hAnsi="Arial" w:eastAsia="黑体" w:cs="Arial"/>
      <w:sz w:val="20"/>
      <w:szCs w:val="20"/>
    </w:rPr>
  </w:style>
  <w:style w:type="paragraph" w:customStyle="1" w:styleId="17">
    <w:name w:val="报告正文"/>
    <w:qFormat/>
    <w:uiPriority w:val="0"/>
    <w:pPr>
      <w:adjustRightInd w:val="0"/>
      <w:snapToGrid w:val="0"/>
      <w:spacing w:line="360" w:lineRule="auto"/>
      <w:ind w:firstLine="200" w:firstLineChars="200"/>
    </w:pPr>
    <w:rPr>
      <w:rFonts w:ascii="Calibri" w:hAnsi="Calibri" w:eastAsia="宋体" w:cs="Times New Roman"/>
      <w:bCs/>
      <w:kern w:val="44"/>
      <w:sz w:val="24"/>
      <w:szCs w:val="44"/>
      <w:lang w:val="en-US" w:eastAsia="zh-CN" w:bidi="ar-SA"/>
    </w:rPr>
  </w:style>
  <w:style w:type="paragraph" w:styleId="18">
    <w:name w:val="annotation text"/>
    <w:basedOn w:val="1"/>
    <w:link w:val="160"/>
    <w:qFormat/>
    <w:uiPriority w:val="0"/>
    <w:pPr>
      <w:jc w:val="left"/>
    </w:pPr>
  </w:style>
  <w:style w:type="paragraph" w:styleId="19">
    <w:name w:val="Salutation"/>
    <w:basedOn w:val="1"/>
    <w:next w:val="1"/>
    <w:qFormat/>
    <w:uiPriority w:val="0"/>
  </w:style>
  <w:style w:type="paragraph" w:styleId="20">
    <w:name w:val="Body Text 3"/>
    <w:basedOn w:val="1"/>
    <w:qFormat/>
    <w:uiPriority w:val="0"/>
    <w:pPr>
      <w:jc w:val="center"/>
    </w:pPr>
    <w:rPr>
      <w:szCs w:val="16"/>
    </w:rPr>
  </w:style>
  <w:style w:type="paragraph" w:styleId="21">
    <w:name w:val="Closing"/>
    <w:basedOn w:val="1"/>
    <w:next w:val="22"/>
    <w:qFormat/>
    <w:uiPriority w:val="0"/>
    <w:pPr>
      <w:ind w:left="100" w:leftChars="2100"/>
    </w:pPr>
    <w:rPr>
      <w:sz w:val="28"/>
    </w:rPr>
  </w:style>
  <w:style w:type="paragraph" w:customStyle="1" w:styleId="22">
    <w:name w:val="Char Char1 Char Char Char Char Char Char Char Char Char Char Char Char Char Char Char Char Char Char"/>
    <w:basedOn w:val="1"/>
    <w:next w:val="10"/>
    <w:qFormat/>
    <w:uiPriority w:val="0"/>
    <w:pPr>
      <w:widowControl/>
      <w:spacing w:after="160" w:line="240" w:lineRule="exact"/>
    </w:pPr>
    <w:rPr>
      <w:rFonts w:ascii="宋体" w:hAnsi="宋体" w:eastAsia="Times New Roman"/>
      <w:sz w:val="20"/>
    </w:rPr>
  </w:style>
  <w:style w:type="paragraph" w:styleId="23">
    <w:name w:val="Body Text"/>
    <w:basedOn w:val="1"/>
    <w:next w:val="21"/>
    <w:qFormat/>
    <w:uiPriority w:val="0"/>
    <w:pPr>
      <w:spacing w:before="29"/>
      <w:ind w:left="105"/>
    </w:pPr>
    <w:rPr>
      <w:sz w:val="24"/>
    </w:rPr>
  </w:style>
  <w:style w:type="paragraph" w:styleId="24">
    <w:name w:val="Body Text Indent"/>
    <w:basedOn w:val="1"/>
    <w:next w:val="25"/>
    <w:qFormat/>
    <w:uiPriority w:val="0"/>
    <w:pPr>
      <w:ind w:firstLine="560"/>
    </w:pPr>
    <w:rPr>
      <w:rFonts w:ascii="宋体" w:hAnsi="宋体"/>
      <w:sz w:val="28"/>
    </w:rPr>
  </w:style>
  <w:style w:type="paragraph" w:styleId="2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Plain Text"/>
    <w:basedOn w:val="1"/>
    <w:qFormat/>
    <w:uiPriority w:val="0"/>
    <w:pPr>
      <w:spacing w:line="240" w:lineRule="atLeast"/>
    </w:pPr>
    <w:rPr>
      <w:rFonts w:ascii="宋体" w:hAnsi="Courier New"/>
      <w:sz w:val="28"/>
      <w:szCs w:val="21"/>
    </w:rPr>
  </w:style>
  <w:style w:type="paragraph" w:styleId="27">
    <w:name w:val="Body Text Indent 2"/>
    <w:basedOn w:val="1"/>
    <w:next w:val="28"/>
    <w:qFormat/>
    <w:uiPriority w:val="0"/>
    <w:pPr>
      <w:ind w:firstLine="570"/>
    </w:pPr>
    <w:rPr>
      <w:szCs w:val="28"/>
    </w:rPr>
  </w:style>
  <w:style w:type="paragraph" w:styleId="28">
    <w:name w:val="Body Text First Indent 2"/>
    <w:basedOn w:val="1"/>
    <w:next w:val="1"/>
    <w:qFormat/>
    <w:uiPriority w:val="99"/>
    <w:pPr>
      <w:spacing w:after="120"/>
      <w:ind w:left="420" w:leftChars="200" w:firstLine="420"/>
    </w:pPr>
  </w:style>
  <w:style w:type="paragraph" w:styleId="29">
    <w:name w:val="List Continue 5"/>
    <w:basedOn w:val="1"/>
    <w:qFormat/>
    <w:uiPriority w:val="0"/>
    <w:pPr>
      <w:spacing w:after="120"/>
      <w:ind w:left="2100" w:leftChars="1000"/>
      <w:contextualSpacing/>
    </w:pPr>
  </w:style>
  <w:style w:type="paragraph" w:styleId="30">
    <w:name w:val="Balloon Text"/>
    <w:basedOn w:val="1"/>
    <w:link w:val="162"/>
    <w:qFormat/>
    <w:uiPriority w:val="0"/>
    <w:rPr>
      <w:sz w:val="18"/>
      <w:szCs w:val="18"/>
    </w:rPr>
  </w:style>
  <w:style w:type="paragraph" w:styleId="31">
    <w:name w:val="footer"/>
    <w:basedOn w:val="1"/>
    <w:qFormat/>
    <w:uiPriority w:val="99"/>
    <w:pPr>
      <w:tabs>
        <w:tab w:val="center" w:pos="4153"/>
        <w:tab w:val="right" w:pos="8306"/>
      </w:tabs>
      <w:snapToGrid w:val="0"/>
      <w:jc w:val="left"/>
    </w:pPr>
    <w:rPr>
      <w:kern w:val="0"/>
      <w:sz w:val="18"/>
      <w:szCs w:val="20"/>
    </w:rPr>
  </w:style>
  <w:style w:type="paragraph" w:styleId="32">
    <w:name w:val="index heading"/>
    <w:basedOn w:val="1"/>
    <w:next w:val="33"/>
    <w:semiHidden/>
    <w:qFormat/>
    <w:uiPriority w:val="0"/>
    <w:rPr>
      <w:rFonts w:ascii="Arial" w:hAnsi="Arial" w:cs="Arial"/>
      <w:b/>
      <w:bCs/>
    </w:rPr>
  </w:style>
  <w:style w:type="paragraph" w:styleId="33">
    <w:name w:val="index 1"/>
    <w:basedOn w:val="1"/>
    <w:next w:val="1"/>
    <w:qFormat/>
    <w:uiPriority w:val="0"/>
    <w:pPr>
      <w:adjustRightInd w:val="0"/>
      <w:snapToGrid w:val="0"/>
      <w:spacing w:line="320" w:lineRule="exact"/>
      <w:jc w:val="center"/>
    </w:pPr>
    <w:rPr>
      <w:szCs w:val="21"/>
    </w:rPr>
  </w:style>
  <w:style w:type="paragraph" w:styleId="34">
    <w:name w:val="List"/>
    <w:basedOn w:val="1"/>
    <w:qFormat/>
    <w:uiPriority w:val="0"/>
    <w:pPr>
      <w:ind w:left="200" w:hanging="200" w:hangingChars="200"/>
    </w:pPr>
  </w:style>
  <w:style w:type="paragraph" w:styleId="35">
    <w:name w:val="Body Text 2"/>
    <w:basedOn w:val="1"/>
    <w:next w:val="1"/>
    <w:qFormat/>
    <w:uiPriority w:val="0"/>
    <w:pPr>
      <w:spacing w:after="120" w:line="480" w:lineRule="auto"/>
    </w:pPr>
  </w:style>
  <w:style w:type="paragraph" w:styleId="3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37">
    <w:name w:val="annotation subject"/>
    <w:basedOn w:val="18"/>
    <w:next w:val="18"/>
    <w:link w:val="161"/>
    <w:qFormat/>
    <w:uiPriority w:val="0"/>
    <w:rPr>
      <w:b/>
      <w:bCs/>
    </w:rPr>
  </w:style>
  <w:style w:type="paragraph" w:styleId="38">
    <w:name w:val="Body Text First Indent"/>
    <w:basedOn w:val="23"/>
    <w:next w:val="1"/>
    <w:qFormat/>
    <w:uiPriority w:val="99"/>
    <w:pPr>
      <w:spacing w:before="0" w:after="120"/>
      <w:ind w:left="0" w:firstLine="420" w:firstLineChars="100"/>
    </w:pPr>
    <w:rPr>
      <w:rFonts w:hint="eastAsia"/>
      <w:szCs w:val="20"/>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style>
  <w:style w:type="character" w:styleId="44">
    <w:name w:val="Hyperlink"/>
    <w:basedOn w:val="41"/>
    <w:qFormat/>
    <w:uiPriority w:val="0"/>
    <w:rPr>
      <w:color w:val="0000FF"/>
      <w:u w:val="single"/>
    </w:rPr>
  </w:style>
  <w:style w:type="character" w:styleId="45">
    <w:name w:val="annotation reference"/>
    <w:basedOn w:val="41"/>
    <w:qFormat/>
    <w:uiPriority w:val="0"/>
    <w:rPr>
      <w:sz w:val="21"/>
      <w:szCs w:val="21"/>
    </w:rPr>
  </w:style>
  <w:style w:type="paragraph" w:customStyle="1" w:styleId="46">
    <w:name w:val="xl27"/>
    <w:basedOn w:val="1"/>
    <w:qFormat/>
    <w:uiPriority w:val="0"/>
    <w:pPr>
      <w:widowControl/>
      <w:pBdr>
        <w:bottom w:val="single" w:color="auto" w:sz="12" w:space="0"/>
      </w:pBdr>
      <w:adjustRightInd w:val="0"/>
      <w:spacing w:before="100" w:after="100" w:line="360" w:lineRule="auto"/>
      <w:ind w:firstLine="576" w:firstLineChars="200"/>
      <w:jc w:val="center"/>
    </w:pPr>
    <w:rPr>
      <w:rFonts w:ascii="宋体" w:hAnsi="宋体" w:eastAsia="仿宋_GB2312"/>
      <w:spacing w:val="4"/>
      <w:kern w:val="0"/>
      <w:sz w:val="24"/>
    </w:rPr>
  </w:style>
  <w:style w:type="paragraph" w:customStyle="1" w:styleId="47">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48">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customStyle="1" w:styleId="49">
    <w:name w:val="样式 标题 1一级标题 + 段前: 0.5 行 段后: 0.5 行"/>
    <w:qFormat/>
    <w:uiPriority w:val="99"/>
    <w:pPr>
      <w:keepNext/>
      <w:keepLines/>
      <w:widowControl w:val="0"/>
      <w:snapToGrid w:val="0"/>
      <w:spacing w:line="320" w:lineRule="exact"/>
      <w:jc w:val="both"/>
    </w:pPr>
    <w:rPr>
      <w:rFonts w:ascii="Calibri" w:hAnsi="Calibri" w:eastAsia="黑体" w:cs="Times New Roman"/>
      <w:bCs/>
      <w:spacing w:val="-6"/>
      <w:kern w:val="44"/>
      <w:sz w:val="21"/>
      <w:szCs w:val="21"/>
      <w:lang w:val="en-US" w:eastAsia="zh-CN" w:bidi="ar-SA"/>
    </w:rPr>
  </w:style>
  <w:style w:type="paragraph" w:customStyle="1" w:styleId="50">
    <w:name w:val="YH正文"/>
    <w:basedOn w:val="1"/>
    <w:qFormat/>
    <w:uiPriority w:val="0"/>
    <w:pPr>
      <w:autoSpaceDE w:val="0"/>
      <w:autoSpaceDN w:val="0"/>
      <w:adjustRightInd w:val="0"/>
      <w:ind w:left="50" w:leftChars="50" w:right="50" w:rightChars="50" w:firstLine="200"/>
      <w:jc w:val="left"/>
    </w:pPr>
    <w:rPr>
      <w:szCs w:val="21"/>
    </w:rPr>
  </w:style>
  <w:style w:type="paragraph" w:customStyle="1" w:styleId="51">
    <w:name w:val="Default"/>
    <w:basedOn w:val="52"/>
    <w:next w:val="28"/>
    <w:qFormat/>
    <w:uiPriority w:val="99"/>
    <w:pPr>
      <w:autoSpaceDE w:val="0"/>
      <w:autoSpaceDN w:val="0"/>
    </w:pPr>
    <w:rPr>
      <w:rFonts w:ascii="宋体" w:cs="宋体"/>
      <w:sz w:val="24"/>
    </w:rPr>
  </w:style>
  <w:style w:type="paragraph" w:customStyle="1" w:styleId="5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3">
    <w:name w:val="_正文格式"/>
    <w:basedOn w:val="1"/>
    <w:qFormat/>
    <w:uiPriority w:val="0"/>
    <w:pPr>
      <w:spacing w:line="480" w:lineRule="exact"/>
      <w:ind w:firstLine="567"/>
    </w:pPr>
    <w:rPr>
      <w:rFonts w:eastAsia="仿宋_GB2312"/>
      <w:sz w:val="28"/>
    </w:rPr>
  </w:style>
  <w:style w:type="paragraph" w:customStyle="1" w:styleId="54">
    <w:name w:val="标号正文"/>
    <w:basedOn w:val="1"/>
    <w:next w:val="1"/>
    <w:qFormat/>
    <w:uiPriority w:val="0"/>
    <w:pPr>
      <w:tabs>
        <w:tab w:val="left" w:pos="1540"/>
      </w:tabs>
      <w:overflowPunct w:val="0"/>
      <w:snapToGrid w:val="0"/>
      <w:spacing w:line="360" w:lineRule="auto"/>
      <w:ind w:firstLine="1040"/>
      <w:jc w:val="left"/>
    </w:pPr>
    <w:rPr>
      <w:rFonts w:ascii="Arial" w:hAnsi="Arial"/>
      <w:sz w:val="24"/>
      <w:szCs w:val="20"/>
    </w:rPr>
  </w:style>
  <w:style w:type="paragraph" w:customStyle="1" w:styleId="55">
    <w:name w:val="表头"/>
    <w:basedOn w:val="34"/>
    <w:next w:val="1"/>
    <w:qFormat/>
    <w:uiPriority w:val="0"/>
    <w:pPr>
      <w:spacing w:beforeLines="50"/>
      <w:jc w:val="center"/>
    </w:pPr>
    <w:rPr>
      <w:b/>
    </w:rPr>
  </w:style>
  <w:style w:type="paragraph" w:customStyle="1" w:styleId="56">
    <w:name w:val="样式1"/>
    <w:basedOn w:val="32"/>
    <w:next w:val="1"/>
    <w:qFormat/>
    <w:uiPriority w:val="0"/>
    <w:pPr>
      <w:spacing w:line="360" w:lineRule="auto"/>
      <w:ind w:firstLine="425"/>
    </w:pPr>
    <w:rPr>
      <w:kern w:val="44"/>
    </w:rPr>
  </w:style>
  <w:style w:type="paragraph" w:customStyle="1" w:styleId="57">
    <w:name w:val="表格文字"/>
    <w:basedOn w:val="1"/>
    <w:qFormat/>
    <w:uiPriority w:val="0"/>
    <w:pPr>
      <w:jc w:val="center"/>
    </w:pPr>
  </w:style>
  <w:style w:type="paragraph" w:customStyle="1" w:styleId="58">
    <w:name w:val="表格"/>
    <w:basedOn w:val="23"/>
    <w:next w:val="1"/>
    <w:qFormat/>
    <w:uiPriority w:val="0"/>
    <w:pPr>
      <w:adjustRightInd w:val="0"/>
      <w:snapToGrid w:val="0"/>
      <w:ind w:left="0"/>
    </w:pPr>
    <w:rPr>
      <w:kern w:val="0"/>
      <w:szCs w:val="21"/>
    </w:rPr>
  </w:style>
  <w:style w:type="paragraph" w:customStyle="1" w:styleId="59">
    <w:name w:val="表格内表格正文"/>
    <w:basedOn w:val="1"/>
    <w:qFormat/>
    <w:uiPriority w:val="0"/>
    <w:pPr>
      <w:jc w:val="center"/>
    </w:pPr>
    <w:rPr>
      <w:szCs w:val="21"/>
    </w:rPr>
  </w:style>
  <w:style w:type="paragraph" w:customStyle="1" w:styleId="60">
    <w:name w:val="0.5正文"/>
    <w:basedOn w:val="1"/>
    <w:next w:val="1"/>
    <w:qFormat/>
    <w:uiPriority w:val="0"/>
    <w:pPr>
      <w:spacing w:beforeLines="50"/>
    </w:pPr>
  </w:style>
  <w:style w:type="character" w:customStyle="1" w:styleId="61">
    <w:name w:val="fontstyle21"/>
    <w:basedOn w:val="41"/>
    <w:qFormat/>
    <w:uiPriority w:val="0"/>
    <w:rPr>
      <w:rFonts w:ascii="宋体" w:hAnsi="宋体" w:eastAsia="宋体" w:cs="宋体"/>
      <w:color w:val="000000"/>
      <w:sz w:val="24"/>
      <w:szCs w:val="24"/>
    </w:rPr>
  </w:style>
  <w:style w:type="paragraph" w:customStyle="1" w:styleId="62">
    <w:name w:val="D表内"/>
    <w:basedOn w:val="63"/>
    <w:qFormat/>
    <w:uiPriority w:val="0"/>
    <w:pPr>
      <w:spacing w:before="40" w:after="40"/>
    </w:pPr>
  </w:style>
  <w:style w:type="paragraph" w:customStyle="1" w:styleId="63">
    <w:name w:val="图表"/>
    <w:basedOn w:val="1"/>
    <w:qFormat/>
    <w:uiPriority w:val="0"/>
    <w:pPr>
      <w:spacing w:before="120" w:after="120"/>
      <w:jc w:val="center"/>
    </w:pPr>
    <w:rPr>
      <w:szCs w:val="21"/>
    </w:rPr>
  </w:style>
  <w:style w:type="paragraph" w:customStyle="1" w:styleId="64">
    <w:name w:val="正文2"/>
    <w:basedOn w:val="1"/>
    <w:qFormat/>
    <w:uiPriority w:val="0"/>
    <w:pPr>
      <w:adjustRightInd w:val="0"/>
      <w:spacing w:line="360" w:lineRule="auto"/>
      <w:ind w:firstLine="480" w:firstLineChars="200"/>
      <w:textAlignment w:val="baseline"/>
    </w:pPr>
    <w:rPr>
      <w:rFonts w:ascii="宋体" w:hAnsi="宋体" w:cs="宋体"/>
      <w:kern w:val="21"/>
      <w:sz w:val="24"/>
    </w:rPr>
  </w:style>
  <w:style w:type="paragraph" w:styleId="65">
    <w:name w:val="List Paragraph"/>
    <w:basedOn w:val="1"/>
    <w:qFormat/>
    <w:uiPriority w:val="1"/>
    <w:pPr>
      <w:ind w:left="1429" w:hanging="602"/>
    </w:pPr>
    <w:rPr>
      <w:rFonts w:ascii="宋体" w:hAnsi="宋体" w:cs="宋体"/>
    </w:rPr>
  </w:style>
  <w:style w:type="paragraph" w:customStyle="1" w:styleId="66">
    <w:name w:val="样式 样式 样式 宋体 小四 行距: 多倍行距 1.4 字行2 + 黑色 + Times New Roman1"/>
    <w:basedOn w:val="1"/>
    <w:qFormat/>
    <w:uiPriority w:val="0"/>
    <w:pPr>
      <w:spacing w:line="360" w:lineRule="auto"/>
      <w:ind w:firstLine="200" w:firstLineChars="200"/>
    </w:pPr>
    <w:rPr>
      <w:rFonts w:cs="宋体"/>
      <w:color w:val="000000"/>
      <w:sz w:val="24"/>
    </w:rPr>
  </w:style>
  <w:style w:type="paragraph" w:customStyle="1" w:styleId="67">
    <w:name w:val="aa正文"/>
    <w:basedOn w:val="1"/>
    <w:qFormat/>
    <w:uiPriority w:val="0"/>
    <w:pPr>
      <w:spacing w:line="360" w:lineRule="auto"/>
      <w:ind w:firstLine="200" w:firstLineChars="200"/>
    </w:pPr>
    <w:rPr>
      <w:sz w:val="24"/>
    </w:rPr>
  </w:style>
  <w:style w:type="paragraph" w:customStyle="1" w:styleId="68">
    <w:name w:val="HJN-ZZ"/>
    <w:basedOn w:val="1"/>
    <w:qFormat/>
    <w:uiPriority w:val="0"/>
    <w:pPr>
      <w:spacing w:line="360" w:lineRule="auto"/>
      <w:ind w:firstLine="482"/>
      <w:jc w:val="left"/>
      <w:textAlignment w:val="baseline"/>
    </w:pPr>
    <w:rPr>
      <w:rFonts w:hint="eastAsia" w:ascii="宋体" w:hAnsi="宋体"/>
      <w:kern w:val="21"/>
      <w:sz w:val="24"/>
    </w:rPr>
  </w:style>
  <w:style w:type="paragraph" w:customStyle="1" w:styleId="69">
    <w:name w:val="yt正文"/>
    <w:basedOn w:val="1"/>
    <w:qFormat/>
    <w:uiPriority w:val="0"/>
    <w:pPr>
      <w:spacing w:line="360" w:lineRule="auto"/>
      <w:ind w:firstLine="1446" w:firstLineChars="200"/>
    </w:pPr>
    <w:rPr>
      <w:sz w:val="24"/>
    </w:rPr>
  </w:style>
  <w:style w:type="character" w:customStyle="1" w:styleId="70">
    <w:name w:val="三标"/>
    <w:qFormat/>
    <w:uiPriority w:val="0"/>
    <w:rPr>
      <w:rFonts w:ascii="Times New Roman" w:hAnsi="Times New Roman"/>
      <w:b/>
      <w:sz w:val="24"/>
    </w:rPr>
  </w:style>
  <w:style w:type="paragraph" w:customStyle="1" w:styleId="71">
    <w:name w:val="正字"/>
    <w:basedOn w:val="38"/>
    <w:next w:val="28"/>
    <w:qFormat/>
    <w:uiPriority w:val="0"/>
  </w:style>
  <w:style w:type="paragraph" w:customStyle="1" w:styleId="72">
    <w:name w:val="样式 小四 行距: 1.5 倍行距"/>
    <w:basedOn w:val="1"/>
    <w:qFormat/>
    <w:uiPriority w:val="0"/>
    <w:pPr>
      <w:ind w:firstLine="480" w:firstLineChars="200"/>
    </w:pPr>
    <w:rPr>
      <w:rFonts w:cs="宋体"/>
    </w:rPr>
  </w:style>
  <w:style w:type="paragraph" w:customStyle="1" w:styleId="73">
    <w:name w:val="正文01"/>
    <w:basedOn w:val="1"/>
    <w:qFormat/>
    <w:uiPriority w:val="0"/>
    <w:pPr>
      <w:adjustRightInd w:val="0"/>
      <w:snapToGrid w:val="0"/>
      <w:spacing w:line="360" w:lineRule="auto"/>
      <w:ind w:firstLine="200" w:firstLineChars="200"/>
    </w:pPr>
    <w:rPr>
      <w:sz w:val="24"/>
    </w:rPr>
  </w:style>
  <w:style w:type="paragraph" w:customStyle="1" w:styleId="74">
    <w:name w:val="正文样式"/>
    <w:basedOn w:val="1"/>
    <w:qFormat/>
    <w:uiPriority w:val="0"/>
    <w:pPr>
      <w:spacing w:line="360" w:lineRule="auto"/>
      <w:ind w:right="170" w:firstLine="480" w:firstLineChars="200"/>
    </w:pPr>
    <w:rPr>
      <w:rFonts w:hAnsi="宋体"/>
      <w:sz w:val="24"/>
    </w:rPr>
  </w:style>
  <w:style w:type="paragraph" w:customStyle="1" w:styleId="75">
    <w:name w:val="Other|1"/>
    <w:basedOn w:val="1"/>
    <w:qFormat/>
    <w:uiPriority w:val="0"/>
    <w:rPr>
      <w:rFonts w:ascii="宋体" w:hAnsi="宋体" w:cs="宋体"/>
      <w:sz w:val="19"/>
      <w:szCs w:val="19"/>
      <w:lang w:val="zh-TW" w:eastAsia="zh-TW" w:bidi="zh-TW"/>
    </w:rPr>
  </w:style>
  <w:style w:type="paragraph" w:customStyle="1" w:styleId="76">
    <w:name w:val="正文王"/>
    <w:basedOn w:val="77"/>
    <w:qFormat/>
    <w:uiPriority w:val="0"/>
    <w:pPr>
      <w:ind w:firstLine="720" w:firstLineChars="200"/>
      <w:outlineLvl w:val="9"/>
    </w:pPr>
    <w:rPr>
      <w:rFonts w:eastAsia="宋体"/>
      <w:b w:val="0"/>
      <w:sz w:val="24"/>
    </w:rPr>
  </w:style>
  <w:style w:type="paragraph" w:customStyle="1" w:styleId="77">
    <w:name w:val="标题三王"/>
    <w:basedOn w:val="78"/>
    <w:qFormat/>
    <w:uiPriority w:val="0"/>
    <w:pPr>
      <w:spacing w:beforeLines="50" w:afterLines="20"/>
      <w:outlineLvl w:val="2"/>
    </w:pPr>
    <w:rPr>
      <w:sz w:val="28"/>
    </w:rPr>
  </w:style>
  <w:style w:type="paragraph" w:customStyle="1" w:styleId="78">
    <w:name w:val="标题二王"/>
    <w:basedOn w:val="1"/>
    <w:qFormat/>
    <w:uiPriority w:val="0"/>
    <w:pPr>
      <w:spacing w:beforeLines="100" w:afterLines="50" w:line="360" w:lineRule="auto"/>
      <w:outlineLvl w:val="1"/>
    </w:pPr>
    <w:rPr>
      <w:rFonts w:eastAsia="黑体"/>
      <w:b/>
      <w:sz w:val="32"/>
    </w:rPr>
  </w:style>
  <w:style w:type="paragraph" w:customStyle="1" w:styleId="79">
    <w:name w:val="D表内1磅"/>
    <w:basedOn w:val="80"/>
    <w:qFormat/>
    <w:uiPriority w:val="0"/>
    <w:pPr>
      <w:spacing w:before="20" w:after="20"/>
    </w:pPr>
    <w:rPr>
      <w:rFonts w:ascii="Times New Roman"/>
      <w:spacing w:val="0"/>
    </w:rPr>
  </w:style>
  <w:style w:type="paragraph" w:customStyle="1" w:styleId="80">
    <w:name w:val="D表内0磅"/>
    <w:basedOn w:val="62"/>
    <w:qFormat/>
    <w:uiPriority w:val="0"/>
    <w:rPr>
      <w:rFonts w:ascii="仿宋_GB2312"/>
      <w:spacing w:val="4"/>
    </w:rPr>
  </w:style>
  <w:style w:type="paragraph" w:customStyle="1" w:styleId="81">
    <w:name w:val="B正文"/>
    <w:basedOn w:val="1"/>
    <w:qFormat/>
    <w:uiPriority w:val="0"/>
    <w:pPr>
      <w:spacing w:line="360" w:lineRule="auto"/>
      <w:ind w:firstLine="200" w:firstLineChars="200"/>
    </w:pPr>
    <w:rPr>
      <w:kern w:val="0"/>
      <w:sz w:val="24"/>
    </w:rPr>
  </w:style>
  <w:style w:type="paragraph" w:customStyle="1" w:styleId="82">
    <w:name w:val="正文1 Char"/>
    <w:basedOn w:val="1"/>
    <w:qFormat/>
    <w:uiPriority w:val="0"/>
    <w:pPr>
      <w:spacing w:line="360" w:lineRule="auto"/>
      <w:ind w:firstLine="480" w:firstLineChars="200"/>
    </w:pPr>
    <w:rPr>
      <w:rFonts w:ascii="宋体" w:hAnsi="宋体"/>
      <w:kern w:val="21"/>
      <w:sz w:val="24"/>
    </w:rPr>
  </w:style>
  <w:style w:type="paragraph" w:customStyle="1" w:styleId="83">
    <w:name w:val="表格文本"/>
    <w:basedOn w:val="1"/>
    <w:qFormat/>
    <w:uiPriority w:val="0"/>
    <w:pPr>
      <w:adjustRightInd w:val="0"/>
      <w:snapToGrid w:val="0"/>
      <w:jc w:val="center"/>
    </w:pPr>
    <w:rPr>
      <w:szCs w:val="21"/>
    </w:rPr>
  </w:style>
  <w:style w:type="paragraph" w:customStyle="1" w:styleId="84">
    <w:name w:val="正本文字"/>
    <w:basedOn w:val="1"/>
    <w:qFormat/>
    <w:uiPriority w:val="0"/>
    <w:pPr>
      <w:adjustRightInd w:val="0"/>
      <w:snapToGrid w:val="0"/>
      <w:spacing w:line="360" w:lineRule="auto"/>
      <w:ind w:firstLine="200" w:firstLineChars="200"/>
      <w:jc w:val="left"/>
    </w:pPr>
    <w:rPr>
      <w:rFonts w:cs="宋体"/>
      <w:kern w:val="18"/>
      <w:sz w:val="24"/>
    </w:rPr>
  </w:style>
  <w:style w:type="paragraph" w:customStyle="1" w:styleId="85">
    <w:name w:val="Table Paragraph"/>
    <w:basedOn w:val="1"/>
    <w:qFormat/>
    <w:uiPriority w:val="1"/>
    <w:rPr>
      <w:rFonts w:ascii="宋体" w:hAnsi="宋体" w:cs="宋体"/>
      <w:lang w:val="zh-CN" w:bidi="zh-CN"/>
    </w:rPr>
  </w:style>
  <w:style w:type="paragraph" w:customStyle="1" w:styleId="86">
    <w:name w:val="表标题"/>
    <w:basedOn w:val="1"/>
    <w:qFormat/>
    <w:uiPriority w:val="0"/>
    <w:pPr>
      <w:jc w:val="center"/>
    </w:pPr>
    <w:rPr>
      <w:b/>
      <w:kern w:val="0"/>
      <w:szCs w:val="20"/>
    </w:rPr>
  </w:style>
  <w:style w:type="paragraph" w:customStyle="1" w:styleId="87">
    <w:name w:val="表字体"/>
    <w:basedOn w:val="1"/>
    <w:next w:val="1"/>
    <w:qFormat/>
    <w:uiPriority w:val="0"/>
    <w:pPr>
      <w:jc w:val="center"/>
    </w:pPr>
    <w:rPr>
      <w:kern w:val="0"/>
      <w:szCs w:val="20"/>
    </w:rPr>
  </w:style>
  <w:style w:type="paragraph" w:customStyle="1" w:styleId="88">
    <w:name w:val="正文1"/>
    <w:basedOn w:val="1"/>
    <w:qFormat/>
    <w:uiPriority w:val="0"/>
    <w:pPr>
      <w:spacing w:line="360" w:lineRule="auto"/>
      <w:ind w:firstLine="723" w:firstLineChars="200"/>
    </w:pPr>
    <w:rPr>
      <w:kern w:val="0"/>
      <w:szCs w:val="20"/>
    </w:rPr>
  </w:style>
  <w:style w:type="paragraph" w:customStyle="1" w:styleId="89">
    <w:name w:val="表头1"/>
    <w:basedOn w:val="1"/>
    <w:next w:val="90"/>
    <w:qFormat/>
    <w:uiPriority w:val="0"/>
    <w:pPr>
      <w:adjustRightInd w:val="0"/>
      <w:snapToGrid w:val="0"/>
      <w:jc w:val="center"/>
    </w:pPr>
    <w:rPr>
      <w:b/>
      <w:szCs w:val="21"/>
    </w:rPr>
  </w:style>
  <w:style w:type="paragraph" w:customStyle="1" w:styleId="90">
    <w:name w:val="表 格"/>
    <w:basedOn w:val="1"/>
    <w:qFormat/>
    <w:uiPriority w:val="0"/>
    <w:pPr>
      <w:spacing w:line="0" w:lineRule="atLeast"/>
      <w:jc w:val="center"/>
      <w:textAlignment w:val="baseline"/>
    </w:pPr>
    <w:rPr>
      <w:rFonts w:ascii="楷体_GB2312" w:eastAsia="楷体_GB2312"/>
      <w:kern w:val="0"/>
      <w:szCs w:val="21"/>
    </w:rPr>
  </w:style>
  <w:style w:type="paragraph" w:customStyle="1" w:styleId="91">
    <w:name w:val="表格内容"/>
    <w:basedOn w:val="92"/>
    <w:next w:val="1"/>
    <w:qFormat/>
    <w:uiPriority w:val="0"/>
    <w:pPr>
      <w:autoSpaceDE w:val="0"/>
      <w:autoSpaceDN w:val="0"/>
      <w:adjustRightInd w:val="0"/>
      <w:snapToGrid w:val="0"/>
    </w:pPr>
    <w:rPr>
      <w:snapToGrid w:val="0"/>
      <w:sz w:val="18"/>
    </w:rPr>
  </w:style>
  <w:style w:type="paragraph" w:customStyle="1" w:styleId="92">
    <w:name w:val="表格标题"/>
    <w:next w:val="91"/>
    <w:link w:val="130"/>
    <w:qFormat/>
    <w:uiPriority w:val="0"/>
    <w:pPr>
      <w:jc w:val="center"/>
    </w:pPr>
    <w:rPr>
      <w:rFonts w:ascii="Times New Roman" w:hAnsi="Times New Roman" w:eastAsia="宋体" w:cs="Times New Roman"/>
      <w:b/>
      <w:sz w:val="21"/>
      <w:lang w:val="en-US" w:eastAsia="zh-CN" w:bidi="ar-SA"/>
    </w:rPr>
  </w:style>
  <w:style w:type="paragraph" w:customStyle="1" w:styleId="93">
    <w:name w:val="标题二级"/>
    <w:basedOn w:val="1"/>
    <w:qFormat/>
    <w:uiPriority w:val="0"/>
    <w:pPr>
      <w:ind w:firstLine="720" w:firstLineChars="200"/>
      <w:jc w:val="left"/>
    </w:pPr>
    <w:rPr>
      <w:b/>
    </w:rPr>
  </w:style>
  <w:style w:type="paragraph" w:customStyle="1" w:styleId="94">
    <w:name w:val="5图表标题"/>
    <w:basedOn w:val="95"/>
    <w:next w:val="96"/>
    <w:qFormat/>
    <w:uiPriority w:val="0"/>
    <w:pPr>
      <w:spacing w:line="360" w:lineRule="auto"/>
    </w:pPr>
    <w:rPr>
      <w:rFonts w:eastAsia="黑体"/>
      <w:b/>
    </w:rPr>
  </w:style>
  <w:style w:type="paragraph" w:customStyle="1" w:styleId="95">
    <w:name w:val="6表格内容"/>
    <w:basedOn w:val="96"/>
    <w:next w:val="96"/>
    <w:qFormat/>
    <w:uiPriority w:val="0"/>
    <w:pPr>
      <w:spacing w:line="240" w:lineRule="auto"/>
      <w:ind w:firstLine="0" w:firstLineChars="0"/>
      <w:jc w:val="center"/>
    </w:pPr>
    <w:rPr>
      <w:sz w:val="20"/>
    </w:rPr>
  </w:style>
  <w:style w:type="paragraph" w:customStyle="1" w:styleId="96">
    <w:name w:val="0报告正文"/>
    <w:basedOn w:val="1"/>
    <w:qFormat/>
    <w:uiPriority w:val="0"/>
    <w:pPr>
      <w:spacing w:line="360" w:lineRule="auto"/>
      <w:ind w:firstLine="200" w:firstLineChars="200"/>
    </w:pPr>
    <w:rPr>
      <w:kern w:val="0"/>
      <w:sz w:val="24"/>
    </w:rPr>
  </w:style>
  <w:style w:type="paragraph" w:customStyle="1" w:styleId="97">
    <w:name w:val="表格内容5号"/>
    <w:qFormat/>
    <w:uiPriority w:val="0"/>
    <w:pPr>
      <w:widowControl w:val="0"/>
      <w:snapToGrid w:val="0"/>
      <w:jc w:val="center"/>
    </w:pPr>
    <w:rPr>
      <w:rFonts w:ascii="Times New Roman" w:hAnsi="Times New Roman" w:eastAsia="宋体" w:cs="Times New Roman"/>
      <w:kern w:val="2"/>
      <w:sz w:val="21"/>
      <w:szCs w:val="24"/>
      <w:lang w:val="en-US" w:eastAsia="zh-CN" w:bidi="ar-SA"/>
    </w:rPr>
  </w:style>
  <w:style w:type="paragraph" w:customStyle="1" w:styleId="98">
    <w:name w:val="普通(网站)2"/>
    <w:basedOn w:val="1"/>
    <w:qFormat/>
    <w:uiPriority w:val="0"/>
    <w:pPr>
      <w:widowControl/>
      <w:spacing w:before="100" w:beforeAutospacing="1" w:after="100" w:afterAutospacing="1"/>
      <w:jc w:val="left"/>
    </w:pPr>
    <w:rPr>
      <w:rFonts w:ascii="Helv" w:hAnsi="Helv"/>
      <w:sz w:val="24"/>
      <w:szCs w:val="20"/>
    </w:rPr>
  </w:style>
  <w:style w:type="paragraph" w:customStyle="1" w:styleId="99">
    <w:name w:val="正文样式2"/>
    <w:basedOn w:val="1"/>
    <w:qFormat/>
    <w:uiPriority w:val="0"/>
    <w:pPr>
      <w:spacing w:line="440" w:lineRule="exact"/>
      <w:ind w:firstLine="200" w:firstLineChars="200"/>
      <w:jc w:val="left"/>
    </w:pPr>
    <w:rPr>
      <w:sz w:val="24"/>
    </w:rPr>
  </w:style>
  <w:style w:type="paragraph" w:customStyle="1" w:styleId="100">
    <w:name w:val="仙人果正文"/>
    <w:basedOn w:val="1"/>
    <w:next w:val="1"/>
    <w:qFormat/>
    <w:uiPriority w:val="0"/>
    <w:pPr>
      <w:adjustRightInd w:val="0"/>
      <w:snapToGrid w:val="0"/>
      <w:spacing w:line="360" w:lineRule="auto"/>
      <w:ind w:firstLine="200" w:firstLineChars="200"/>
    </w:pPr>
    <w:rPr>
      <w:rFonts w:cs="宋体"/>
      <w:sz w:val="24"/>
    </w:rPr>
  </w:style>
  <w:style w:type="paragraph" w:customStyle="1" w:styleId="101">
    <w:name w:val="表格自动编号"/>
    <w:basedOn w:val="1"/>
    <w:qFormat/>
    <w:uiPriority w:val="0"/>
    <w:pPr>
      <w:numPr>
        <w:ilvl w:val="5"/>
        <w:numId w:val="2"/>
      </w:numPr>
      <w:jc w:val="center"/>
    </w:pPr>
    <w:rPr>
      <w:b/>
      <w:sz w:val="24"/>
    </w:rPr>
  </w:style>
  <w:style w:type="paragraph" w:customStyle="1" w:styleId="102">
    <w:name w:val="赣环表格"/>
    <w:basedOn w:val="1"/>
    <w:qFormat/>
    <w:uiPriority w:val="0"/>
    <w:pPr>
      <w:adjustRightInd w:val="0"/>
      <w:snapToGrid w:val="0"/>
      <w:jc w:val="center"/>
    </w:pPr>
  </w:style>
  <w:style w:type="paragraph" w:customStyle="1" w:styleId="103">
    <w:name w:val="常用表格样式"/>
    <w:basedOn w:val="47"/>
    <w:next w:val="47"/>
    <w:qFormat/>
    <w:uiPriority w:val="0"/>
    <w:pPr>
      <w:spacing w:line="240" w:lineRule="auto"/>
      <w:ind w:firstLine="0"/>
      <w:jc w:val="center"/>
    </w:pPr>
    <w:rPr>
      <w:spacing w:val="2"/>
      <w:sz w:val="18"/>
    </w:rPr>
  </w:style>
  <w:style w:type="paragraph" w:customStyle="1" w:styleId="104">
    <w:name w:val="Table Text"/>
    <w:basedOn w:val="1"/>
    <w:semiHidden/>
    <w:qFormat/>
    <w:uiPriority w:val="0"/>
    <w:rPr>
      <w:rFonts w:ascii="宋体" w:hAnsi="宋体" w:cs="宋体"/>
      <w:sz w:val="24"/>
      <w:lang w:eastAsia="en-US"/>
    </w:rPr>
  </w:style>
  <w:style w:type="table" w:customStyle="1" w:styleId="105">
    <w:name w:val="Table Normal"/>
    <w:semiHidden/>
    <w:unhideWhenUsed/>
    <w:qFormat/>
    <w:uiPriority w:val="0"/>
    <w:tblPr>
      <w:tblCellMar>
        <w:top w:w="0" w:type="dxa"/>
        <w:left w:w="0" w:type="dxa"/>
        <w:bottom w:w="0" w:type="dxa"/>
        <w:right w:w="0" w:type="dxa"/>
      </w:tblCellMar>
    </w:tblPr>
  </w:style>
  <w:style w:type="paragraph" w:customStyle="1" w:styleId="106">
    <w:name w:val="正文(首行缩进)"/>
    <w:basedOn w:val="1"/>
    <w:qFormat/>
    <w:uiPriority w:val="0"/>
    <w:pPr>
      <w:spacing w:line="360" w:lineRule="auto"/>
      <w:ind w:firstLine="510"/>
    </w:pPr>
    <w:rPr>
      <w:rFonts w:ascii="宋体" w:hAnsi="宋体"/>
      <w:snapToGrid w:val="0"/>
      <w:kern w:val="0"/>
      <w:sz w:val="24"/>
      <w:szCs w:val="20"/>
    </w:rPr>
  </w:style>
  <w:style w:type="paragraph" w:customStyle="1" w:styleId="107">
    <w:name w:val="表格内正文"/>
    <w:basedOn w:val="1"/>
    <w:next w:val="108"/>
    <w:qFormat/>
    <w:uiPriority w:val="0"/>
    <w:pPr>
      <w:spacing w:line="360" w:lineRule="auto"/>
      <w:ind w:firstLine="493"/>
    </w:pPr>
    <w:rPr>
      <w:rFonts w:ascii="宋体" w:hAnsi="宋体" w:cs="Calibri"/>
      <w:spacing w:val="4"/>
      <w:kern w:val="18"/>
      <w:sz w:val="24"/>
    </w:rPr>
  </w:style>
  <w:style w:type="paragraph" w:customStyle="1" w:styleId="108">
    <w:name w:val="A 正文"/>
    <w:basedOn w:val="1"/>
    <w:next w:val="1"/>
    <w:qFormat/>
    <w:uiPriority w:val="0"/>
    <w:pPr>
      <w:spacing w:line="360" w:lineRule="auto"/>
      <w:ind w:firstLine="200" w:firstLineChars="200"/>
    </w:pPr>
    <w:rPr>
      <w:kern w:val="0"/>
      <w:sz w:val="24"/>
    </w:rPr>
  </w:style>
  <w:style w:type="paragraph" w:customStyle="1" w:styleId="109">
    <w:name w:val="06F图名表名"/>
    <w:basedOn w:val="110"/>
    <w:next w:val="110"/>
    <w:qFormat/>
    <w:uiPriority w:val="0"/>
    <w:rPr>
      <w:b/>
    </w:rPr>
  </w:style>
  <w:style w:type="paragraph" w:customStyle="1" w:styleId="110">
    <w:name w:val="07F表格文字"/>
    <w:basedOn w:val="111"/>
    <w:next w:val="111"/>
    <w:qFormat/>
    <w:uiPriority w:val="0"/>
    <w:pPr>
      <w:jc w:val="center"/>
    </w:pPr>
  </w:style>
  <w:style w:type="paragraph" w:customStyle="1" w:styleId="111">
    <w:name w:val="08F表格批注"/>
    <w:basedOn w:val="1"/>
    <w:next w:val="1"/>
    <w:qFormat/>
    <w:uiPriority w:val="0"/>
    <w:pPr>
      <w:jc w:val="left"/>
    </w:pPr>
    <w:rPr>
      <w:szCs w:val="21"/>
    </w:rPr>
  </w:style>
  <w:style w:type="paragraph" w:customStyle="1" w:styleId="112">
    <w:name w:val="表中字"/>
    <w:basedOn w:val="1"/>
    <w:qFormat/>
    <w:uiPriority w:val="0"/>
    <w:pPr>
      <w:spacing w:line="240" w:lineRule="exact"/>
      <w:jc w:val="center"/>
    </w:pPr>
    <w:rPr>
      <w:rFonts w:hint="eastAsia"/>
      <w:szCs w:val="21"/>
    </w:rPr>
  </w:style>
  <w:style w:type="paragraph" w:customStyle="1" w:styleId="113">
    <w:name w:val="D标三"/>
    <w:basedOn w:val="1"/>
    <w:qFormat/>
    <w:uiPriority w:val="0"/>
    <w:pPr>
      <w:keepNext/>
      <w:keepLines/>
      <w:spacing w:line="360" w:lineRule="auto"/>
      <w:outlineLvl w:val="2"/>
    </w:pPr>
    <w:rPr>
      <w:rFonts w:eastAsia="黑体"/>
      <w:b/>
      <w:bCs/>
      <w:sz w:val="26"/>
      <w:szCs w:val="26"/>
    </w:rPr>
  </w:style>
  <w:style w:type="paragraph" w:customStyle="1" w:styleId="114">
    <w:name w:val="常用表头样式"/>
    <w:basedOn w:val="38"/>
    <w:next w:val="1"/>
    <w:qFormat/>
    <w:uiPriority w:val="0"/>
    <w:pPr>
      <w:overflowPunct w:val="0"/>
      <w:autoSpaceDE w:val="0"/>
      <w:autoSpaceDN w:val="0"/>
      <w:ind w:firstLine="0" w:firstLineChars="0"/>
      <w:jc w:val="center"/>
      <w:textAlignment w:val="baseline"/>
    </w:pPr>
    <w:rPr>
      <w:rFonts w:ascii="黑体" w:eastAsia="仿宋_GB2312"/>
      <w:b/>
      <w:szCs w:val="21"/>
    </w:rPr>
  </w:style>
  <w:style w:type="paragraph" w:customStyle="1" w:styleId="115">
    <w:name w:val="文本"/>
    <w:basedOn w:val="1"/>
    <w:link w:val="121"/>
    <w:qFormat/>
    <w:uiPriority w:val="0"/>
    <w:pPr>
      <w:adjustRightInd w:val="0"/>
      <w:snapToGrid w:val="0"/>
      <w:spacing w:line="360" w:lineRule="auto"/>
      <w:ind w:firstLine="200" w:firstLineChars="200"/>
    </w:pPr>
    <w:rPr>
      <w:kern w:val="0"/>
      <w:sz w:val="24"/>
    </w:rPr>
  </w:style>
  <w:style w:type="paragraph" w:customStyle="1" w:styleId="116">
    <w:name w:val="标题4"/>
    <w:basedOn w:val="1"/>
    <w:next w:val="107"/>
    <w:qFormat/>
    <w:uiPriority w:val="0"/>
    <w:pPr>
      <w:spacing w:line="360" w:lineRule="auto"/>
      <w:ind w:left="496"/>
    </w:pPr>
    <w:rPr>
      <w:rFonts w:ascii="宋体" w:eastAsia="Calibri"/>
      <w:sz w:val="24"/>
    </w:rPr>
  </w:style>
  <w:style w:type="paragraph" w:customStyle="1" w:styleId="117">
    <w:name w:val="表格内文字"/>
    <w:basedOn w:val="1"/>
    <w:qFormat/>
    <w:uiPriority w:val="0"/>
    <w:pPr>
      <w:spacing w:before="100" w:after="100" w:line="320" w:lineRule="exact"/>
      <w:jc w:val="center"/>
    </w:pPr>
    <w:rPr>
      <w:spacing w:val="10"/>
      <w:sz w:val="24"/>
      <w:szCs w:val="20"/>
    </w:rPr>
  </w:style>
  <w:style w:type="paragraph" w:customStyle="1" w:styleId="118">
    <w:name w:val="图表头"/>
    <w:basedOn w:val="1"/>
    <w:qFormat/>
    <w:uiPriority w:val="0"/>
    <w:pPr>
      <w:tabs>
        <w:tab w:val="left" w:pos="770"/>
      </w:tabs>
      <w:spacing w:before="50" w:beforeLines="50"/>
      <w:jc w:val="center"/>
    </w:pPr>
    <w:rPr>
      <w:b/>
      <w:szCs w:val="20"/>
    </w:rPr>
  </w:style>
  <w:style w:type="paragraph" w:customStyle="1" w:styleId="119">
    <w:name w:val="ZW"/>
    <w:basedOn w:val="1"/>
    <w:qFormat/>
    <w:uiPriority w:val="0"/>
    <w:pPr>
      <w:spacing w:line="360" w:lineRule="auto"/>
      <w:ind w:firstLine="480" w:firstLineChars="200"/>
    </w:pPr>
    <w:rPr>
      <w:sz w:val="24"/>
    </w:rPr>
  </w:style>
  <w:style w:type="paragraph" w:customStyle="1" w:styleId="120">
    <w:name w:val="表中文字"/>
    <w:basedOn w:val="1"/>
    <w:qFormat/>
    <w:uiPriority w:val="0"/>
    <w:pPr>
      <w:jc w:val="center"/>
    </w:pPr>
    <w:rPr>
      <w:rFonts w:ascii="宋体"/>
      <w:spacing w:val="4"/>
      <w:w w:val="90"/>
      <w:sz w:val="24"/>
    </w:rPr>
  </w:style>
  <w:style w:type="character" w:customStyle="1" w:styleId="121">
    <w:name w:val="文本 Char"/>
    <w:link w:val="115"/>
    <w:qFormat/>
    <w:uiPriority w:val="0"/>
    <w:rPr>
      <w:kern w:val="0"/>
      <w:sz w:val="24"/>
    </w:rPr>
  </w:style>
  <w:style w:type="paragraph" w:customStyle="1" w:styleId="122">
    <w:name w:val="表头表格"/>
    <w:basedOn w:val="1"/>
    <w:qFormat/>
    <w:uiPriority w:val="0"/>
    <w:pPr>
      <w:snapToGrid w:val="0"/>
      <w:spacing w:beforeLines="50"/>
      <w:jc w:val="center"/>
    </w:pPr>
    <w:rPr>
      <w:b/>
      <w:bCs/>
      <w:color w:val="000000"/>
      <w:szCs w:val="21"/>
    </w:rPr>
  </w:style>
  <w:style w:type="paragraph" w:customStyle="1" w:styleId="123">
    <w:name w:val="表格正文"/>
    <w:basedOn w:val="1"/>
    <w:qFormat/>
    <w:uiPriority w:val="0"/>
    <w:pPr>
      <w:jc w:val="center"/>
    </w:pPr>
    <w:rPr>
      <w:rFonts w:ascii="仿宋_GB2312" w:eastAsia="仿宋_GB2312"/>
    </w:rPr>
  </w:style>
  <w:style w:type="paragraph" w:customStyle="1" w:styleId="124">
    <w:name w:val="11.26"/>
    <w:basedOn w:val="107"/>
    <w:qFormat/>
    <w:uiPriority w:val="0"/>
  </w:style>
  <w:style w:type="paragraph" w:customStyle="1" w:styleId="125">
    <w:name w:val="报告表内一级标题"/>
    <w:basedOn w:val="1"/>
    <w:qFormat/>
    <w:uiPriority w:val="0"/>
    <w:pPr>
      <w:jc w:val="left"/>
    </w:pPr>
    <w:rPr>
      <w:b/>
      <w:sz w:val="24"/>
      <w:szCs w:val="28"/>
    </w:rPr>
  </w:style>
  <w:style w:type="character" w:customStyle="1" w:styleId="126">
    <w:name w:val="标题 3 字符"/>
    <w:link w:val="6"/>
    <w:qFormat/>
    <w:uiPriority w:val="0"/>
    <w:rPr>
      <w:rFonts w:hint="eastAsia" w:ascii="宋体" w:hAnsi="宋体" w:eastAsia="宋体" w:cs="宋体"/>
      <w:b/>
      <w:bCs/>
      <w:kern w:val="0"/>
      <w:sz w:val="27"/>
      <w:szCs w:val="27"/>
      <w:lang w:val="en-US" w:eastAsia="zh-CN" w:bidi="ar"/>
    </w:rPr>
  </w:style>
  <w:style w:type="paragraph" w:customStyle="1" w:styleId="127">
    <w:name w:val="A表内"/>
    <w:basedOn w:val="1"/>
    <w:unhideWhenUsed/>
    <w:qFormat/>
    <w:uiPriority w:val="0"/>
    <w:pPr>
      <w:spacing w:line="240" w:lineRule="atLeast"/>
      <w:jc w:val="center"/>
    </w:pPr>
    <w:rPr>
      <w:rFonts w:hint="eastAsia" w:cs="宋体"/>
      <w:szCs w:val="20"/>
    </w:rPr>
  </w:style>
  <w:style w:type="paragraph" w:customStyle="1" w:styleId="128">
    <w:name w:val="【】表头"/>
    <w:basedOn w:val="1"/>
    <w:next w:val="127"/>
    <w:qFormat/>
    <w:uiPriority w:val="0"/>
    <w:pPr>
      <w:jc w:val="center"/>
      <w:outlineLvl w:val="5"/>
    </w:pPr>
    <w:rPr>
      <w:rFonts w:cs="宋体"/>
      <w:b/>
      <w:sz w:val="24"/>
    </w:rPr>
  </w:style>
  <w:style w:type="paragraph" w:customStyle="1" w:styleId="129">
    <w:name w:val="普通(网站)1"/>
    <w:basedOn w:val="1"/>
    <w:qFormat/>
    <w:uiPriority w:val="0"/>
    <w:pPr>
      <w:widowControl/>
      <w:spacing w:before="100" w:beforeAutospacing="1" w:after="100" w:afterAutospacing="1" w:line="480" w:lineRule="exact"/>
      <w:ind w:firstLine="200" w:firstLineChars="200"/>
      <w:jc w:val="left"/>
    </w:pPr>
    <w:rPr>
      <w:rFonts w:ascii="宋体" w:hAnsi="宋体" w:eastAsia="楷体_GB2312"/>
      <w:color w:val="000000"/>
      <w:kern w:val="0"/>
      <w:sz w:val="24"/>
    </w:rPr>
  </w:style>
  <w:style w:type="character" w:customStyle="1" w:styleId="130">
    <w:name w:val="表格标题 Char1"/>
    <w:link w:val="92"/>
    <w:qFormat/>
    <w:uiPriority w:val="0"/>
    <w:rPr>
      <w:rFonts w:ascii="Times New Roman" w:hAnsi="Times New Roman" w:eastAsia="宋体" w:cs="Times New Roman"/>
      <w:b/>
      <w:kern w:val="0"/>
      <w:sz w:val="21"/>
      <w:szCs w:val="20"/>
    </w:rPr>
  </w:style>
  <w:style w:type="paragraph" w:customStyle="1" w:styleId="131">
    <w:name w:val="君邦正文"/>
    <w:qFormat/>
    <w:uiPriority w:val="0"/>
    <w:pPr>
      <w:spacing w:line="360" w:lineRule="auto"/>
      <w:ind w:left="-4" w:leftChars="-2" w:firstLine="480" w:firstLineChars="200"/>
      <w:jc w:val="both"/>
    </w:pPr>
    <w:rPr>
      <w:rFonts w:ascii="宋体" w:hAnsi="宋体" w:eastAsia="宋体" w:cs="Times New Roman"/>
      <w:kern w:val="2"/>
      <w:sz w:val="24"/>
      <w:szCs w:val="22"/>
      <w:lang w:val="en-US" w:eastAsia="zh-CN" w:bidi="ar-SA"/>
    </w:rPr>
  </w:style>
  <w:style w:type="paragraph" w:customStyle="1" w:styleId="132">
    <w:name w:val="00000000000000000000000"/>
    <w:basedOn w:val="1"/>
    <w:qFormat/>
    <w:uiPriority w:val="0"/>
    <w:rPr>
      <w:snapToGrid w:val="0"/>
    </w:rPr>
  </w:style>
  <w:style w:type="character" w:customStyle="1" w:styleId="133">
    <w:name w:val="font21"/>
    <w:basedOn w:val="41"/>
    <w:qFormat/>
    <w:uiPriority w:val="0"/>
    <w:rPr>
      <w:rFonts w:hint="eastAsia" w:ascii="宋体" w:hAnsi="宋体" w:eastAsia="宋体" w:cs="宋体"/>
      <w:color w:val="000000"/>
      <w:sz w:val="22"/>
      <w:szCs w:val="22"/>
      <w:u w:val="none"/>
    </w:rPr>
  </w:style>
  <w:style w:type="character" w:customStyle="1" w:styleId="134">
    <w:name w:val="font01"/>
    <w:basedOn w:val="41"/>
    <w:qFormat/>
    <w:uiPriority w:val="0"/>
    <w:rPr>
      <w:rFonts w:hint="eastAsia" w:ascii="宋体" w:hAnsi="宋体" w:eastAsia="宋体" w:cs="宋体"/>
      <w:color w:val="FF0000"/>
      <w:sz w:val="22"/>
      <w:szCs w:val="22"/>
      <w:u w:val="none"/>
    </w:rPr>
  </w:style>
  <w:style w:type="paragraph" w:customStyle="1" w:styleId="135">
    <w:name w:val="样式 表格 32 + 首行缩进:  2 字符"/>
    <w:basedOn w:val="136"/>
    <w:qFormat/>
    <w:uiPriority w:val="0"/>
    <w:pPr>
      <w:spacing w:line="0" w:lineRule="atLeast"/>
    </w:pPr>
    <w:rPr>
      <w:rFonts w:cs="宋体"/>
      <w:kern w:val="0"/>
      <w:szCs w:val="21"/>
    </w:rPr>
  </w:style>
  <w:style w:type="paragraph" w:customStyle="1" w:styleId="136">
    <w:name w:val="表格 32"/>
    <w:basedOn w:val="1"/>
    <w:qFormat/>
    <w:uiPriority w:val="0"/>
    <w:pPr>
      <w:autoSpaceDE w:val="0"/>
      <w:autoSpaceDN w:val="0"/>
      <w:adjustRightInd w:val="0"/>
      <w:jc w:val="center"/>
      <w:textAlignment w:val="baseline"/>
    </w:pPr>
    <w:rPr>
      <w:rFonts w:ascii="宋体" w:hAnsi="Impact"/>
      <w:kern w:val="24"/>
      <w:sz w:val="24"/>
      <w:szCs w:val="20"/>
    </w:rPr>
  </w:style>
  <w:style w:type="paragraph" w:customStyle="1" w:styleId="137">
    <w:name w:val="1表格"/>
    <w:basedOn w:val="1"/>
    <w:qFormat/>
    <w:uiPriority w:val="0"/>
    <w:pPr>
      <w:snapToGrid w:val="0"/>
      <w:jc w:val="center"/>
    </w:pPr>
  </w:style>
  <w:style w:type="character" w:customStyle="1" w:styleId="138">
    <w:name w:val="NormalCharacter"/>
    <w:semiHidden/>
    <w:qFormat/>
    <w:uiPriority w:val="0"/>
    <w:rPr>
      <w:kern w:val="2"/>
      <w:sz w:val="21"/>
      <w:szCs w:val="24"/>
      <w:lang w:val="en-US" w:eastAsia="zh-CN" w:bidi="ar-SA"/>
    </w:rPr>
  </w:style>
  <w:style w:type="paragraph" w:customStyle="1" w:styleId="139">
    <w:name w:val="表格内文字5号"/>
    <w:basedOn w:val="1"/>
    <w:qFormat/>
    <w:uiPriority w:val="0"/>
    <w:pPr>
      <w:jc w:val="center"/>
    </w:pPr>
  </w:style>
  <w:style w:type="paragraph" w:customStyle="1" w:styleId="140">
    <w:name w:val="表格名称"/>
    <w:basedOn w:val="58"/>
    <w:qFormat/>
    <w:uiPriority w:val="0"/>
    <w:pPr>
      <w:tabs>
        <w:tab w:val="right" w:pos="0"/>
      </w:tabs>
      <w:spacing w:before="50" w:beforeLines="50"/>
      <w:jc w:val="center"/>
    </w:pPr>
    <w:rPr>
      <w:bCs/>
    </w:rPr>
  </w:style>
  <w:style w:type="paragraph" w:customStyle="1" w:styleId="141">
    <w:name w:val="表题"/>
    <w:basedOn w:val="1"/>
    <w:next w:val="26"/>
    <w:qFormat/>
    <w:uiPriority w:val="0"/>
    <w:pPr>
      <w:tabs>
        <w:tab w:val="right" w:pos="0"/>
      </w:tabs>
      <w:adjustRightInd w:val="0"/>
      <w:snapToGrid w:val="0"/>
      <w:jc w:val="center"/>
    </w:pPr>
    <w:rPr>
      <w:b/>
      <w:spacing w:val="11"/>
      <w:szCs w:val="21"/>
    </w:rPr>
  </w:style>
  <w:style w:type="paragraph" w:customStyle="1" w:styleId="142">
    <w:name w:val="表格图片名称"/>
    <w:basedOn w:val="107"/>
    <w:qFormat/>
    <w:uiPriority w:val="0"/>
    <w:rPr>
      <w:b/>
    </w:rPr>
  </w:style>
  <w:style w:type="paragraph" w:customStyle="1" w:styleId="143">
    <w:name w:val="表 内容"/>
    <w:basedOn w:val="1"/>
    <w:qFormat/>
    <w:uiPriority w:val="0"/>
    <w:pPr>
      <w:adjustRightInd w:val="0"/>
      <w:snapToGrid w:val="0"/>
      <w:spacing w:beforeLines="15" w:afterLines="15"/>
      <w:jc w:val="center"/>
    </w:pPr>
    <w:rPr>
      <w:kern w:val="0"/>
      <w:szCs w:val="21"/>
    </w:rPr>
  </w:style>
  <w:style w:type="paragraph" w:customStyle="1" w:styleId="144">
    <w:name w:val="D正文"/>
    <w:basedOn w:val="145"/>
    <w:qFormat/>
    <w:uiPriority w:val="0"/>
    <w:pPr>
      <w:spacing w:line="360" w:lineRule="auto"/>
      <w:ind w:firstLine="480"/>
    </w:pPr>
  </w:style>
  <w:style w:type="paragraph" w:customStyle="1" w:styleId="145">
    <w:name w:val="正文对的"/>
    <w:basedOn w:val="1"/>
    <w:semiHidden/>
    <w:qFormat/>
    <w:uiPriority w:val="0"/>
    <w:pPr>
      <w:spacing w:line="400" w:lineRule="exact"/>
      <w:ind w:firstLine="200" w:firstLineChars="200"/>
    </w:pPr>
    <w:rPr>
      <w:rFonts w:hAnsi="华康简宋"/>
      <w:sz w:val="24"/>
    </w:rPr>
  </w:style>
  <w:style w:type="paragraph" w:customStyle="1" w:styleId="146">
    <w:name w:val="图片名称"/>
    <w:basedOn w:val="1"/>
    <w:qFormat/>
    <w:uiPriority w:val="0"/>
    <w:pPr>
      <w:widowControl/>
      <w:spacing w:afterLines="50"/>
      <w:jc w:val="center"/>
    </w:pPr>
    <w:rPr>
      <w:b/>
    </w:rPr>
  </w:style>
  <w:style w:type="paragraph" w:customStyle="1" w:styleId="147">
    <w:name w:val="D图表小四"/>
    <w:basedOn w:val="148"/>
    <w:qFormat/>
    <w:uiPriority w:val="0"/>
    <w:rPr>
      <w:sz w:val="24"/>
      <w:szCs w:val="24"/>
    </w:rPr>
  </w:style>
  <w:style w:type="paragraph" w:customStyle="1" w:styleId="148">
    <w:name w:val="D图表"/>
    <w:basedOn w:val="63"/>
    <w:semiHidden/>
    <w:qFormat/>
    <w:uiPriority w:val="0"/>
    <w:rPr>
      <w:b/>
    </w:rPr>
  </w:style>
  <w:style w:type="paragraph" w:customStyle="1" w:styleId="149">
    <w:name w:val="1图、表标题"/>
    <w:basedOn w:val="1"/>
    <w:qFormat/>
    <w:uiPriority w:val="0"/>
    <w:pPr>
      <w:adjustRightInd w:val="0"/>
      <w:snapToGrid w:val="0"/>
      <w:spacing w:line="360" w:lineRule="auto"/>
      <w:jc w:val="center"/>
    </w:pPr>
    <w:rPr>
      <w:b/>
    </w:rPr>
  </w:style>
  <w:style w:type="paragraph" w:customStyle="1" w:styleId="150">
    <w:name w:val="德正 正文"/>
    <w:basedOn w:val="151"/>
    <w:qFormat/>
    <w:uiPriority w:val="0"/>
  </w:style>
  <w:style w:type="paragraph" w:customStyle="1" w:styleId="151">
    <w:name w:val="德正正文"/>
    <w:basedOn w:val="1"/>
    <w:next w:val="1"/>
    <w:qFormat/>
    <w:uiPriority w:val="0"/>
    <w:pPr>
      <w:widowControl/>
      <w:snapToGrid w:val="0"/>
      <w:spacing w:line="360" w:lineRule="auto"/>
      <w:ind w:firstLine="482" w:firstLineChars="200"/>
    </w:pPr>
    <w:rPr>
      <w:kern w:val="0"/>
      <w:sz w:val="24"/>
    </w:rPr>
  </w:style>
  <w:style w:type="paragraph" w:customStyle="1" w:styleId="152">
    <w:name w:val="04F报告表小标题"/>
    <w:basedOn w:val="153"/>
    <w:next w:val="154"/>
    <w:qFormat/>
    <w:uiPriority w:val="0"/>
    <w:pPr>
      <w:ind w:firstLine="720" w:firstLineChars="200"/>
    </w:pPr>
    <w:rPr>
      <w:sz w:val="24"/>
      <w:szCs w:val="24"/>
    </w:rPr>
  </w:style>
  <w:style w:type="paragraph" w:customStyle="1" w:styleId="153">
    <w:name w:val="03F报告表顶格标题"/>
    <w:basedOn w:val="154"/>
    <w:next w:val="152"/>
    <w:qFormat/>
    <w:uiPriority w:val="0"/>
    <w:pPr>
      <w:ind w:firstLine="0" w:firstLineChars="0"/>
      <w:jc w:val="left"/>
    </w:pPr>
    <w:rPr>
      <w:b/>
      <w:sz w:val="28"/>
      <w:szCs w:val="28"/>
    </w:rPr>
  </w:style>
  <w:style w:type="paragraph" w:customStyle="1" w:styleId="154">
    <w:name w:val="05F凡式正文"/>
    <w:basedOn w:val="1"/>
    <w:qFormat/>
    <w:uiPriority w:val="0"/>
    <w:pPr>
      <w:spacing w:line="360" w:lineRule="auto"/>
      <w:ind w:firstLine="720" w:firstLineChars="200"/>
    </w:pPr>
    <w:rPr>
      <w:sz w:val="24"/>
    </w:rPr>
  </w:style>
  <w:style w:type="character" w:customStyle="1" w:styleId="155">
    <w:name w:val="font31"/>
    <w:basedOn w:val="41"/>
    <w:qFormat/>
    <w:uiPriority w:val="0"/>
    <w:rPr>
      <w:rFonts w:ascii="宋体" w:hAnsi="宋体" w:eastAsia="宋体" w:cs="宋体"/>
      <w:b/>
      <w:bCs/>
      <w:color w:val="000000"/>
      <w:sz w:val="14"/>
      <w:szCs w:val="14"/>
      <w:u w:val="none"/>
    </w:rPr>
  </w:style>
  <w:style w:type="character" w:customStyle="1" w:styleId="156">
    <w:name w:val="font41"/>
    <w:basedOn w:val="41"/>
    <w:qFormat/>
    <w:uiPriority w:val="0"/>
    <w:rPr>
      <w:rFonts w:ascii="宋体" w:hAnsi="宋体" w:eastAsia="宋体" w:cs="宋体"/>
      <w:color w:val="000000"/>
      <w:sz w:val="14"/>
      <w:szCs w:val="14"/>
      <w:u w:val="none"/>
    </w:rPr>
  </w:style>
  <w:style w:type="paragraph" w:customStyle="1" w:styleId="157">
    <w:name w:val="流程图"/>
    <w:basedOn w:val="1"/>
    <w:qFormat/>
    <w:uiPriority w:val="0"/>
    <w:pPr>
      <w:jc w:val="center"/>
    </w:pPr>
    <w:rPr>
      <w:sz w:val="24"/>
    </w:rPr>
  </w:style>
  <w:style w:type="paragraph" w:customStyle="1" w:styleId="158">
    <w:name w:val="样式9"/>
    <w:basedOn w:val="1"/>
    <w:qFormat/>
    <w:uiPriority w:val="0"/>
    <w:pPr>
      <w:adjustRightInd w:val="0"/>
      <w:snapToGrid w:val="0"/>
      <w:spacing w:line="460" w:lineRule="exact"/>
      <w:ind w:firstLine="520" w:firstLineChars="200"/>
    </w:pPr>
    <w:rPr>
      <w:sz w:val="26"/>
      <w:szCs w:val="26"/>
    </w:rPr>
  </w:style>
  <w:style w:type="character" w:customStyle="1" w:styleId="159">
    <w:name w:val="font81"/>
    <w:qFormat/>
    <w:uiPriority w:val="0"/>
    <w:rPr>
      <w:rFonts w:hint="default" w:ascii="Times New Roman" w:hAnsi="Times New Roman" w:cs="Times New Roman"/>
      <w:color w:val="000000"/>
      <w:sz w:val="21"/>
      <w:szCs w:val="21"/>
      <w:u w:val="none"/>
      <w:vertAlign w:val="subscript"/>
    </w:rPr>
  </w:style>
  <w:style w:type="character" w:customStyle="1" w:styleId="160">
    <w:name w:val="批注文字 字符"/>
    <w:basedOn w:val="41"/>
    <w:link w:val="18"/>
    <w:qFormat/>
    <w:uiPriority w:val="0"/>
    <w:rPr>
      <w:kern w:val="2"/>
      <w:sz w:val="21"/>
      <w:szCs w:val="24"/>
    </w:rPr>
  </w:style>
  <w:style w:type="character" w:customStyle="1" w:styleId="161">
    <w:name w:val="批注主题 字符"/>
    <w:basedOn w:val="160"/>
    <w:link w:val="37"/>
    <w:qFormat/>
    <w:uiPriority w:val="0"/>
    <w:rPr>
      <w:b/>
      <w:bCs/>
      <w:kern w:val="2"/>
      <w:sz w:val="21"/>
      <w:szCs w:val="24"/>
    </w:rPr>
  </w:style>
  <w:style w:type="character" w:customStyle="1" w:styleId="162">
    <w:name w:val="批注框文本 字符"/>
    <w:basedOn w:val="41"/>
    <w:link w:val="3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jpe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footer" Target="footer2.xml"/><Relationship Id="rId39" Type="http://schemas.openxmlformats.org/officeDocument/2006/relationships/image" Target="media/image23.png"/><Relationship Id="rId38" Type="http://schemas.openxmlformats.org/officeDocument/2006/relationships/image" Target="media/image22.wmf"/><Relationship Id="rId37" Type="http://schemas.openxmlformats.org/officeDocument/2006/relationships/oleObject" Target="embeddings/oleObject8.bin"/><Relationship Id="rId36" Type="http://schemas.openxmlformats.org/officeDocument/2006/relationships/image" Target="media/image21.png"/><Relationship Id="rId35" Type="http://schemas.openxmlformats.org/officeDocument/2006/relationships/image" Target="media/image20.wmf"/><Relationship Id="rId34" Type="http://schemas.openxmlformats.org/officeDocument/2006/relationships/oleObject" Target="embeddings/oleObject7.bin"/><Relationship Id="rId33" Type="http://schemas.openxmlformats.org/officeDocument/2006/relationships/image" Target="media/image19.wmf"/><Relationship Id="rId32" Type="http://schemas.openxmlformats.org/officeDocument/2006/relationships/oleObject" Target="embeddings/oleObject6.bin"/><Relationship Id="rId31" Type="http://schemas.openxmlformats.org/officeDocument/2006/relationships/image" Target="media/image18.wmf"/><Relationship Id="rId30" Type="http://schemas.openxmlformats.org/officeDocument/2006/relationships/oleObject" Target="embeddings/oleObject5.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4.bin"/><Relationship Id="rId27" Type="http://schemas.openxmlformats.org/officeDocument/2006/relationships/image" Target="media/image16.wmf"/><Relationship Id="rId26" Type="http://schemas.openxmlformats.org/officeDocument/2006/relationships/oleObject" Target="embeddings/oleObject3.bin"/><Relationship Id="rId25" Type="http://schemas.openxmlformats.org/officeDocument/2006/relationships/image" Target="media/image15.wmf"/><Relationship Id="rId24" Type="http://schemas.openxmlformats.org/officeDocument/2006/relationships/oleObject" Target="embeddings/oleObject2.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"/>
    </extobj>
    <extobj name="E657119C-6982-421D-8BA7-E74DEB70A7D9-2">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MU56Z2xNa01sTWpKemFHOTNSM0pwWkNVeU1pVXpRWFJ5ZFdVbE1rTWxNakp5YVdOb1ZHVjRkQ1V5TWlVelFYUnlkV1VsTWtNbE1qSm9aV2xuYUhRbE1qSWxNMEU0TXpBbE4wUWxNa01sTWpKbGJHVnRaVzUwY3lVeU1pVXpRU1UzUWlVeU1reE5RblZxYjBSa1ZrWTFOVE15T0RNbE1qSWxNMEVsTjBJbE1qSnBaQ1V5TWlVelFTVXlNa3hOUW5WcWIwUmtWa1kxTlRNeU9ET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JHRnljME53YVhoRVVUUTNOVEEyTVNVeU1pVTNSQ1V5UXlVM1FpVXlNbTVoYldVbE1qSWxNMEVsTWpJbFJUVWxPVEFsT0VRbFJUY2xRVGNsUWpBbE1qSWxNa01sTWpKMGVYQmxKVEl5SlROQkpUSXljM1J5YVc1bkpUSXlKVEpESlRJeWRtRnNkV1VsTWpJbE0wRWxNaklsTWpJbE1rTWxNakpqWVhSbFoyOXllU1V5TWlVelFTVXlNbVJsWm1GMWJIUWxNaklsTWtNbE1qSnBaQ1V5TWlVelFTVXlNbE5rUmt4b2VVaHRSSEV6TWpjM09US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lNVNVF5VkNRU1ZGTlNVNVF5VkNNQ1ZGTlNWQ1F5VTRNQ1ZGTmlVNFF5VTVO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VbE9VWWxRa0VsUlRjbFFURWxPREFsUlRVbFFqY2xRVFVsUlRjbFFUZ2xPRU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nBXWE5FYUhObWNHTm1NakEzTVRRMUpUSXlKVE5CSlRkQ0pUSXlhV1FsTWpJbE0wRWxNakpwV1hORWFITm1jR05tTWpBM01UUTF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uVlRWVkpsWmxob1NGQTBOelUwTXpBbE1qSWxOMFFsTWtNbE4wSWxNakp1WVcxbEpUSXlKVE5CSlRJeUpVVTFKVGt3SlRoRUpVVTNKVUUzSlVJd0pUSXlKVEpESlRJeWRIbHdaU1V5TWlVelFTVXlNbk4wY21sdVp5VXlNaVV5UXlVeU1uWmhiSFZsSlRJeUpUTkJKVEl5SlRJeUpUSkRKVEl5WTJGMFpXZHZjbmtsTWpJbE0wRWxNakprWldaaGRXeDBKVEl5SlRKREpUSXlhV1FsTWpJbE0wRWxNakpNY1habVlrSkdTMVJLTkRZMU9UWTV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ZEVKVEpESlRJeWRHVjRkRUpzYjJOckpUSXlKVE5CSlRWQ0pUZENKVEl5Y0c5emFYUnBiMjRsTWpJbE0wRWxOMElsTWpKNEpUSXlKVE5CTVRBbE1rTWxNako1SlRJeUpUTkJNQ1V5UXlVeU1uY2xNaklsTTBFbE1qSjNMVEl3SlRJeUpUSkRKVEl5YUNVeU1pVXpRU1V5TW1nbE1qSWxOMFFsTWtNbE1qSjBaWGgwSlRJeUpUTkJKVEl5SlVVMEpVSTRKVUpDSlVVMEpVSkVKVGt6SlVVMUpVSTNKVUUxSlVVM0pVRTRKVGhD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iVkJaYUhsTVJFZHhiakV3TkRFMk9TVXlNaVV6UVNVM1FpVXlNbWxrSlRJeUpUTkJKVEl5YlZCWmFIbE1SRWR4YmpFd05ERTJPU1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tSVUZRY1daQ2VWQlBNemcyT1RReEpUSXlKVGRFSlRKREpUZENKVEl5Ym1GdFpTVXlNaVV6UVNVeU1pVkZOU1U1TUNVNFJDVkZOeVZCTnlWQ01DVXlNaVV5UXlVeU1uUjVjR1VsTWpJbE0wRWxNakp6ZEhKcGJtY2xNaklsTWtNbE1qSjJZV3gxWlNVeU1pVXpRU1V5TWlVeU1pVXlReVV5TW1OaGRHVm5iM0o1SlRJeUpUTkJKVEl5WkdWbVlYVnNkQ1V5TWlVeVF5VXlNbWxrSlRJeUpUTkJKVEl5VFhwU1lWQldaRXBLVnpZME5UYzBO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9DVkNOeVZCUmlWRk9TVTVSQ1ZCTWlWRk5TVkNPU1ZDTXlWRk5pVTVOU1ZDTkNWRk5DVkNPQ1U0UlNWRk9TVTVNeVZDUVNWRk9DVkJSU1ZDUl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azkyYWxSbWIyVkhkM1F3TXpJek1qWWxNaklsTTBFbE4wSWxNakpwWkNVeU1pVXpRU1V5TWs5MmFsUm1iMlZIZDNRd016SXpNall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VM0pYU0U1WlNtdDVTRFF5TWpFd09DVXlNaVUzUkNVeVF5VTNRaVV5TW01aGJXVWxNaklsTTBFbE1qSWxSVFVsT1RBbE9FUWxSVGNsUVRjbFFqQWxNaklsTWtNbE1qSjBlWEJsSlRJeUpUTkJKVEl5YzNSeWFXNW5KVEl5SlRKREpUSXlkbUZzZFdVbE1qSWxNMEVsTWpJbE1qSWxNa01sTWpKallYUmxaMjl5ZVNVeU1pVXpRU1V5TW1SbFptRjFiSFFsTWpJbE1rTWxNakpwWkNVeU1pVXpRU1V5TW5CMVluZEdaVVJrYmxZNE5qQTVOVFV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JbFJUZ2xRVVVsUWtVbFJUVWxRVFFsT0RjbFJUVWxRVVVsT0RrbFJUZ2xRVE1sT0RV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psWTIxYVdrMVRlRmxsTVRNNU5ESXpKVEl5SlROQkpUZENKVEl5YVdRbE1qSWxNMEVsTWpKbFkyMWFXazFUZUZsbE1UTTVOREl6SlRJeUpUSkRKVEl5Ym1GdFpTVXlNaVV6UVNVeU1uSmxZM1JoYm1kc1pTVXlNaVV5UXlVeU1uUnBkR3hsSlRJeUpUTkJKVEl5SlVVM0pUbEdKVUU1SlVVMUpVSkVKVUV5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XBMYjAxM2NuSm1jRmc0T1RrM01qa2xNaklsTjBRbE1rTWxOMElsTWpKdVlXMWxKVEl5SlROQkpUSXlKVVUxSlRrd0pUaEVKVVUzSlVFM0pVSXdKVEl5SlRKREpUSXlkSGx3WlNVeU1pVXpRU1V5TW5OMGNtbHVaeVV5TWlVeVF5VXlNblpoYkhWbEpUSXlKVE5CSlRJeUpUSXlKVEpESlRJeVkyRjBaV2R2Y25rbE1qSWxNMEVsTWpKa1pXWmhkV3gwSlRJeUpUSkRKVEl5YVdRbE1qSWxNMEVsTWpKT1ExVjBiRmRPUmxkSU56WTFNemMz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UpVVTVKVUZCSlRoREpVVTJKVGswSlVJMkpVVTJKVGhCSlRrMUpVVTRKVUpHSlRrd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GsxVldrUk9WVmwzY2pZeU5Ea3lNaVV5TWlVelFTVTNRaVV5TW1sa0pUSXlKVE5CSlRJeVRrMVZXa1JPVlZsM2NqWXlORGt5TWlVeU1pVXlReVV5TW01aGJXVWxNaklsTTBFbE1qSnpkR0Z1WkdGeVpGUmxlSFFsTWpJbE1rTWxNakowYVhSc1pTVXlNaVV6UVNVeU1pVXlNaVV5UXlVeU1tTmhkR1ZuYjNKNUpUSXlKVE5CSlRJeWMzUmhibVJoY21R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"/>
    </extobj>
    <extobj name="ECB019B1-382A-4266-B25C-5B523AA43C14-3">
      <extobjdata type="ECB019B1-382A-4266-B25C-5B523AA43C14" data="ewoJIkZpbGVJZCIgOiAiNTAzNTI2MzQ2NzMxIiwKCSJHcm91cElkIiA6ICI3MzYxMzU0NTYiLAoJIkltYWdlIiA6ICJpVkJPUncwS0dnb0FBQUFOU1VoRVVnQUFBbzhBQUFQOENBWUFBQUFuVVZTZ0FBQUFBWE5TUjBJQXJzNGM2UUFBSUFCSlJFRlVlSnpzM1h0OEhGWFpCL0RmYzJhVFRVSmJtdElpVndrUWFVbnBabVppbFlzZ0NoWlVSRVNVMm9xQW9oWHdSUlJlUkJFVUJBRUJyVkM1eUZWQUJCRnZJSlNMUUFYcGpkM1piTk8waGJ3UXBVQXBwVmZhNXJKem52ZVA3SWJOWnBOdW16WWIydC8zOCttbnUyZk9uSGsyYVp0Zno1eVpBW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0N4L2ovVGJwYVdzUGVlQUFBQUFBQkpSVTVFcmtKZ2dnPT0iLAoJIlRoZW1lIiA6ICIiLAoJIlR5cGUiIDogImZsb3ciLAoJIlVzZXJJZCIgOiAiNjU5MTkwODE3IiwKCSJWZXJzaW9uIiA6ICI4NSIKfQo="/>
    </extobj>
    <extobj name="E657119C-6982-421D-8BA7-E74DEB70A7D9-4">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MU56Z2xNa01sTWpKemFHOTNSM0pwWkNVeU1pVXpRWFJ5ZFdVbE1rTWxNakp5YVdOb1ZHVjRkQ1V5TWlVelFYUnlkV1VsTWtNbE1qSm9aV2xuYUhRbE1qSWxNMEU0TXpBbE4wUWxNa01sTWpKbGJHVnRaVzUwY3lVeU1pVXpRU1UzUWlVeU1uUmFWMDlIWkVaeGEwODFNVE15TmpJbE1qSWxNMEVsTjBJbE1qSnBaQ1V5TWlVelFTVXlNblJhVjA5SFpFWnhhMDgxTVRNeU5qS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a0pTU1dSNWFHNXZXV3M1TWpZNE1EUWxNaklsTjBRbE1rTWxOMElsTWpKdVlXMWxKVEl5SlROQkpUSXlKVVUxSlRrd0pUaEVKVVUzSlVFM0pVSXdKVEl5SlRKREpUSXlkSGx3WlNVeU1pVXpRU1V5TW5OMGNtbHVaeVV5TWlVeVF5VXlNblpoYkhWbEpUSXlKVE5CSlRJeUpUSXlKVEpESlRJeVkyRjBaV2R2Y25rbE1qSWxNMEVsTWpKa1pXWmhkV3gwSlRJeUpUSkRKVEl5YVdRbE1qSWxNMEVsTWpKcmFYVjVabWQ0U210VU1qQTRPVFE1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KVVUzSlRrMEpUbEdKVVUzSlRnNUpVRTVKVVU0SlVJMEpVRTRKVVU1SlVFeUpUazNKVVUzSlVJeUpUa3l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FWSkZkMEYwWmxCS2Vqa3pNVGN6T1NVeU1pVXpRU1UzUWlVeU1tbGtKVEl5SlROQkpUSXlhVkpGZDBGMFpsQktlamt6TVRjek9T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RmJHMUpjR0pEV1ZsS016UTJOell4SlRJeUpUZEVKVEpESlRkQ0pUSXlibUZ0WlNVeU1pVXpRU1V5TWlWRk5TVTVNQ1U0UkNWRk55VkJOeVZDTUNVeU1pVXlReVV5TW5SNWNHVWxNaklsTTBFbE1qSnpkSEpwYm1jbE1qSWxNa01sTWpKMllXeDFaU1V5TWlVelFTVXlNaVV5TWlVeVF5VXlNbU5oZEdWbmIzSjVKVEl5SlROQkpUSXlaR1ZtWVhWc2RDVXlNaVV5UXlVeU1tbGtKVEl5SlROQkpUSXlSMVJPVG5WTFdXRllhemN4TkRRek9T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lsUlRrbE9UUWxPRFVsUlRjbE9ESWxPRGtsUlVZbFFrTWxPRGdsUlRVbE9UQWxRVVlsUlRjbE9ESWxPRGtsUlRNbE9EQWxPREVsUlRZbFFqZ2xPRFVsUlRZbFFqZ2xRVE1sUlRNbE9EQWxPREVsUlRjbE9EY2xPRE1sUlRjbE9ETWxRVGNsUlVZbFFrTWxPRGt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Fd0pUSkRKVEl5ZVNVeU1pVXpRVEFsTWtNbE1qSjNKVEl5SlROQkpUSXlkeTB5TUNVeU1pVXlReVV5TW1nbE1qSWxNMEVsTWpKb0pUSXlKVGRFSlRKREpUSXlkR1Y0ZENVeU1pVXpRU1V5TWlWRk9TVTVOQ1U0TlNWRk55VTRNaVU0T1NWRk9DVkNSQ1ZCUmlWRk5pVkNNQ1ZDTkNWRk5TVTRPQ1ZDTmlWRk5TVkJOQ1U0Tn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XhPVUhOSWVWZEJSMGszTnpVNE1EUWxNaklsTTBFbE4wSWxNakpwWkNVeU1pVXpRU1V5TW14T1VITkllVmRCUjBrM056VTRNRFF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GR2VtRjNTM0ZSYUZNME9EZ3lNRGNsTWpJbE4wUWxNa01sTjBJbE1qSnVZVzFsSlRJeUpUTkJKVEl5SlVVMUpUa3dKVGhFSlVVM0pVRTNKVUl3SlRJeUpUSkRKVEl5ZEhsd1pTVXlNaVV6UVNVeU1uTjBjbWx1WnlVeU1pVXlReVV5TW5aaGJIVmxKVEl5SlROQkpUSXlKVEl5SlRKREpUSXlZMkYwWldkdmNua2xNaklsTTBFbE1qSmtaV1poZFd4MEpUSXlKVEpESlRJeWFXUWxNaklsTTBFbE1qSnVVV3Q2YTBkd1NVSjBNamsyTXpBek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VZGT0NVNE55VkJRU1ZGTmlVNVJDVkJOU1ZGTmlWQ01DVkNOQ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OaFEzcE9RVlZ5YlhVMk1UVTJNRGtsTWpJbE4wUWxNa01sTjBJbE1qSnVZVzFsSlRJeUpUTkJKVEl5SlVVMUpUa3dKVGhFSlVVM0pVRTNKVUl3SlRJeUpUSkRKVEl5ZEhsd1pTVXlNaVV6UVNVeU1uTjBjbWx1WnlVeU1pVXlReVV5TW5aaGJIVmxKVEl5SlROQkpUSXlKVEl5SlRKREpUSXlZMkYwWldkdmNua2xNaklsTTBFbE1qSmtaV1poZFd4MEpUSXlKVEpESlRJeWFXUWxNaklsTTBFbE1qSjRiSGhaZWxKRWFVZDZOalkyTnpZe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sUlRnbFFrUWxRVVlsUlRZbFFqQWxRal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WtNbE1qSjRZbGhoU1dwTVpXdHNPRGM0TXpJekpUSXlKVE5CSlRkQ0pUSXlhV1FsTWpJbE0wRWxNako0WWxoaFNXcE1aV3RzT0RjNE16SXpKVEl5SlRKREpUSXlibUZ0WlNVeU1pVXpRU1V5TW5SbGVIUWxNaklsTWtNbE1qSjBhWFJzWlNVeU1pVXpRU1V5TWlWRk5pVTVOaVU0TnlWRk5pVTVReVZCUX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1ZDNSU2JGSkJVRlpsT0RZMU5qSXdKVEl5SlRkRUpUSkRKVGRDSlRJeWJtRnRaU1V5TWlVelFTVXlNaVZGTlNVNU1DVTRSQ1ZGTnlWQk55VkNNQ1V5TWlVeVF5VXlNblI1Y0dVbE1qSWxNMEVsTWpKemRISnBibWNsTWpJbE1rTWxNakoyWVd4MVpTVXlNaVV6UVNVeU1pVXlNaVV5UXlVeU1tTmhkR1ZuYjNKNUpUSXlKVE5CSlRJeVpHVm1ZWFZzZENVeU1pVXlReVV5TW1sa0pUSXlKVE5CSlRJeVdVMVdabmxRYjJsaVFqUXdNalV4TV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d0pUSkRKVEl5ZVNVeU1pVXpRVEFsTWtNbE1qSjNKVEl5SlROQkpUSXlkeVV5TWlVeVF5VXlNbWdsTWpJbE0wRWxNakpvSlRJeUpUZEVKVEpESlRJeWRHVjRkQ1V5TWlVelFTVXlNaVZGTlNWQ1FTVTVSaVZGTmlWQ01DVkNOQ1ZGTXlVNE1DVTRNU1ZGTlNVNVFpVkNRU1ZGTlNWQ1FTVTVS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QWxNa01sTWpKNUpUSXlKVE5CTUNVeVF5VXlNbmNsTWpJbE0wRWxNakozSlRJeUpUSkRKVEl5YUNVeU1pVXpRU1V5TW1nbE1qSWxOMFFsTWtNbE1qSjBaWGgwSlRJeUpUTkJKVEl5SlVVM0pUazBKVGxHSlVVMEpVSkJKVUUzSlVVMEpVSkZKVGxDSlVVM0pUZ3pKVUZF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VZaUzJkT2RrSmFWRmN3TWpBeU1ERWxNaklsTjBRbE1rTWxOMElsTWpKdVlXMWxKVEl5SlROQkpUSXlKVVUxSlRrd0pUaEVKVVUzSlVFM0pVSXdKVEl5SlRKREpUSXlkSGx3WlNVeU1pVXpRU1V5TW5OMGNtbHVaeVV5TWlVeVF5VXlNblpoYkhWbEpUSXlKVE5CSlRJeUpUSXlKVEpESlRJeVkyRjBaV2R2Y25rbE1qSWxNMEVsTWpKa1pXWmhkV3gwSlRJeUpUSkRKVEl5YVdRbE1qSWxNMEVsTWpKSFUzQjZUbk4zYjBKWE1qTXhNekU1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DVXlReVV5TW5rbE1qSWxNMEV3SlRKREpUSXlkeVV5TWlVelFTVXlNbmNsTWpJbE1rTWxNakpvSlRJeUpUTkJKVEl5YUNVeU1pVTNSQ1V5UXlVeU1uUmxlSFFsTWpJbE0wRWxNaklsUlRnbE9USWxRamdsUlRZbFFqRWxRa1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OMFFsTjBRbE1rTWxNakpqYjIxdFpXNTBjeVV5TWlVelFTVTFRaVUxUkNVeVF5VXlNbkJzZFdkcGJuTWxNaklsTTBFbE4wSWxOMFFsTWtNbE1qSmhhVU52Ym5SaGFXNWxjbk1sTWpJbE0wRWxOMElsTjBRbE1rTWxNakowYUdWdFpTVXlNaVV6UVNVM1FpVXlNbkJoWjJVbE1qSWxNMEVsTjBJbE1qSmlZV05yWjNKdmRXNWtRMjlzYjNJbE1qSWxNMEVsTWpKMGNtRnVjM0JoY21WdWRDVXlNaVUzUkNVM1JDVTNSQT09IiwKCSJGaWxlSWQiIDogIjM0MWQ2YmRkLTU4NzMtNDY5Ni04ZGU4LTU2YWI5ZjcxYmY0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94</Pages>
  <Words>13103</Words>
  <Characters>13531</Characters>
  <Lines>444</Lines>
  <Paragraphs>125</Paragraphs>
  <TotalTime>22</TotalTime>
  <ScaleCrop>false</ScaleCrop>
  <LinksUpToDate>false</LinksUpToDate>
  <CharactersWithSpaces>13622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2021-09-02T10:02:00Z</dcterms:created>
  <dc:creator>仰望</dc:creator>
  <cp:lastModifiedBy>熊书涵</cp:lastModifiedBy>
  <cp:lastPrinted>2024-06-19T08:40:00Z</cp:lastPrinted>
  <dcterms:modified xsi:type="dcterms:W3CDTF">2026-05-15T16:03:56Z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0AD0B7BA02E64E18B5F61DD508D7AF1E_13</vt:lpwstr>
  </property>
  <property fmtid="{D5CDD505-2E9C-101B-9397-08002B2CF9AE}" pid="4" name="KSOTemplateDocerSaveRecord">
    <vt:lpwstr>eyJoZGlkIjoiNGIwMWNlN2QwODJkYzRmY2QxYzhkYjY4NGM2NmIxOTUiLCJ1c2VySWQiOiI2NTkxOTA4MTcifQ==</vt:lpwstr>
  </property>
</Properties>
</file>