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2830">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9"/>
          <w:rFonts w:hint="eastAsia" w:ascii="宋体" w:hAnsi="宋体" w:eastAsia="宋体" w:cs="宋体"/>
          <w:b/>
          <w:lang w:val="en-US" w:eastAsia="zh-CN"/>
        </w:rPr>
      </w:pPr>
      <w:r>
        <w:rPr>
          <w:rStyle w:val="9"/>
          <w:rFonts w:hint="eastAsia" w:ascii="宋体" w:hAnsi="宋体" w:eastAsia="宋体" w:cs="宋体"/>
          <w:b/>
          <w:lang w:val="en-US" w:eastAsia="zh-CN"/>
        </w:rPr>
        <w:t>关于庐山市雅洁洗涤中心建设项目环境影响报告表的批复</w:t>
      </w:r>
    </w:p>
    <w:p w14:paraId="7E07B0B5">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9"/>
          <w:rFonts w:hint="eastAsia" w:ascii="宋体" w:hAnsi="宋体" w:eastAsia="宋体" w:cs="宋体"/>
          <w:b/>
          <w:lang w:val="en-US" w:eastAsia="zh-CN"/>
        </w:rPr>
      </w:pPr>
    </w:p>
    <w:p w14:paraId="4F4B5909">
      <w:pPr>
        <w:keepNext w:val="0"/>
        <w:keepLines w:val="0"/>
        <w:pageBreakBefore w:val="0"/>
        <w:widowControl w:val="0"/>
        <w:suppressLineNumbers w:val="0"/>
        <w:kinsoku/>
        <w:wordWrap/>
        <w:overflowPunct/>
        <w:topLinePunct w:val="0"/>
        <w:bidi w:val="0"/>
        <w:spacing w:beforeAutospacing="0" w:afterAutospacing="0" w:line="540" w:lineRule="exact"/>
        <w:ind w:right="0"/>
        <w:jc w:val="center"/>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九庐环审〔2026〕2号</w:t>
      </w:r>
    </w:p>
    <w:p w14:paraId="602101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p>
    <w:p w14:paraId="66A3A4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庐山市雅洁洗涤中心（个体工商户）：</w:t>
      </w:r>
    </w:p>
    <w:p w14:paraId="559968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你公司报来的《庐山市雅洁洗涤中心建设项目</w:t>
      </w:r>
      <w:r>
        <w:rPr>
          <w:rFonts w:hint="default" w:ascii="仿宋_GB2312" w:hAnsi="仿宋_GB2312" w:eastAsia="仿宋_GB2312" w:cs="仿宋_GB2312"/>
          <w:kern w:val="2"/>
          <w:sz w:val="32"/>
          <w:szCs w:val="32"/>
          <w:lang w:val="en-US" w:eastAsia="zh-CN" w:bidi="ar"/>
        </w:rPr>
        <w:t>环境影响报告表</w:t>
      </w:r>
      <w:r>
        <w:rPr>
          <w:rFonts w:hint="eastAsia" w:ascii="仿宋_GB2312" w:hAnsi="仿宋_GB2312" w:eastAsia="仿宋_GB2312" w:cs="仿宋_GB2312"/>
          <w:kern w:val="2"/>
          <w:sz w:val="32"/>
          <w:szCs w:val="32"/>
          <w:lang w:val="en-US" w:eastAsia="zh-CN" w:bidi="ar"/>
        </w:rPr>
        <w:t>》（以下简称《报告表》）收悉，现批复如下：</w:t>
      </w:r>
    </w:p>
    <w:p w14:paraId="30E031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 xml:space="preserve">一、项目基本情况及批复要求 </w:t>
      </w:r>
    </w:p>
    <w:p w14:paraId="780087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项目选址位于江西省九江市庐山市一合科技有限公司院内（平安路东），中心地理坐标东经</w:t>
      </w:r>
      <w:r>
        <w:rPr>
          <w:rFonts w:hint="default" w:ascii="Times New Roman" w:hAnsi="Times New Roman" w:eastAsia="仿宋" w:cs="仿宋"/>
          <w:color w:val="auto"/>
          <w:sz w:val="32"/>
          <w:szCs w:val="32"/>
          <w:lang w:val="en-US" w:eastAsia="zh-CN"/>
        </w:rPr>
        <w:t>116°02′29.623″</w:t>
      </w:r>
      <w:r>
        <w:rPr>
          <w:rFonts w:hint="default"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29°28′32.415″</w:t>
      </w:r>
      <w:r>
        <w:rPr>
          <w:rFonts w:hint="default" w:ascii="仿宋_GB2312" w:hAnsi="仿宋_GB2312" w:eastAsia="仿宋_GB2312" w:cs="仿宋_GB2312"/>
          <w:kern w:val="2"/>
          <w:sz w:val="32"/>
          <w:szCs w:val="32"/>
          <w:lang w:val="en-US" w:eastAsia="zh-CN" w:bidi="ar"/>
        </w:rPr>
        <w:t>，项目占地面积1029m</w:t>
      </w:r>
      <w:r>
        <w:rPr>
          <w:rFonts w:hint="default" w:ascii="仿宋_GB2312" w:hAnsi="仿宋_GB2312" w:eastAsia="仿宋_GB2312" w:cs="仿宋_GB2312"/>
          <w:kern w:val="2"/>
          <w:sz w:val="32"/>
          <w:szCs w:val="32"/>
          <w:vertAlign w:val="superscript"/>
          <w:lang w:val="en-US" w:eastAsia="zh-CN" w:bidi="ar"/>
        </w:rPr>
        <w:t>2</w:t>
      </w:r>
      <w:r>
        <w:rPr>
          <w:rFonts w:hint="default" w:ascii="仿宋_GB2312" w:hAnsi="仿宋_GB2312" w:eastAsia="仿宋_GB2312" w:cs="仿宋_GB2312"/>
          <w:kern w:val="2"/>
          <w:sz w:val="32"/>
          <w:szCs w:val="32"/>
          <w:lang w:val="en-US" w:eastAsia="zh-CN" w:bidi="ar"/>
        </w:rPr>
        <w:t>，租赁庐山市易果制造有限公司标准化厂房建设布草洗涤生产线及工程配套设施。项目以增白无磷洗衣粉、彩漂粉、乳化剂等为原料，经分拣、洗涤、脱水、烘干、烫平、折叠等工序生产，年洗涤各个酒店布草（床单、被罩）等64.8万套。项目拟配套使用2台天然气蒸汽锅炉（2</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1t/h），产生蒸汽用于生产工序。项目总投资550万元，环保投资25万元，占比4.5%</w:t>
      </w:r>
      <w:r>
        <w:rPr>
          <w:rFonts w:hint="eastAsia" w:ascii="仿宋_GB2312" w:hAnsi="仿宋_GB2312" w:eastAsia="仿宋_GB2312" w:cs="仿宋_GB2312"/>
          <w:kern w:val="2"/>
          <w:sz w:val="32"/>
          <w:szCs w:val="32"/>
          <w:lang w:val="en-US" w:eastAsia="zh-CN" w:bidi="ar"/>
        </w:rPr>
        <w:t xml:space="preserve">。  </w:t>
      </w:r>
    </w:p>
    <w:p w14:paraId="0290C2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5EB76C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14B7DF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6D11AA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29D6B1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项目产生的洗涤废水、锅炉废水及软化处理废水、离子交换树脂再生废水经厂区污水处理站（格栅井+调节池+化学沉淀）预处理后，与经化粪池预处理后的生活污水一并在排放口混合后，水质达到污水处理厂接管标准后，排入江西庐山工业园污水处理厂深度处理。</w:t>
      </w:r>
    </w:p>
    <w:p w14:paraId="61F245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6672B4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加强废气处理设施管理。项目废气主要为项目蒸汽发生器天然气燃烧废气、厂区污水处理站恶臭等。蒸汽发生器天然气燃烧废气通过管道收集后由20m排气筒（DA001）排放；厂区污水处理站恶臭，通过加盖密闭+生物除臭剂等措施，严格控制无组织排放，降低对周边环境的影响。</w:t>
      </w:r>
    </w:p>
    <w:p w14:paraId="475CA4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31BD39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噪声主要来源于锅炉风机、烘干机、洗脱机、洗衣龙、空压机、折叠机、污水处理水泵等生产设备运行时产生的噪声。通过优先选用低噪声设备，优化高噪声设备布局，采取隔声、减震、距离衰减等措施，确保厂界噪声满足《工业企业厂界环境噪声排放标准》(GB12348-2008)中3类标准要求。</w:t>
      </w:r>
    </w:p>
    <w:p w14:paraId="106ADA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1AE5D1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无害化”原则，对固体废物进行分类收集、处理和处置，并确保不造成二次污染。项目固体废物主要为生活垃圾、一般工业固体废物（废树脂、废污泥、废包装袋）、危险废物（废机油、废机油桶）。废树脂、废污泥、废包装袋经收集后暂存于一般固废暂存间，定期外售综合利用；废机油、废机油桶及含油抹布暂存于危废间，定期交由有资质单位处置；生活垃圾交由环卫部门清运。按《一般工业固体废物贮存和填埋污染控制标准》(GB18599-2020)和《危险废物贮存污染控制标准》(GB18597-2023)建设、管理一般工业固废暂存库和危险废物暂存库。</w:t>
      </w:r>
    </w:p>
    <w:p w14:paraId="6EA605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359D767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3647B8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0A1E781C">
      <w:pPr>
        <w:keepNext w:val="0"/>
        <w:keepLines w:val="0"/>
        <w:pageBreakBefore w:val="0"/>
        <w:widowControl w:val="0"/>
        <w:kinsoku/>
        <w:wordWrap/>
        <w:overflowPunct/>
        <w:topLinePunct w:val="0"/>
        <w:autoSpaceDE/>
        <w:autoSpaceDN/>
        <w:bidi w:val="0"/>
        <w:spacing w:line="600" w:lineRule="exact"/>
        <w:ind w:left="0" w:leftChars="0" w:firstLine="6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p>
    <w:p w14:paraId="31390172">
      <w:pPr>
        <w:keepNext w:val="0"/>
        <w:keepLines w:val="0"/>
        <w:pageBreakBefore w:val="0"/>
        <w:widowControl/>
        <w:numPr>
          <w:ilvl w:val="0"/>
          <w:numId w:val="0"/>
        </w:numPr>
        <w:suppressLineNumbers w:val="0"/>
        <w:kinsoku/>
        <w:wordWrap/>
        <w:overflowPunct/>
        <w:topLinePunct w:val="0"/>
        <w:bidi w:val="0"/>
        <w:spacing w:line="60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769FECB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226217A4">
      <w:pPr>
        <w:keepNext w:val="0"/>
        <w:keepLines w:val="0"/>
        <w:pageBreakBefore w:val="0"/>
        <w:widowControl/>
        <w:numPr>
          <w:ilvl w:val="0"/>
          <w:numId w:val="0"/>
        </w:numPr>
        <w:suppressLineNumbers w:val="0"/>
        <w:kinsoku/>
        <w:wordWrap/>
        <w:overflowPunct/>
        <w:topLinePunct w:val="0"/>
        <w:bidi w:val="0"/>
        <w:spacing w:line="60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1786C1C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严格落实《报告表》提出的环境风险防控措施，健全风险防控体系，按环评要求做好防渗工作。制定环境风险防控措施和突发环境事件应急预案，做好应急设施的检查维护。</w:t>
      </w:r>
    </w:p>
    <w:p w14:paraId="287C72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73FD076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1009805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6EC93C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278C6263">
      <w:pPr>
        <w:pStyle w:val="13"/>
        <w:keepNext w:val="0"/>
        <w:keepLines w:val="0"/>
        <w:pageBreakBefore w:val="0"/>
        <w:widowControl w:val="0"/>
        <w:kinsoku/>
        <w:wordWrap/>
        <w:overflowPunct/>
        <w:topLinePunct w:val="0"/>
        <w:bidi w:val="0"/>
        <w:snapToGrid w:val="0"/>
        <w:spacing w:line="60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2E09AB15">
      <w:pPr>
        <w:pStyle w:val="13"/>
        <w:keepNext w:val="0"/>
        <w:keepLines w:val="0"/>
        <w:pageBreakBefore w:val="0"/>
        <w:widowControl w:val="0"/>
        <w:kinsoku/>
        <w:wordWrap/>
        <w:overflowPunct/>
        <w:topLinePunct w:val="0"/>
        <w:bidi w:val="0"/>
        <w:snapToGrid w:val="0"/>
        <w:spacing w:line="60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59E6056F">
      <w:pPr>
        <w:pStyle w:val="13"/>
        <w:keepNext w:val="0"/>
        <w:keepLines w:val="0"/>
        <w:pageBreakBefore w:val="0"/>
        <w:widowControl w:val="0"/>
        <w:kinsoku/>
        <w:wordWrap/>
        <w:overflowPunct/>
        <w:topLinePunct w:val="0"/>
        <w:bidi w:val="0"/>
        <w:snapToGrid w:val="0"/>
        <w:spacing w:line="60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43D0DA5B">
      <w:pPr>
        <w:pStyle w:val="13"/>
        <w:keepNext w:val="0"/>
        <w:keepLines w:val="0"/>
        <w:pageBreakBefore w:val="0"/>
        <w:widowControl w:val="0"/>
        <w:kinsoku/>
        <w:wordWrap/>
        <w:overflowPunct/>
        <w:topLinePunct w:val="0"/>
        <w:bidi w:val="0"/>
        <w:snapToGrid w:val="0"/>
        <w:spacing w:line="60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1222C1FE">
      <w:pPr>
        <w:pStyle w:val="13"/>
        <w:keepNext w:val="0"/>
        <w:keepLines w:val="0"/>
        <w:pageBreakBefore w:val="0"/>
        <w:widowControl w:val="0"/>
        <w:kinsoku/>
        <w:wordWrap/>
        <w:overflowPunct/>
        <w:topLinePunct w:val="0"/>
        <w:bidi w:val="0"/>
        <w:snapToGrid w:val="0"/>
        <w:spacing w:line="60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p>
    <w:p w14:paraId="3EB50EDD">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0A2D0D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2026年1月28日</w:t>
      </w:r>
    </w:p>
    <w:p w14:paraId="47CE95BF">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2D1F9385">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7431F895">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6D2DC33B">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45B817E4">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21EBE3C8">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0C0A75D3">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34FBFA3E">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2C3499E0">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500A7C35">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036C5875">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1F91922D">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679988D9">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16D5D228">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5F443B79">
      <w:pPr>
        <w:pStyle w:val="10"/>
        <w:keepNext w:val="0"/>
        <w:keepLines w:val="0"/>
        <w:pageBreakBefore w:val="0"/>
        <w:kinsoku/>
        <w:wordWrap/>
        <w:overflowPunct/>
        <w:topLinePunct w:val="0"/>
        <w:bidi w:val="0"/>
        <w:spacing w:line="600" w:lineRule="exact"/>
        <w:jc w:val="both"/>
        <w:rPr>
          <w:rFonts w:hint="eastAsia" w:ascii="仿宋_GB2312" w:eastAsia="仿宋_GB2312"/>
          <w:color w:val="000000"/>
          <w:sz w:val="32"/>
          <w:szCs w:val="32"/>
          <w:lang w:val="en-US" w:eastAsia="zh-CN"/>
        </w:rPr>
      </w:pPr>
    </w:p>
    <w:p w14:paraId="280D4805">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28"/>
          <w:szCs w:val="28"/>
          <w:lang w:val="en-US" w:eastAsia="zh-CN"/>
        </w:rPr>
      </w:pPr>
      <w:bookmarkStart w:id="0" w:name="_GoBack"/>
      <w:bookmarkEnd w:id="0"/>
      <w:r>
        <w:rPr>
          <w:rFonts w:hint="eastAsia" w:ascii="仿宋_GB2312" w:hAnsi="仿宋_GB2312" w:eastAsia="仿宋_GB2312" w:cs="仿宋_GB2312"/>
          <w:color w:val="000000"/>
          <w:sz w:val="28"/>
          <w:szCs w:val="28"/>
          <w:lang w:val="en-US" w:eastAsia="zh-CN"/>
        </w:rPr>
        <w:t>九江市庐山生态环境局办公室             2026年1月28日印发</w:t>
      </w:r>
    </w:p>
    <w:p w14:paraId="609BB068">
      <w:pPr>
        <w:keepNext w:val="0"/>
        <w:keepLines w:val="0"/>
        <w:pageBreakBefore w:val="0"/>
        <w:kinsoku/>
        <w:wordWrap/>
        <w:overflowPunct/>
        <w:topLinePunct w:val="0"/>
        <w:bidi w:val="0"/>
        <w:spacing w:line="600" w:lineRule="exact"/>
        <w:jc w:val="both"/>
        <w:textAlignment w:val="auto"/>
      </w:pPr>
    </w:p>
    <w:p w14:paraId="07725714">
      <w:pPr>
        <w:keepNext w:val="0"/>
        <w:keepLines w:val="0"/>
        <w:pageBreakBefore w:val="0"/>
        <w:kinsoku/>
        <w:wordWrap/>
        <w:overflowPunct/>
        <w:topLinePunct w:val="0"/>
        <w:bidi w:val="0"/>
        <w:spacing w:line="600" w:lineRule="exact"/>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11224A4E"/>
    <w:rsid w:val="13A92ADE"/>
    <w:rsid w:val="16C17241"/>
    <w:rsid w:val="2DDF4725"/>
    <w:rsid w:val="3ACF2D8E"/>
    <w:rsid w:val="3F7F4803"/>
    <w:rsid w:val="3FBF5B35"/>
    <w:rsid w:val="416C2F7C"/>
    <w:rsid w:val="4B840CAF"/>
    <w:rsid w:val="59886BA2"/>
    <w:rsid w:val="643E6EF4"/>
    <w:rsid w:val="679A3FA0"/>
    <w:rsid w:val="6866553C"/>
    <w:rsid w:val="6CCA20EC"/>
    <w:rsid w:val="6FC40E2C"/>
    <w:rsid w:val="71F87351"/>
    <w:rsid w:val="75D73501"/>
    <w:rsid w:val="772462D2"/>
    <w:rsid w:val="776FC149"/>
    <w:rsid w:val="77B25E10"/>
    <w:rsid w:val="7A35138A"/>
    <w:rsid w:val="8EF680C3"/>
    <w:rsid w:val="8F63B601"/>
    <w:rsid w:val="BEF4104D"/>
    <w:rsid w:val="BFF7F95D"/>
    <w:rsid w:val="DFFF5C2E"/>
    <w:rsid w:val="F0D1B161"/>
    <w:rsid w:val="FBFDF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4">
    <w:name w:val="Body Text Indent 2"/>
    <w:basedOn w:val="1"/>
    <w:next w:val="1"/>
    <w:unhideWhenUsed/>
    <w:qFormat/>
    <w:uiPriority w:val="99"/>
    <w:pPr>
      <w:spacing w:line="500" w:lineRule="exact"/>
      <w:ind w:firstLine="556"/>
    </w:pPr>
    <w:rPr>
      <w:rFonts w:ascii="仿宋_GB2312" w:hAnsi="宋体" w:eastAsia="仿宋_GB2312" w:cs="宋体"/>
      <w:sz w:val="28"/>
      <w:szCs w:val="28"/>
    </w:rPr>
  </w:style>
  <w:style w:type="character" w:styleId="7">
    <w:name w:val="Hyperlink"/>
    <w:basedOn w:val="6"/>
    <w:qFormat/>
    <w:uiPriority w:val="0"/>
    <w:rPr>
      <w:color w:val="0000FF"/>
      <w:u w:val="single"/>
    </w:rPr>
  </w:style>
  <w:style w:type="paragraph" w:customStyle="1" w:styleId="8">
    <w:name w:val="样式1"/>
    <w:basedOn w:val="2"/>
    <w:next w:val="1"/>
    <w:qFormat/>
    <w:uiPriority w:val="0"/>
    <w:rPr>
      <w:rFonts w:ascii="Calibri" w:hAnsi="Calibri"/>
    </w:rPr>
  </w:style>
  <w:style w:type="character" w:customStyle="1" w:styleId="9">
    <w:name w:val="标题 1 Char"/>
    <w:link w:val="2"/>
    <w:qFormat/>
    <w:uiPriority w:val="0"/>
    <w:rPr>
      <w:b/>
      <w:kern w:val="44"/>
      <w:sz w:val="44"/>
    </w:rPr>
  </w:style>
  <w:style w:type="paragraph" w:customStyle="1" w:styleId="10">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1">
    <w:name w:val="段落 Char"/>
    <w:basedOn w:val="1"/>
    <w:qFormat/>
    <w:uiPriority w:val="0"/>
    <w:pPr>
      <w:topLinePunct/>
      <w:snapToGrid w:val="0"/>
      <w:spacing w:line="360" w:lineRule="auto"/>
      <w:ind w:firstLine="200" w:firstLineChars="200"/>
    </w:pPr>
    <w:rPr>
      <w:kern w:val="0"/>
      <w:sz w:val="24"/>
      <w:szCs w:val="20"/>
    </w:rPr>
  </w:style>
  <w:style w:type="paragraph" w:customStyle="1" w:styleId="12">
    <w:name w:val="lgg正文123"/>
    <w:basedOn w:val="1"/>
    <w:qFormat/>
    <w:uiPriority w:val="0"/>
    <w:pPr>
      <w:adjustRightInd w:val="0"/>
      <w:snapToGrid w:val="0"/>
      <w:spacing w:line="360" w:lineRule="auto"/>
      <w:ind w:firstLine="200" w:firstLineChars="200"/>
    </w:pPr>
    <w:rPr>
      <w:kern w:val="18"/>
      <w:sz w:val="24"/>
    </w:rPr>
  </w:style>
  <w:style w:type="paragraph" w:customStyle="1" w:styleId="13">
    <w:name w:val="文 本 正 文"/>
    <w:basedOn w:val="3"/>
    <w:qFormat/>
    <w:uiPriority w:val="0"/>
    <w:pPr>
      <w:autoSpaceDE w:val="0"/>
      <w:autoSpaceDN w:val="0"/>
      <w:adjustRightInd/>
      <w:ind w:firstLine="496" w:firstLineChars="200"/>
      <w:textAlignment w:val="auto"/>
    </w:pPr>
    <w:rPr>
      <w:rFonts w:hAnsi="宋体"/>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2025</Characters>
  <Lines>0</Lines>
  <Paragraphs>0</Paragraphs>
  <TotalTime>0</TotalTime>
  <ScaleCrop>false</ScaleCrop>
  <LinksUpToDate>false</LinksUpToDate>
  <CharactersWithSpaces>2072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2021-01-12T07:56:00Z</dcterms:created>
  <dc:creator>Administrator</dc:creator>
  <cp:lastModifiedBy>别那抹忧桑</cp:lastModifiedBy>
  <dcterms:modified xsi:type="dcterms:W3CDTF">2026-01-30T03:28:57Z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6B9068FE583297270413786912F3D20B</vt:lpwstr>
  </property>
  <property fmtid="{D5CDD505-2E9C-101B-9397-08002B2CF9AE}" pid="4" name="KSOTemplateDocerSaveRecord">
    <vt:lpwstr>eyJoZGlkIjoiOGYxOTg3Mjg1ZWRkYjgxOTgzYjE4ZDdhZjg3Njg3MWIiLCJ1c2VySWQiOiI0NTIwMTg5NjUifQ==</vt:lpwstr>
  </property>
</Properties>
</file>