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9D7FD">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Style w:val="8"/>
          <w:rFonts w:hint="eastAsia" w:ascii="宋体" w:hAnsi="宋体" w:eastAsia="宋体" w:cs="宋体"/>
          <w:b/>
          <w:lang w:val="en-US" w:eastAsia="zh-CN"/>
        </w:rPr>
      </w:pPr>
      <w:r>
        <w:rPr>
          <w:rStyle w:val="8"/>
          <w:rFonts w:hint="eastAsia" w:ascii="宋体" w:hAnsi="宋体" w:eastAsia="宋体" w:cs="宋体"/>
          <w:b/>
          <w:lang w:val="en-US" w:eastAsia="zh-CN"/>
        </w:rPr>
        <w:t>关于</w:t>
      </w:r>
      <w:r>
        <w:rPr>
          <w:rStyle w:val="8"/>
          <w:rFonts w:hint="default" w:ascii="宋体" w:hAnsi="宋体" w:eastAsia="宋体" w:cs="宋体"/>
          <w:b/>
          <w:lang w:val="en-US" w:eastAsia="zh-CN"/>
        </w:rPr>
        <w:t>庐山市循环经济产业园三期奋发铝业技改以及扩建项目</w:t>
      </w:r>
      <w:r>
        <w:rPr>
          <w:rStyle w:val="8"/>
          <w:rFonts w:hint="eastAsia" w:ascii="宋体" w:hAnsi="宋体" w:eastAsia="宋体" w:cs="宋体"/>
          <w:b/>
          <w:lang w:val="en-US" w:eastAsia="zh-CN"/>
        </w:rPr>
        <w:t>环境影响报告表</w:t>
      </w:r>
    </w:p>
    <w:p w14:paraId="1D155404">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Style w:val="8"/>
          <w:rFonts w:hint="eastAsia" w:ascii="宋体" w:hAnsi="宋体" w:eastAsia="宋体" w:cs="宋体"/>
          <w:b/>
          <w:lang w:val="en-US" w:eastAsia="zh-CN"/>
        </w:rPr>
      </w:pPr>
      <w:r>
        <w:rPr>
          <w:rStyle w:val="8"/>
          <w:rFonts w:hint="eastAsia" w:ascii="宋体" w:hAnsi="宋体" w:eastAsia="宋体" w:cs="宋体"/>
          <w:b/>
          <w:lang w:val="en-US" w:eastAsia="zh-CN"/>
        </w:rPr>
        <w:t>的批复</w:t>
      </w:r>
    </w:p>
    <w:p w14:paraId="068542FA">
      <w:pPr>
        <w:pStyle w:val="2"/>
        <w:keepNext/>
        <w:keepLines/>
        <w:pageBreakBefore w:val="0"/>
        <w:widowControl w:val="0"/>
        <w:kinsoku/>
        <w:wordWrap/>
        <w:overflowPunct/>
        <w:topLinePunct w:val="0"/>
        <w:autoSpaceDE/>
        <w:autoSpaceDN/>
        <w:bidi w:val="0"/>
        <w:adjustRightInd/>
        <w:snapToGrid/>
        <w:spacing w:before="0" w:beforeLines="0" w:after="0" w:afterLines="0" w:line="540" w:lineRule="exact"/>
        <w:jc w:val="center"/>
        <w:textAlignment w:val="auto"/>
        <w:rPr>
          <w:rStyle w:val="8"/>
          <w:rFonts w:hint="eastAsia" w:ascii="宋体" w:hAnsi="宋体" w:eastAsia="宋体" w:cs="宋体"/>
          <w:b/>
          <w:lang w:val="en-US" w:eastAsia="zh-CN"/>
        </w:rPr>
      </w:pPr>
    </w:p>
    <w:p w14:paraId="17110A3A">
      <w:pPr>
        <w:keepNext w:val="0"/>
        <w:keepLines w:val="0"/>
        <w:pageBreakBefore w:val="0"/>
        <w:widowControl w:val="0"/>
        <w:suppressLineNumbers w:val="0"/>
        <w:kinsoku/>
        <w:wordWrap/>
        <w:overflowPunct/>
        <w:topLinePunct w:val="0"/>
        <w:bidi w:val="0"/>
        <w:spacing w:beforeAutospacing="0" w:afterAutospacing="0" w:line="540" w:lineRule="exact"/>
        <w:ind w:right="0"/>
        <w:jc w:val="center"/>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九庐环审〔2025〕9号</w:t>
      </w:r>
    </w:p>
    <w:p w14:paraId="5948EBA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jc w:val="both"/>
        <w:textAlignment w:val="auto"/>
        <w:rPr>
          <w:rFonts w:hint="eastAsia" w:ascii="仿宋_GB2312" w:hAnsi="仿宋_GB2312" w:eastAsia="仿宋_GB2312" w:cs="仿宋_GB2312"/>
          <w:kern w:val="2"/>
          <w:sz w:val="32"/>
          <w:szCs w:val="32"/>
          <w:lang w:val="en-US" w:eastAsia="zh-CN" w:bidi="ar"/>
        </w:rPr>
      </w:pPr>
    </w:p>
    <w:p w14:paraId="636063D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庐山市奋发铝业有限公司</w:t>
      </w:r>
      <w:r>
        <w:rPr>
          <w:rFonts w:hint="eastAsia" w:ascii="仿宋_GB2312" w:hAnsi="仿宋_GB2312" w:eastAsia="仿宋_GB2312" w:cs="仿宋_GB2312"/>
          <w:kern w:val="2"/>
          <w:sz w:val="32"/>
          <w:szCs w:val="32"/>
          <w:lang w:val="en-US" w:eastAsia="zh-CN" w:bidi="ar"/>
        </w:rPr>
        <w:t>：</w:t>
      </w:r>
    </w:p>
    <w:p w14:paraId="1159273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你公司报来的《</w:t>
      </w:r>
      <w:r>
        <w:rPr>
          <w:rFonts w:hint="default" w:ascii="仿宋_GB2312" w:hAnsi="仿宋_GB2312" w:eastAsia="仿宋_GB2312" w:cs="仿宋_GB2312"/>
          <w:kern w:val="2"/>
          <w:sz w:val="32"/>
          <w:szCs w:val="32"/>
          <w:lang w:val="en-US" w:eastAsia="zh-CN" w:bidi="ar"/>
        </w:rPr>
        <w:t>庐山市循环经济产业园三期奋发铝业技改以及扩建项目</w:t>
      </w:r>
      <w:r>
        <w:rPr>
          <w:rFonts w:hint="default" w:ascii="仿宋_GB2312" w:hAnsi="仿宋_GB2312" w:eastAsia="仿宋_GB2312" w:cs="仿宋_GB2312"/>
          <w:kern w:val="2"/>
          <w:sz w:val="32"/>
          <w:szCs w:val="32"/>
          <w:lang w:val="en-US" w:eastAsia="zh-CN" w:bidi="ar"/>
        </w:rPr>
        <w:t>环境影响报告表</w:t>
      </w:r>
      <w:r>
        <w:rPr>
          <w:rFonts w:hint="eastAsia" w:ascii="仿宋_GB2312" w:hAnsi="仿宋_GB2312" w:eastAsia="仿宋_GB2312" w:cs="仿宋_GB2312"/>
          <w:kern w:val="2"/>
          <w:sz w:val="32"/>
          <w:szCs w:val="32"/>
          <w:lang w:val="en-US" w:eastAsia="zh-CN" w:bidi="ar"/>
        </w:rPr>
        <w:t>》（以下简称《报告表》）收悉，现批复如下：</w:t>
      </w:r>
    </w:p>
    <w:p w14:paraId="3066E6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黑体" w:hAnsi="黑体" w:eastAsia="黑体" w:cs="黑体"/>
          <w:b w:val="0"/>
          <w:bCs w:val="0"/>
          <w:kern w:val="2"/>
          <w:sz w:val="32"/>
          <w:szCs w:val="32"/>
          <w:lang w:val="en-US" w:eastAsia="zh-CN" w:bidi="ar"/>
        </w:rPr>
        <w:t>一、项目基本情况及批复要求</w:t>
      </w:r>
    </w:p>
    <w:p w14:paraId="14C47B6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项目选址位</w:t>
      </w:r>
      <w:r>
        <w:rPr>
          <w:rFonts w:hint="eastAsia" w:ascii="仿宋_GB2312" w:hAnsi="仿宋_GB2312" w:eastAsia="仿宋_GB2312" w:cs="仿宋_GB2312"/>
          <w:kern w:val="2"/>
          <w:sz w:val="32"/>
          <w:szCs w:val="32"/>
          <w:lang w:val="en-US" w:eastAsia="zh-CN" w:bidi="ar"/>
        </w:rPr>
        <w:t>于江西庐山工业园区</w:t>
      </w:r>
      <w:r>
        <w:rPr>
          <w:rFonts w:hint="default" w:ascii="仿宋_GB2312" w:hAnsi="仿宋_GB2312" w:eastAsia="仿宋_GB2312" w:cs="仿宋_GB2312"/>
          <w:kern w:val="2"/>
          <w:sz w:val="32"/>
          <w:szCs w:val="32"/>
          <w:lang w:val="en-US" w:eastAsia="zh-CN" w:bidi="ar"/>
        </w:rPr>
        <w:t>鄱阳湖高新项目区科创园</w:t>
      </w:r>
      <w:r>
        <w:rPr>
          <w:rFonts w:hint="eastAsia" w:ascii="仿宋_GB2312" w:hAnsi="仿宋_GB2312" w:eastAsia="仿宋_GB2312" w:cs="仿宋_GB2312"/>
          <w:kern w:val="2"/>
          <w:sz w:val="32"/>
          <w:szCs w:val="32"/>
          <w:lang w:val="en-US" w:eastAsia="zh-CN" w:bidi="ar"/>
        </w:rPr>
        <w:t>内，为新建项目，</w:t>
      </w:r>
      <w:r>
        <w:rPr>
          <w:rFonts w:hint="default" w:ascii="仿宋_GB2312" w:hAnsi="仿宋_GB2312" w:eastAsia="仿宋_GB2312" w:cs="仿宋_GB2312"/>
          <w:kern w:val="2"/>
          <w:sz w:val="32"/>
          <w:szCs w:val="32"/>
          <w:lang w:val="en-US" w:eastAsia="zh-CN" w:bidi="ar"/>
        </w:rPr>
        <w:t>中心地理坐标</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东经</w:t>
      </w:r>
      <w:r>
        <w:rPr>
          <w:rFonts w:hint="default" w:ascii="Times New Roman" w:hAnsi="Times New Roman" w:eastAsia="仿宋" w:cs="仿宋"/>
          <w:color w:val="auto"/>
          <w:sz w:val="32"/>
          <w:szCs w:val="32"/>
          <w:lang w:val="en-US" w:eastAsia="zh-CN"/>
        </w:rPr>
        <w:t>11</w:t>
      </w:r>
      <w:r>
        <w:rPr>
          <w:rFonts w:hint="eastAsia" w:ascii="Times New Roman" w:hAnsi="Times New Roman" w:eastAsia="仿宋" w:cs="仿宋"/>
          <w:color w:val="auto"/>
          <w:sz w:val="32"/>
          <w:szCs w:val="32"/>
          <w:lang w:val="en-US" w:eastAsia="zh-CN"/>
        </w:rPr>
        <w:t>6</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0</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48.685</w:t>
      </w:r>
      <w:r>
        <w:rPr>
          <w:rFonts w:hint="default" w:ascii="Times New Roman" w:hAnsi="Times New Roman" w:eastAsia="仿宋" w:cs="仿宋"/>
          <w:color w:val="auto"/>
          <w:sz w:val="32"/>
          <w:szCs w:val="32"/>
          <w:lang w:val="en-US" w:eastAsia="zh-CN"/>
        </w:rPr>
        <w:t>″</w:t>
      </w:r>
      <w:r>
        <w:rPr>
          <w:rFonts w:hint="default" w:ascii="仿宋_GB2312" w:hAnsi="仿宋_GB2312" w:eastAsia="仿宋_GB2312" w:cs="仿宋_GB2312"/>
          <w:kern w:val="2"/>
          <w:sz w:val="32"/>
          <w:szCs w:val="32"/>
          <w:lang w:val="en-US" w:eastAsia="zh-CN" w:bidi="ar"/>
        </w:rPr>
        <w:t>，</w:t>
      </w:r>
      <w:r>
        <w:rPr>
          <w:rFonts w:hint="eastAsia" w:ascii="仿宋_GB2312" w:hAnsi="仿宋_GB2312" w:eastAsia="仿宋_GB2312" w:cs="仿宋_GB2312"/>
          <w:kern w:val="2"/>
          <w:sz w:val="32"/>
          <w:szCs w:val="32"/>
          <w:lang w:val="en-US" w:eastAsia="zh-CN" w:bidi="ar"/>
        </w:rPr>
        <w:t>北纬</w:t>
      </w:r>
      <w:r>
        <w:rPr>
          <w:rFonts w:hint="default" w:ascii="Times New Roman" w:hAnsi="Times New Roman" w:eastAsia="仿宋" w:cs="仿宋"/>
          <w:color w:val="auto"/>
          <w:sz w:val="32"/>
          <w:szCs w:val="32"/>
          <w:lang w:val="en-US" w:eastAsia="zh-CN"/>
        </w:rPr>
        <w:t>29°</w:t>
      </w:r>
      <w:r>
        <w:rPr>
          <w:rFonts w:hint="eastAsia" w:ascii="Times New Roman" w:hAnsi="Times New Roman" w:eastAsia="仿宋" w:cs="仿宋"/>
          <w:color w:val="auto"/>
          <w:sz w:val="32"/>
          <w:szCs w:val="32"/>
          <w:lang w:val="en-US" w:eastAsia="zh-CN"/>
        </w:rPr>
        <w:t>22</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43.721</w:t>
      </w:r>
      <w:r>
        <w:rPr>
          <w:rFonts w:hint="default" w:ascii="Times New Roman" w:hAnsi="Times New Roman" w:eastAsia="仿宋" w:cs="仿宋"/>
          <w:color w:val="auto"/>
          <w:sz w:val="32"/>
          <w:szCs w:val="32"/>
          <w:lang w:val="en-US" w:eastAsia="zh-CN"/>
        </w:rPr>
        <w:t>″</w:t>
      </w:r>
      <w:r>
        <w:rPr>
          <w:rFonts w:hint="eastAsia" w:ascii="Times New Roman" w:hAnsi="Times New Roman" w:eastAsia="仿宋" w:cs="仿宋"/>
          <w:color w:val="auto"/>
          <w:sz w:val="32"/>
          <w:szCs w:val="32"/>
          <w:lang w:val="en-US" w:eastAsia="zh-CN"/>
        </w:rPr>
        <w:t>。</w:t>
      </w:r>
      <w:r>
        <w:rPr>
          <w:rFonts w:hint="default" w:ascii="仿宋_GB2312" w:hAnsi="仿宋_GB2312" w:eastAsia="仿宋_GB2312" w:cs="仿宋_GB2312"/>
          <w:kern w:val="2"/>
          <w:sz w:val="32"/>
          <w:szCs w:val="32"/>
          <w:lang w:val="en-US" w:eastAsia="zh-CN" w:bidi="ar"/>
        </w:rPr>
        <w:t>本项目通过购置数控机床、注塑机、贴片机、回流焊等主要生产设备</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以铝型材为主要原料，经机加工</w:t>
      </w:r>
      <w:r>
        <w:rPr>
          <w:rFonts w:hint="eastAsia" w:ascii="仿宋_GB2312" w:hAnsi="仿宋_GB2312" w:eastAsia="仿宋_GB2312" w:cs="仿宋_GB2312"/>
          <w:kern w:val="2"/>
          <w:sz w:val="32"/>
          <w:szCs w:val="32"/>
          <w:lang w:val="en-US" w:eastAsia="zh-CN" w:bidi="ar"/>
        </w:rPr>
        <w:t>、</w:t>
      </w:r>
      <w:r>
        <w:rPr>
          <w:rFonts w:hint="default" w:ascii="仿宋_GB2312" w:hAnsi="仿宋_GB2312" w:eastAsia="仿宋_GB2312" w:cs="仿宋_GB2312"/>
          <w:kern w:val="2"/>
          <w:sz w:val="32"/>
          <w:szCs w:val="32"/>
          <w:lang w:val="en-US" w:eastAsia="zh-CN" w:bidi="ar"/>
        </w:rPr>
        <w:t>组装</w:t>
      </w:r>
      <w:r>
        <w:rPr>
          <w:rFonts w:hint="eastAsia" w:ascii="仿宋_GB2312" w:hAnsi="仿宋_GB2312" w:eastAsia="仿宋_GB2312" w:cs="仿宋_GB2312"/>
          <w:kern w:val="2"/>
          <w:sz w:val="32"/>
          <w:szCs w:val="32"/>
          <w:lang w:val="en-US" w:eastAsia="zh-CN" w:bidi="ar"/>
        </w:rPr>
        <w:t>等工序，</w:t>
      </w:r>
      <w:r>
        <w:rPr>
          <w:rFonts w:hint="default" w:ascii="仿宋_GB2312" w:hAnsi="仿宋_GB2312" w:eastAsia="仿宋_GB2312" w:cs="仿宋_GB2312"/>
          <w:kern w:val="2"/>
          <w:sz w:val="32"/>
          <w:szCs w:val="32"/>
          <w:lang w:val="en-US" w:eastAsia="zh-CN" w:bidi="ar"/>
        </w:rPr>
        <w:t>年产500万件高端卫浴件和1000万件汽车配件；以聚丙烯（PP）、</w:t>
      </w:r>
      <w:r>
        <w:rPr>
          <w:rFonts w:hint="eastAsia" w:ascii="仿宋_GB2312" w:hAnsi="仿宋_GB2312" w:eastAsia="仿宋_GB2312" w:cs="仿宋_GB2312"/>
          <w:kern w:val="2"/>
          <w:sz w:val="32"/>
          <w:szCs w:val="32"/>
          <w:lang w:val="en-US" w:eastAsia="zh-CN" w:bidi="ar"/>
        </w:rPr>
        <w:t>塑料</w:t>
      </w:r>
      <w:r>
        <w:rPr>
          <w:rFonts w:hint="default" w:ascii="仿宋_GB2312" w:hAnsi="仿宋_GB2312" w:eastAsia="仿宋_GB2312" w:cs="仿宋_GB2312"/>
          <w:kern w:val="2"/>
          <w:sz w:val="32"/>
          <w:szCs w:val="32"/>
          <w:lang w:val="en-US" w:eastAsia="zh-CN" w:bidi="ar"/>
        </w:rPr>
        <w:t>原料树脂（ABS）、聚碳酸酯（PC）为主要原料，经注塑工艺，形成年产10000万件塑料零件；外购电路板、电阻、电容等电子元器件，通过</w:t>
      </w:r>
      <w:r>
        <w:rPr>
          <w:rFonts w:hint="eastAsia" w:ascii="仿宋_GB2312" w:hAnsi="仿宋_GB2312" w:eastAsia="仿宋_GB2312" w:cs="仿宋_GB2312"/>
          <w:kern w:val="2"/>
          <w:sz w:val="32"/>
          <w:szCs w:val="32"/>
          <w:lang w:val="en-US" w:eastAsia="zh-CN" w:bidi="ar"/>
        </w:rPr>
        <w:t>锡膏印刷、贴片、</w:t>
      </w:r>
      <w:r>
        <w:rPr>
          <w:rFonts w:hint="default" w:ascii="仿宋_GB2312" w:hAnsi="仿宋_GB2312" w:eastAsia="仿宋_GB2312" w:cs="仿宋_GB2312"/>
          <w:kern w:val="2"/>
          <w:sz w:val="32"/>
          <w:szCs w:val="32"/>
          <w:lang w:val="en-US" w:eastAsia="zh-CN" w:bidi="ar"/>
        </w:rPr>
        <w:t>焊接</w:t>
      </w:r>
      <w:r>
        <w:rPr>
          <w:rFonts w:hint="eastAsia" w:ascii="仿宋_GB2312" w:hAnsi="仿宋_GB2312" w:eastAsia="仿宋_GB2312" w:cs="仿宋_GB2312"/>
          <w:kern w:val="2"/>
          <w:sz w:val="32"/>
          <w:szCs w:val="32"/>
          <w:lang w:val="en-US" w:eastAsia="zh-CN" w:bidi="ar"/>
        </w:rPr>
        <w:t>等</w:t>
      </w:r>
      <w:r>
        <w:rPr>
          <w:rFonts w:hint="default" w:ascii="仿宋_GB2312" w:hAnsi="仿宋_GB2312" w:eastAsia="仿宋_GB2312" w:cs="仿宋_GB2312"/>
          <w:kern w:val="2"/>
          <w:sz w:val="32"/>
          <w:szCs w:val="32"/>
          <w:lang w:val="en-US" w:eastAsia="zh-CN" w:bidi="ar"/>
        </w:rPr>
        <w:t>工艺，形成年产5000万件半导体电子产品。</w:t>
      </w:r>
      <w:r>
        <w:rPr>
          <w:rFonts w:hint="eastAsia" w:ascii="仿宋_GB2312" w:hAnsi="仿宋_GB2312" w:eastAsia="仿宋_GB2312" w:cs="仿宋_GB2312"/>
          <w:kern w:val="2"/>
          <w:sz w:val="32"/>
          <w:szCs w:val="32"/>
          <w:lang w:val="en-US" w:eastAsia="zh-CN" w:bidi="ar"/>
        </w:rPr>
        <w:t>项目总投资100000万元，其中环保投资45万元，</w:t>
      </w:r>
      <w:r>
        <w:rPr>
          <w:rFonts w:hint="default" w:ascii="仿宋_GB2312" w:hAnsi="仿宋_GB2312" w:eastAsia="仿宋_GB2312" w:cs="仿宋_GB2312"/>
          <w:kern w:val="2"/>
          <w:sz w:val="32"/>
          <w:szCs w:val="32"/>
          <w:lang w:val="en-US" w:eastAsia="zh-CN" w:bidi="ar"/>
        </w:rPr>
        <w:t>约占总投资的</w:t>
      </w:r>
      <w:r>
        <w:rPr>
          <w:rFonts w:hint="eastAsia" w:ascii="仿宋_GB2312" w:hAnsi="仿宋_GB2312" w:eastAsia="仿宋_GB2312" w:cs="仿宋_GB2312"/>
          <w:kern w:val="2"/>
          <w:sz w:val="32"/>
          <w:szCs w:val="32"/>
          <w:lang w:val="en-US" w:eastAsia="zh-CN" w:bidi="ar"/>
        </w:rPr>
        <w:t xml:space="preserve">0.045%。  </w:t>
      </w:r>
    </w:p>
    <w:p w14:paraId="66AB238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你</w:t>
      </w:r>
      <w:r>
        <w:rPr>
          <w:rFonts w:hint="eastAsia" w:ascii="仿宋_GB2312" w:hAnsi="仿宋_GB2312" w:eastAsia="仿宋_GB2312" w:cs="仿宋_GB2312"/>
          <w:kern w:val="2"/>
          <w:sz w:val="32"/>
          <w:szCs w:val="32"/>
          <w:lang w:val="en-US" w:eastAsia="zh-CN" w:bidi="ar"/>
        </w:rPr>
        <w:t>公司</w:t>
      </w:r>
      <w:r>
        <w:rPr>
          <w:rFonts w:hint="default" w:ascii="仿宋_GB2312" w:hAnsi="仿宋_GB2312" w:eastAsia="仿宋_GB2312" w:cs="仿宋_GB2312"/>
          <w:kern w:val="2"/>
          <w:sz w:val="32"/>
          <w:szCs w:val="32"/>
          <w:lang w:val="en-US" w:eastAsia="zh-CN" w:bidi="ar"/>
        </w:rPr>
        <w:t>应全面落实</w:t>
      </w:r>
      <w:r>
        <w:rPr>
          <w:rFonts w:hint="eastAsia" w:ascii="仿宋_GB2312" w:hAnsi="仿宋_GB2312" w:eastAsia="仿宋_GB2312" w:cs="仿宋_GB2312"/>
          <w:kern w:val="2"/>
          <w:sz w:val="32"/>
          <w:szCs w:val="32"/>
          <w:lang w:val="en-US" w:eastAsia="zh-CN" w:bidi="ar"/>
        </w:rPr>
        <w:t>《报告表》</w:t>
      </w:r>
      <w:r>
        <w:rPr>
          <w:rFonts w:hint="default" w:ascii="仿宋_GB2312" w:hAnsi="仿宋_GB2312" w:eastAsia="仿宋_GB2312" w:cs="仿宋_GB2312"/>
          <w:kern w:val="2"/>
          <w:sz w:val="32"/>
          <w:szCs w:val="32"/>
          <w:lang w:val="en-US" w:eastAsia="zh-CN" w:bidi="ar"/>
        </w:rPr>
        <w:t>提出的各项污染防治和环境风险防范措施，缓解和控制对环境的不利影响</w:t>
      </w:r>
      <w:r>
        <w:rPr>
          <w:rFonts w:hint="eastAsia" w:ascii="仿宋_GB2312" w:hAnsi="仿宋_GB2312" w:eastAsia="仿宋_GB2312" w:cs="仿宋_GB2312"/>
          <w:kern w:val="2"/>
          <w:sz w:val="32"/>
          <w:szCs w:val="32"/>
          <w:lang w:val="en-US" w:eastAsia="zh-CN" w:bidi="ar"/>
        </w:rPr>
        <w:t>。经局班子会研究决定，</w:t>
      </w:r>
      <w:r>
        <w:rPr>
          <w:rFonts w:hint="default" w:ascii="仿宋_GB2312" w:hAnsi="仿宋_GB2312" w:eastAsia="仿宋_GB2312" w:cs="仿宋_GB2312"/>
          <w:kern w:val="2"/>
          <w:sz w:val="32"/>
          <w:szCs w:val="32"/>
          <w:lang w:val="en-US" w:eastAsia="zh-CN" w:bidi="ar"/>
        </w:rPr>
        <w:t>同意</w:t>
      </w:r>
      <w:r>
        <w:rPr>
          <w:rFonts w:hint="eastAsia" w:ascii="仿宋_GB2312" w:hAnsi="仿宋_GB2312" w:eastAsia="仿宋_GB2312" w:cs="仿宋_GB2312"/>
          <w:kern w:val="2"/>
          <w:sz w:val="32"/>
          <w:szCs w:val="32"/>
          <w:lang w:val="en-US" w:eastAsia="zh-CN" w:bidi="ar"/>
        </w:rPr>
        <w:t>《报告表》的环境影响评价总体结论和各项环境保护措施。</w:t>
      </w:r>
    </w:p>
    <w:p w14:paraId="5835128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二、污染防治措施及要求</w:t>
      </w:r>
    </w:p>
    <w:p w14:paraId="2C2227D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工程在建设和运营过程中必须严格落实《报告表》提出的各项环保措施和要求，并重点做好以下几项工作：</w:t>
      </w:r>
    </w:p>
    <w:p w14:paraId="7C858A6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（一）废水污染防治</w:t>
      </w:r>
    </w:p>
    <w:p w14:paraId="4C65692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按照“雨污分流、清污分流”原则，严格落实废水污染防治措施。生活污水经厂区预处理后与冷却塔产生的冷却水一同达接管标准排入庐山市鄱湖高新项目区污水处理厂深度处理后达标排放。</w:t>
      </w:r>
    </w:p>
    <w:p w14:paraId="5146F3C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（二）废气污染防治</w:t>
      </w:r>
    </w:p>
    <w:p w14:paraId="6672B44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废气污染防治措施，加强废气处理设施管理。抛光废气经密闭收集+布袋除尘器处理后通过15米高排气筒DA001排放；回流焊废气、焊接废气经集气罩+二级活性炭处理后通过15米高排气筒DA002排放；注塑废气经集气罩+二级活性炭处理后15米高排气筒DA003排放；同时，严格落实无组织排放废气的各项控制措施，降低对周边环境的影响。</w:t>
      </w:r>
    </w:p>
    <w:p w14:paraId="2E8F054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楷体" w:hAnsi="楷体" w:eastAsia="楷体" w:cs="楷体"/>
          <w:b/>
          <w:bCs/>
          <w:kern w:val="2"/>
          <w:sz w:val="32"/>
          <w:szCs w:val="32"/>
          <w:lang w:val="en-US" w:eastAsia="zh-CN" w:bidi="ar"/>
        </w:rPr>
        <w:t>（三）噪声污染防治</w:t>
      </w:r>
    </w:p>
    <w:p w14:paraId="4F4B5A1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项目噪声主要来源于生产设备运行时产生的噪声。通过优先选用低噪声设备，优化高噪声设备布局，采取隔声、减震、距离衰减等措施，确保厂界噪声满足《工业企业厂界环境噪声排放标准》(GB12348-2008)中3类标准要求。</w:t>
      </w:r>
    </w:p>
    <w:p w14:paraId="4B48E59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default"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（四）固废污染防治</w:t>
      </w:r>
    </w:p>
    <w:p w14:paraId="1AE5D1B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default" w:ascii="仿宋_GB2312" w:hAnsi="仿宋_GB2312" w:eastAsia="仿宋_GB2312" w:cs="仿宋_GB2312"/>
          <w:kern w:val="2"/>
          <w:sz w:val="32"/>
          <w:szCs w:val="32"/>
          <w:lang w:val="en-US" w:eastAsia="zh-CN" w:bidi="ar"/>
        </w:rPr>
        <w:t>严格落实固体废物污染防治措施。按照“减量化、资源化、无害化”原则，对固体废物进行分类收集、处理和处置，并确保不造成二次污染。按《一般工业固体废物贮存和填埋污染控制标准》(GB18599-2020)和《危险废物贮存污染控制标准》(GB18597-2023)建设、管理一般工业固废暂存库和危险废物暂存库。危险废物必须交由有相应危度处置资质的单位处理，并严格执行转移联单制度。</w:t>
      </w:r>
    </w:p>
    <w:p w14:paraId="553FE0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（五）清洁生产</w:t>
      </w:r>
    </w:p>
    <w:p w14:paraId="5BD1B61D">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选择先进的生产工艺和设备，降低物耗、能耗，从源头上减少污染物产生和排放，禁止采用落后的、淘汰类的生产设备及生产工艺。项目在设计和建设中应对设备和管道采取防腐、防漏、密闭等措施，防止生产过程中的跑、冒、滴、漏。</w:t>
      </w:r>
    </w:p>
    <w:p w14:paraId="0F01EC4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3" w:firstLineChars="200"/>
        <w:jc w:val="both"/>
        <w:textAlignment w:val="auto"/>
        <w:rPr>
          <w:rFonts w:hint="eastAsia" w:ascii="楷体" w:hAnsi="楷体" w:eastAsia="楷体" w:cs="楷体"/>
          <w:b/>
          <w:bCs/>
          <w:kern w:val="2"/>
          <w:sz w:val="32"/>
          <w:szCs w:val="32"/>
          <w:lang w:val="en-US" w:eastAsia="zh-CN" w:bidi="ar"/>
        </w:rPr>
      </w:pPr>
      <w:r>
        <w:rPr>
          <w:rFonts w:hint="eastAsia" w:ascii="楷体" w:hAnsi="楷体" w:eastAsia="楷体" w:cs="楷体"/>
          <w:b/>
          <w:bCs/>
          <w:kern w:val="2"/>
          <w:sz w:val="32"/>
          <w:szCs w:val="32"/>
          <w:lang w:val="en-US" w:eastAsia="zh-CN" w:bidi="ar"/>
        </w:rPr>
        <w:t>（六）污染物总量控制</w:t>
      </w:r>
    </w:p>
    <w:p w14:paraId="5AA6D995">
      <w:pPr>
        <w:keepNext w:val="0"/>
        <w:keepLines w:val="0"/>
        <w:pageBreakBefore w:val="0"/>
        <w:widowControl w:val="0"/>
        <w:kinsoku/>
        <w:wordWrap/>
        <w:overflowPunct/>
        <w:topLinePunct w:val="0"/>
        <w:autoSpaceDE/>
        <w:autoSpaceDN/>
        <w:bidi w:val="0"/>
        <w:spacing w:line="540" w:lineRule="exact"/>
        <w:ind w:left="0" w:leftChars="0" w:firstLine="68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项目总量控制指标</w:t>
      </w:r>
      <w:r>
        <w:rPr>
          <w:rFonts w:hint="eastAsia" w:ascii="仿宋_GB2312" w:hAnsi="仿宋_GB2312" w:eastAsia="仿宋_GB2312" w:cs="仿宋_GB2312"/>
          <w:color w:val="auto"/>
          <w:sz w:val="32"/>
          <w:szCs w:val="32"/>
        </w:rPr>
        <w:t>应满足我局核实确认的建设项目总量控制指标要求。</w:t>
      </w:r>
    </w:p>
    <w:p w14:paraId="79B582A2">
      <w:pPr>
        <w:keepNext w:val="0"/>
        <w:keepLines w:val="0"/>
        <w:pageBreakBefore w:val="0"/>
        <w:widowControl/>
        <w:numPr>
          <w:ilvl w:val="0"/>
          <w:numId w:val="0"/>
        </w:numPr>
        <w:suppressLineNumbers w:val="0"/>
        <w:kinsoku/>
        <w:wordWrap/>
        <w:overflowPunct/>
        <w:topLinePunct w:val="0"/>
        <w:bidi w:val="0"/>
        <w:spacing w:line="54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（七）土壤和地下水污染防治</w:t>
      </w:r>
    </w:p>
    <w:p w14:paraId="58E59F44">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按照“源头控制、分区防治、污染监控、应急响应”的原则进行地下水污染防治。落实《报告表》中提出的地下水、土壤防治措施，并加强对防腐防渗设施的日常维护管理，防止环境污染，确保土壤和地下水环境质量满足规定标准。 </w:t>
      </w:r>
    </w:p>
    <w:p w14:paraId="627C3859">
      <w:pPr>
        <w:keepNext w:val="0"/>
        <w:keepLines w:val="0"/>
        <w:pageBreakBefore w:val="0"/>
        <w:widowControl/>
        <w:numPr>
          <w:ilvl w:val="0"/>
          <w:numId w:val="0"/>
        </w:numPr>
        <w:suppressLineNumbers w:val="0"/>
        <w:kinsoku/>
        <w:wordWrap/>
        <w:overflowPunct/>
        <w:topLinePunct w:val="0"/>
        <w:bidi w:val="0"/>
        <w:spacing w:line="540" w:lineRule="exact"/>
        <w:ind w:left="0" w:leftChars="0" w:firstLine="643" w:firstLineChars="200"/>
        <w:jc w:val="both"/>
        <w:textAlignment w:val="auto"/>
        <w:rPr>
          <w:rFonts w:hint="eastAsia" w:ascii="楷体" w:hAnsi="楷体" w:eastAsia="楷体" w:cs="楷体"/>
          <w:b/>
          <w:bCs/>
          <w:color w:val="auto"/>
          <w:kern w:val="0"/>
          <w:sz w:val="32"/>
          <w:szCs w:val="32"/>
          <w:lang w:val="en-US" w:eastAsia="zh-CN" w:bidi="ar"/>
        </w:rPr>
      </w:pPr>
      <w:r>
        <w:rPr>
          <w:rFonts w:hint="eastAsia" w:ascii="楷体" w:hAnsi="楷体" w:eastAsia="楷体" w:cs="楷体"/>
          <w:b/>
          <w:bCs/>
          <w:color w:val="auto"/>
          <w:kern w:val="0"/>
          <w:sz w:val="32"/>
          <w:szCs w:val="32"/>
          <w:lang w:val="en-US" w:eastAsia="zh-CN" w:bidi="ar"/>
        </w:rPr>
        <w:t xml:space="preserve">（八）环境风险防范 </w:t>
      </w:r>
    </w:p>
    <w:p w14:paraId="2352F509">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default"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严格落实《报告表》提出的环境风险防控措施，健全风险防控体系，按环评要求做好防渗工作。制定环境风险防控措施和突发环境事件应急预案，做好应急设施的检查维护。</w:t>
      </w:r>
    </w:p>
    <w:p w14:paraId="0B17CC5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三、环保设施建设和竣工验收要求</w:t>
      </w:r>
    </w:p>
    <w:p w14:paraId="2A347554">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 xml:space="preserve">项目建设必须严格执行环境保护设施与主体工程同时设计、同时施工、同时投入使用的环境保护“三同时”制度。 </w:t>
      </w:r>
    </w:p>
    <w:p w14:paraId="6BA61C21">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left="0" w:leftChars="0" w:right="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项目竣工后，你公司应按照有关规定对配套建设的环保设施进行验收，并依法向社会公开，未经验收或验收不合格不得投入使用。你公司在开展环保设施验收过程中应如实查验、监测、记载项目环境保护设施的建设和调试情况，不得弄虚作假。</w:t>
      </w:r>
    </w:p>
    <w:p w14:paraId="081195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Autospacing="0" w:line="540" w:lineRule="exact"/>
        <w:ind w:left="0" w:leftChars="0" w:right="0" w:rightChars="0" w:firstLine="640" w:firstLineChars="200"/>
        <w:jc w:val="both"/>
        <w:textAlignment w:val="auto"/>
        <w:rPr>
          <w:rFonts w:hint="eastAsia" w:ascii="黑体" w:hAnsi="黑体" w:eastAsia="黑体" w:cs="黑体"/>
          <w:b w:val="0"/>
          <w:bCs w:val="0"/>
          <w:kern w:val="2"/>
          <w:sz w:val="32"/>
          <w:szCs w:val="32"/>
          <w:lang w:val="en-US" w:eastAsia="zh-CN" w:bidi="ar"/>
        </w:rPr>
      </w:pPr>
      <w:r>
        <w:rPr>
          <w:rFonts w:hint="eastAsia" w:ascii="黑体" w:hAnsi="黑体" w:eastAsia="黑体" w:cs="黑体"/>
          <w:b w:val="0"/>
          <w:bCs w:val="0"/>
          <w:kern w:val="2"/>
          <w:sz w:val="32"/>
          <w:szCs w:val="32"/>
          <w:lang w:val="en-US" w:eastAsia="zh-CN" w:bidi="ar"/>
        </w:rPr>
        <w:t>四、其他环保要求</w:t>
      </w:r>
    </w:p>
    <w:p w14:paraId="5AE4C56D">
      <w:pPr>
        <w:pStyle w:val="9"/>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一）《报告表》经批准后，项目的性质、规模、地点、采用的工艺或者防治污染、防止生态破坏、防范环境风险的措施发生重大变动的，或自批准之日起超过五年方开工建设，应按照法律法规的规定，重新办理报批（审核）手续。</w:t>
      </w:r>
    </w:p>
    <w:p w14:paraId="04289AEB">
      <w:pPr>
        <w:pStyle w:val="9"/>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（二）你公司应对所提交材料的真实性负责，如存在瞒报、假报行为，须承担由此产生的一切后果。</w:t>
      </w:r>
    </w:p>
    <w:p w14:paraId="195A014F">
      <w:pPr>
        <w:pStyle w:val="9"/>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r>
        <w:rPr>
          <w:rFonts w:hint="eastAsia" w:ascii="仿宋_GB2312" w:hAnsi="仿宋_GB2312" w:eastAsia="仿宋_GB2312" w:cs="仿宋_GB2312"/>
          <w:color w:val="auto"/>
          <w:kern w:val="2"/>
          <w:sz w:val="32"/>
          <w:szCs w:val="32"/>
          <w:lang w:val="en-US" w:eastAsia="zh-CN" w:bidi="ar"/>
        </w:rPr>
        <w:t>（三）你公司应全面落实环保设备设施安全生产相关法律法规要求，并履行相关安全生产手续。</w:t>
      </w:r>
    </w:p>
    <w:p w14:paraId="39A4A84D">
      <w:pPr>
        <w:pStyle w:val="9"/>
        <w:keepNext w:val="0"/>
        <w:keepLines w:val="0"/>
        <w:pageBreakBefore w:val="0"/>
        <w:widowControl w:val="0"/>
        <w:kinsoku/>
        <w:wordWrap/>
        <w:overflowPunct/>
        <w:topLinePunct w:val="0"/>
        <w:bidi w:val="0"/>
        <w:snapToGrid w:val="0"/>
        <w:spacing w:line="560" w:lineRule="exact"/>
        <w:ind w:left="0" w:firstLine="656"/>
        <w:jc w:val="both"/>
        <w:textAlignment w:val="auto"/>
        <w:rPr>
          <w:rFonts w:hint="eastAsia" w:ascii="仿宋_GB2312" w:hAnsi="仿宋_GB2312" w:eastAsia="仿宋_GB2312" w:cs="仿宋_GB2312"/>
          <w:color w:val="auto"/>
          <w:kern w:val="2"/>
          <w:sz w:val="32"/>
          <w:szCs w:val="32"/>
          <w:lang w:val="en-US" w:eastAsia="zh-CN" w:bidi="ar"/>
        </w:rPr>
      </w:pPr>
    </w:p>
    <w:p w14:paraId="1D9E53D5">
      <w:pPr>
        <w:pStyle w:val="9"/>
        <w:keepNext w:val="0"/>
        <w:keepLines w:val="0"/>
        <w:pageBreakBefore w:val="0"/>
        <w:widowControl w:val="0"/>
        <w:kinsoku/>
        <w:wordWrap/>
        <w:overflowPunct/>
        <w:topLinePunct w:val="0"/>
        <w:bidi w:val="0"/>
        <w:snapToGrid w:val="0"/>
        <w:spacing w:line="540" w:lineRule="exact"/>
        <w:ind w:left="0" w:leftChars="0" w:firstLine="656"/>
        <w:jc w:val="both"/>
        <w:textAlignment w:val="auto"/>
        <w:rPr>
          <w:rFonts w:hint="eastAsia" w:ascii="仿宋_GB2312" w:hAnsi="仿宋_GB2312" w:eastAsia="仿宋_GB2312" w:cs="仿宋_GB2312"/>
          <w:color w:val="auto"/>
          <w:kern w:val="2"/>
          <w:sz w:val="32"/>
          <w:szCs w:val="32"/>
          <w:lang w:val="en-US" w:eastAsia="zh-CN" w:bidi="ar"/>
        </w:rPr>
      </w:pPr>
    </w:p>
    <w:p w14:paraId="4F429437">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eastAsia" w:ascii="仿宋_GB2312" w:eastAsia="仿宋_GB2312"/>
          <w:color w:val="000000"/>
          <w:sz w:val="32"/>
          <w:szCs w:val="32"/>
          <w:lang w:val="en-US" w:eastAsia="zh-CN"/>
        </w:rPr>
      </w:pPr>
    </w:p>
    <w:p w14:paraId="6CE2A699">
      <w:pPr>
        <w:keepNext w:val="0"/>
        <w:keepLines w:val="0"/>
        <w:pageBreakBefore w:val="0"/>
        <w:widowControl w:val="0"/>
        <w:kinsoku/>
        <w:wordWrap/>
        <w:overflowPunct/>
        <w:topLinePunct w:val="0"/>
        <w:autoSpaceDE/>
        <w:autoSpaceDN/>
        <w:bidi w:val="0"/>
        <w:adjustRightInd/>
        <w:snapToGrid/>
        <w:spacing w:line="540" w:lineRule="exact"/>
        <w:ind w:left="0" w:leftChars="0" w:firstLine="4800" w:firstLineChars="1500"/>
        <w:jc w:val="both"/>
        <w:textAlignment w:val="auto"/>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九江市庐山生态环境局</w:t>
      </w:r>
    </w:p>
    <w:p w14:paraId="6DEFCAF2">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 xml:space="preserve">                             2025年12月26日</w:t>
      </w:r>
    </w:p>
    <w:p w14:paraId="0C637A3D">
      <w:pPr>
        <w:pStyle w:val="10"/>
        <w:rPr>
          <w:rFonts w:hint="eastAsia" w:ascii="仿宋_GB2312" w:eastAsia="仿宋_GB2312"/>
          <w:color w:val="000000"/>
          <w:sz w:val="32"/>
          <w:szCs w:val="32"/>
          <w:lang w:val="en-US" w:eastAsia="zh-CN"/>
        </w:rPr>
      </w:pPr>
    </w:p>
    <w:p w14:paraId="5389F585">
      <w:pPr>
        <w:pStyle w:val="10"/>
        <w:rPr>
          <w:rFonts w:hint="eastAsia" w:ascii="仿宋_GB2312" w:eastAsia="仿宋_GB2312"/>
          <w:color w:val="000000"/>
          <w:sz w:val="32"/>
          <w:szCs w:val="32"/>
          <w:lang w:val="en-US" w:eastAsia="zh-CN"/>
        </w:rPr>
      </w:pPr>
    </w:p>
    <w:p w14:paraId="6550AF4B">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40" w:lineRule="exact"/>
        <w:jc w:val="both"/>
        <w:textAlignment w:val="auto"/>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九江市庐山生态环境局办公室             2025年12月26</w:t>
      </w:r>
      <w:bookmarkStart w:id="0" w:name="_GoBack"/>
      <w:bookmarkEnd w:id="0"/>
      <w:r>
        <w:rPr>
          <w:rFonts w:hint="eastAsia" w:ascii="仿宋_GB2312" w:hAnsi="仿宋_GB2312" w:eastAsia="仿宋_GB2312" w:cs="仿宋_GB2312"/>
          <w:color w:val="000000"/>
          <w:sz w:val="28"/>
          <w:szCs w:val="28"/>
          <w:lang w:val="en-US" w:eastAsia="zh-CN"/>
        </w:rPr>
        <w:t>日印发</w:t>
      </w:r>
    </w:p>
    <w:p w14:paraId="6A9D8988"/>
    <w:p w14:paraId="79DA3118"/>
    <w:p w14:paraId="4F48ED8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13DB2"/>
    <w:rsid w:val="0DDF6CC8"/>
    <w:rsid w:val="345B4E09"/>
    <w:rsid w:val="643E6EF4"/>
    <w:rsid w:val="6866553C"/>
    <w:rsid w:val="7A35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widowControl/>
      <w:snapToGrid w:val="0"/>
      <w:spacing w:line="360" w:lineRule="auto"/>
      <w:ind w:right="0" w:firstLine="720" w:firstLineChars="200"/>
    </w:pPr>
    <w:rPr>
      <w:rFonts w:ascii="Times New Roman" w:hAnsi="Times New Roman" w:eastAsia="宋体"/>
      <w:kern w:val="0"/>
      <w:sz w:val="24"/>
      <w:szCs w:val="18"/>
    </w:rPr>
  </w:style>
  <w:style w:type="paragraph" w:styleId="4">
    <w:name w:val="Body Text First Indent"/>
    <w:basedOn w:val="3"/>
    <w:next w:val="1"/>
    <w:qFormat/>
    <w:uiPriority w:val="0"/>
    <w:pPr>
      <w:ind w:firstLine="420" w:firstLineChars="100"/>
    </w:pPr>
  </w:style>
  <w:style w:type="paragraph" w:customStyle="1" w:styleId="7">
    <w:name w:val="样式1"/>
    <w:basedOn w:val="2"/>
    <w:next w:val="1"/>
    <w:qFormat/>
    <w:uiPriority w:val="0"/>
    <w:rPr>
      <w:rFonts w:asciiTheme="minorAscii" w:hAnsiTheme="minorAscii"/>
    </w:rPr>
  </w:style>
  <w:style w:type="character" w:customStyle="1" w:styleId="8">
    <w:name w:val="标题 1 Char"/>
    <w:link w:val="2"/>
    <w:qFormat/>
    <w:uiPriority w:val="0"/>
    <w:rPr>
      <w:b/>
      <w:kern w:val="44"/>
      <w:sz w:val="44"/>
    </w:rPr>
  </w:style>
  <w:style w:type="paragraph" w:customStyle="1" w:styleId="9">
    <w:name w:val="文 本 正 文"/>
    <w:basedOn w:val="3"/>
    <w:qFormat/>
    <w:uiPriority w:val="0"/>
    <w:pPr>
      <w:autoSpaceDE w:val="0"/>
      <w:autoSpaceDN w:val="0"/>
      <w:adjustRightInd/>
      <w:ind w:firstLine="496" w:firstLineChars="200"/>
      <w:textAlignment w:val="auto"/>
    </w:pPr>
    <w:rPr>
      <w:rFonts w:hAnsi="宋体"/>
      <w:color w:val="000000"/>
    </w:rPr>
  </w:style>
  <w:style w:type="paragraph" w:customStyle="1" w:styleId="10">
    <w:name w:val="UserStyle_0"/>
    <w:qFormat/>
    <w:uiPriority w:val="0"/>
    <w:pPr>
      <w:textAlignment w:val="baseline"/>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2021-01-10T23:56:00Z</dcterms:created>
  <dc:creator>Administrator</dc:creator>
  <cp:lastModifiedBy>别那抹忧桑</cp:lastModifiedBy>
  <dcterms:modified xsi:type="dcterms:W3CDTF">2025-12-26T06:49:55Z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2A82D643903747C4BCA834952538A3D5</vt:lpwstr>
  </property>
  <property fmtid="{D5CDD505-2E9C-101B-9397-08002B2CF9AE}" pid="4" name="KSOTemplateDocerSaveRecord">
    <vt:lpwstr>eyJoZGlkIjoiOGYxOTg3Mjg1ZWRkYjgxOTgzYjE4ZDdhZjg3Njg3MWIiLCJ1c2VySWQiOiI0NTIwMTg5NjUifQ==</vt:lpwstr>
  </property>
</Properties>
</file>