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D7FD">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7"/>
          <w:rFonts w:hint="eastAsia" w:ascii="宋体" w:hAnsi="宋体" w:eastAsia="宋体" w:cs="宋体"/>
          <w:b/>
          <w:lang w:val="en-US" w:eastAsia="zh-CN"/>
        </w:rPr>
      </w:pPr>
      <w:r>
        <w:rPr>
          <w:rStyle w:val="7"/>
          <w:rFonts w:hint="eastAsia" w:ascii="宋体" w:hAnsi="宋体" w:eastAsia="宋体" w:cs="宋体"/>
          <w:b/>
          <w:lang w:val="en-US" w:eastAsia="zh-CN"/>
        </w:rPr>
        <w:t>关于庐山市庐佳洁邦服务管理有限公司布草洗涤厂建设项目环境影响报告表</w:t>
      </w:r>
    </w:p>
    <w:p w14:paraId="1D155404">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7"/>
          <w:rFonts w:hint="eastAsia" w:ascii="宋体" w:hAnsi="宋体" w:eastAsia="宋体" w:cs="宋体"/>
          <w:b/>
          <w:lang w:val="en-US" w:eastAsia="zh-CN"/>
        </w:rPr>
      </w:pPr>
      <w:r>
        <w:rPr>
          <w:rStyle w:val="7"/>
          <w:rFonts w:hint="eastAsia" w:ascii="宋体" w:hAnsi="宋体" w:eastAsia="宋体" w:cs="宋体"/>
          <w:b/>
          <w:lang w:val="en-US" w:eastAsia="zh-CN"/>
        </w:rPr>
        <w:t>的批复</w:t>
      </w:r>
    </w:p>
    <w:p w14:paraId="068542FA">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7"/>
          <w:rFonts w:hint="eastAsia" w:ascii="宋体" w:hAnsi="宋体" w:eastAsia="宋体" w:cs="宋体"/>
          <w:b/>
          <w:lang w:val="en-US" w:eastAsia="zh-CN"/>
        </w:rPr>
      </w:pPr>
    </w:p>
    <w:p w14:paraId="17110A3A">
      <w:pPr>
        <w:keepNext w:val="0"/>
        <w:keepLines w:val="0"/>
        <w:pageBreakBefore w:val="0"/>
        <w:widowControl w:val="0"/>
        <w:suppressLineNumbers w:val="0"/>
        <w:kinsoku/>
        <w:wordWrap/>
        <w:overflowPunct/>
        <w:topLinePunct w:val="0"/>
        <w:bidi w:val="0"/>
        <w:spacing w:beforeAutospacing="0" w:afterAutospacing="0" w:line="540" w:lineRule="exact"/>
        <w:ind w:right="0"/>
        <w:jc w:val="center"/>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九庐环审〔2025〕8号</w:t>
      </w:r>
    </w:p>
    <w:p w14:paraId="5948EB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p>
    <w:p w14:paraId="636063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庐山市庐佳洁邦服务管理有限公司：</w:t>
      </w:r>
    </w:p>
    <w:p w14:paraId="115927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你公司报来的《布草洗涤厂建设项目</w:t>
      </w:r>
      <w:r>
        <w:rPr>
          <w:rFonts w:hint="default" w:ascii="仿宋_GB2312" w:hAnsi="仿宋_GB2312" w:eastAsia="仿宋_GB2312" w:cs="仿宋_GB2312"/>
          <w:kern w:val="2"/>
          <w:sz w:val="32"/>
          <w:szCs w:val="32"/>
          <w:lang w:val="en-US" w:eastAsia="zh-CN" w:bidi="ar"/>
        </w:rPr>
        <w:t>环境影响报告表</w:t>
      </w:r>
      <w:r>
        <w:rPr>
          <w:rFonts w:hint="eastAsia" w:ascii="仿宋_GB2312" w:hAnsi="仿宋_GB2312" w:eastAsia="仿宋_GB2312" w:cs="仿宋_GB2312"/>
          <w:kern w:val="2"/>
          <w:sz w:val="32"/>
          <w:szCs w:val="32"/>
          <w:lang w:val="en-US" w:eastAsia="zh-CN" w:bidi="ar"/>
        </w:rPr>
        <w:t>》（以下简称《报告表》）收悉，现批复如下：</w:t>
      </w:r>
    </w:p>
    <w:p w14:paraId="3066E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14C47B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项目选址位</w:t>
      </w:r>
      <w:r>
        <w:rPr>
          <w:rFonts w:hint="eastAsia" w:ascii="仿宋_GB2312" w:hAnsi="仿宋_GB2312" w:eastAsia="仿宋_GB2312" w:cs="仿宋_GB2312"/>
          <w:kern w:val="2"/>
          <w:sz w:val="32"/>
          <w:szCs w:val="32"/>
          <w:lang w:val="en-US" w:eastAsia="zh-CN" w:bidi="ar"/>
        </w:rPr>
        <w:t>于庐山工业园综合产业园内，租用康达科技有限公司闲置厂房进行生产</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占地面积2300m</w:t>
      </w:r>
      <w:r>
        <w:rPr>
          <w:rFonts w:hint="eastAsia" w:ascii="仿宋_GB2312" w:hAnsi="仿宋_GB2312" w:eastAsia="仿宋_GB2312" w:cs="仿宋_GB2312"/>
          <w:kern w:val="2"/>
          <w:sz w:val="32"/>
          <w:szCs w:val="32"/>
          <w:vertAlign w:val="superscript"/>
          <w:lang w:val="en-US" w:eastAsia="zh-CN" w:bidi="ar"/>
        </w:rPr>
        <w:t>2</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中心地理坐标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东经</w:t>
      </w:r>
      <w:r>
        <w:rPr>
          <w:rFonts w:hint="default" w:ascii="Times New Roman" w:hAnsi="Times New Roman" w:eastAsia="仿宋" w:cs="仿宋"/>
          <w:color w:val="auto"/>
          <w:sz w:val="32"/>
          <w:szCs w:val="32"/>
          <w:lang w:val="en-US" w:eastAsia="zh-CN"/>
        </w:rPr>
        <w:t>11</w:t>
      </w:r>
      <w:r>
        <w:rPr>
          <w:rFonts w:hint="eastAsia" w:ascii="Times New Roman" w:hAnsi="Times New Roman" w:eastAsia="仿宋" w:cs="仿宋"/>
          <w:color w:val="auto"/>
          <w:sz w:val="32"/>
          <w:szCs w:val="32"/>
          <w:lang w:val="en-US" w:eastAsia="zh-CN"/>
        </w:rPr>
        <w:t>5</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58</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0.506</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w:t>
      </w:r>
      <w:r>
        <w:rPr>
          <w:rFonts w:hint="eastAsia" w:ascii="Times New Roman" w:hAnsi="Times New Roman" w:eastAsia="仿宋" w:cs="仿宋"/>
          <w:color w:val="auto"/>
          <w:sz w:val="32"/>
          <w:szCs w:val="32"/>
          <w:lang w:val="en-US" w:eastAsia="zh-CN"/>
        </w:rPr>
        <w:t>39</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46.190</w:t>
      </w:r>
      <w:r>
        <w:rPr>
          <w:rFonts w:hint="default" w:ascii="Times New Roman" w:hAnsi="Times New Roman" w:eastAsia="仿宋" w:cs="仿宋"/>
          <w:color w:val="auto"/>
          <w:sz w:val="32"/>
          <w:szCs w:val="32"/>
          <w:lang w:val="en-US" w:eastAsia="zh-CN"/>
        </w:rPr>
        <w:t>″</w:t>
      </w:r>
      <w:r>
        <w:rPr>
          <w:rFonts w:hint="eastAsia" w:ascii="仿宋_GB2312" w:hAnsi="仿宋_GB2312" w:eastAsia="仿宋_GB2312" w:cs="仿宋_GB2312"/>
          <w:kern w:val="2"/>
          <w:sz w:val="32"/>
          <w:szCs w:val="32"/>
          <w:lang w:val="en-US" w:eastAsia="zh-CN" w:bidi="ar"/>
        </w:rPr>
        <w:t>，项目以无磷洗衣液、助洗液、乳化剂、氧漂剂等为原辅材料，经分拣、清洗、烘干、烫平、折叠、打包等工序生产，年洗涤床上用品120万套。项目</w:t>
      </w:r>
      <w:r>
        <w:rPr>
          <w:rFonts w:hint="default" w:ascii="仿宋_GB2312" w:hAnsi="仿宋_GB2312" w:eastAsia="仿宋_GB2312" w:cs="仿宋_GB2312"/>
          <w:kern w:val="2"/>
          <w:sz w:val="32"/>
          <w:szCs w:val="32"/>
          <w:lang w:val="en-US" w:eastAsia="zh-CN" w:bidi="ar"/>
        </w:rPr>
        <w:t>拟</w:t>
      </w:r>
      <w:r>
        <w:rPr>
          <w:rFonts w:hint="eastAsia" w:ascii="仿宋_GB2312" w:hAnsi="仿宋_GB2312" w:eastAsia="仿宋_GB2312" w:cs="仿宋_GB2312"/>
          <w:kern w:val="2"/>
          <w:sz w:val="32"/>
          <w:szCs w:val="32"/>
          <w:lang w:val="en-US" w:eastAsia="zh-CN" w:bidi="ar"/>
        </w:rPr>
        <w:t>配套使用燃气发生器（</w:t>
      </w:r>
      <w:r>
        <w:rPr>
          <w:rFonts w:hint="default" w:ascii="仿宋_GB2312" w:hAnsi="仿宋_GB2312" w:eastAsia="仿宋_GB2312" w:cs="仿宋_GB2312"/>
          <w:kern w:val="2"/>
          <w:sz w:val="32"/>
          <w:szCs w:val="32"/>
          <w:lang w:val="en-US" w:eastAsia="zh-CN" w:bidi="ar"/>
        </w:rPr>
        <w:t>2</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1t/h</w:t>
      </w:r>
      <w:r>
        <w:rPr>
          <w:rFonts w:hint="eastAsia" w:ascii="仿宋_GB2312" w:hAnsi="仿宋_GB2312" w:eastAsia="仿宋_GB2312" w:cs="仿宋_GB2312"/>
          <w:kern w:val="2"/>
          <w:sz w:val="32"/>
          <w:szCs w:val="32"/>
          <w:lang w:val="en-US" w:eastAsia="zh-CN" w:bidi="ar"/>
        </w:rPr>
        <w:t>），产生蒸汽用于生产工序。项目总投资650万元，其中环保投资29万元，</w:t>
      </w:r>
      <w:r>
        <w:rPr>
          <w:rFonts w:hint="default" w:ascii="仿宋_GB2312" w:hAnsi="仿宋_GB2312" w:eastAsia="仿宋_GB2312" w:cs="仿宋_GB2312"/>
          <w:kern w:val="2"/>
          <w:sz w:val="32"/>
          <w:szCs w:val="32"/>
          <w:lang w:val="en-US" w:eastAsia="zh-CN" w:bidi="ar"/>
        </w:rPr>
        <w:t>约占总投资的</w:t>
      </w:r>
      <w:r>
        <w:rPr>
          <w:rFonts w:hint="eastAsia" w:ascii="仿宋_GB2312" w:hAnsi="仿宋_GB2312" w:eastAsia="仿宋_GB2312" w:cs="仿宋_GB2312"/>
          <w:kern w:val="2"/>
          <w:sz w:val="32"/>
          <w:szCs w:val="32"/>
          <w:lang w:val="en-US" w:eastAsia="zh-CN" w:bidi="ar"/>
        </w:rPr>
        <w:t xml:space="preserve">4.46%。  </w:t>
      </w:r>
    </w:p>
    <w:p w14:paraId="66AB23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583512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2C2227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7C858A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4C6569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按照“雨污分流、清污分流”原则，严格落实废水污染防治措施。项目产生的洗涤废水经厂区污水处理站（</w:t>
      </w:r>
      <w:r>
        <w:rPr>
          <w:rFonts w:hint="default" w:ascii="仿宋_GB2312" w:hAnsi="仿宋_GB2312" w:eastAsia="仿宋_GB2312" w:cs="仿宋_GB2312"/>
          <w:kern w:val="2"/>
          <w:sz w:val="32"/>
          <w:szCs w:val="32"/>
          <w:lang w:val="en-US" w:eastAsia="zh-CN" w:bidi="ar"/>
        </w:rPr>
        <w:t>格栅+调节池+</w:t>
      </w:r>
      <w:r>
        <w:rPr>
          <w:rFonts w:hint="eastAsia" w:ascii="仿宋_GB2312" w:hAnsi="仿宋_GB2312" w:eastAsia="仿宋_GB2312" w:cs="仿宋_GB2312"/>
          <w:kern w:val="2"/>
          <w:sz w:val="32"/>
          <w:szCs w:val="32"/>
          <w:lang w:val="en-US" w:eastAsia="zh-CN" w:bidi="ar"/>
        </w:rPr>
        <w:t>高效气浮</w:t>
      </w:r>
      <w:r>
        <w:rPr>
          <w:rFonts w:hint="eastAsia" w:ascii="仿宋_GB2312" w:hAnsi="仿宋_GB2312" w:eastAsia="仿宋_GB2312" w:cs="仿宋_GB2312"/>
          <w:kern w:val="2"/>
          <w:sz w:val="32"/>
          <w:szCs w:val="32"/>
          <w:lang w:val="en-US" w:eastAsia="zh-CN" w:bidi="ar"/>
        </w:rPr>
        <w:t>）预处理后，与经化粪池预处理后的生活污水、离子交换树脂再生废水、软水制备的浓盐水一并在排放口混合，达接管标准后排入庐山市工业污水处理厂进一步处理。</w:t>
      </w:r>
    </w:p>
    <w:p w14:paraId="5146F3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6672B4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加强废气处理设施管理。废气处理设施的处理能力、效率应满足需要，排气筒高度、永久性采样监测孔和采样监测平合须符合国家有关要求，加强运行管理和环境管理，确保各种大气污染物排放满足有关标准要求；严格落实无组织排放废气的各项控制措施，降低对周边环境的影响。</w:t>
      </w:r>
    </w:p>
    <w:p w14:paraId="2E8F05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4F4B5A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噪声主要来源于生产设备运行时产生的噪声。通过优先选用低噪声设备，优化高噪声设备布局，采取隔声、减震、距离衰减等措施，确保厂界噪声满足《工业企业厂界环境噪声排放标准》(GB12348-2008)中3类标准要求。</w:t>
      </w:r>
    </w:p>
    <w:p w14:paraId="4B48E5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1AE5D1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无害化”原则，对固体废物进行分类收集、处理和处置，并确保不造成二次污染。按《一般工业固体废物贮存和填埋污染控制标准》(GB18599-2020)和《危险废物贮存污染控制标准》(GB18597-2023)建设、管理一般工业固废暂存库和危险废物暂存库。危险废物必须交由有相应危度处置资质的单位处理，并严格执行转移联单制度。</w:t>
      </w:r>
    </w:p>
    <w:p w14:paraId="553FE0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5BD1B61D">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0F01E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5AA6D995">
      <w:pPr>
        <w:keepNext w:val="0"/>
        <w:keepLines w:val="0"/>
        <w:pageBreakBefore w:val="0"/>
        <w:widowControl w:val="0"/>
        <w:kinsoku/>
        <w:wordWrap/>
        <w:overflowPunct/>
        <w:topLinePunct w:val="0"/>
        <w:autoSpaceDE/>
        <w:autoSpaceDN/>
        <w:bidi w:val="0"/>
        <w:spacing w:line="540" w:lineRule="exact"/>
        <w:ind w:left="0" w:leftChars="0" w:firstLine="6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bookmarkStart w:id="0" w:name="_GoBack"/>
      <w:bookmarkEnd w:id="0"/>
    </w:p>
    <w:p w14:paraId="79B582A2">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58E59F4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627C3859">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2352F509">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严格落实《报告表》提出的环境风险防控措施，健全风险防控体系，按环评要求做好防渗工作。制定环境风险防控措施和突发环境事件应急预案，做好应急设施的检查维护。</w:t>
      </w:r>
    </w:p>
    <w:p w14:paraId="0B17CC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2A34755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6BA61C21">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081195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5AE4C56D">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04289AEB">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195A014F">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38B2021A">
      <w:pPr>
        <w:pStyle w:val="8"/>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39A4A84D">
      <w:pPr>
        <w:pStyle w:val="8"/>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p>
    <w:p w14:paraId="1D9E53D5">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4F429437">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eastAsia" w:ascii="仿宋_GB2312" w:eastAsia="仿宋_GB2312"/>
          <w:color w:val="000000"/>
          <w:sz w:val="32"/>
          <w:szCs w:val="32"/>
          <w:lang w:val="en-US" w:eastAsia="zh-CN"/>
        </w:rPr>
      </w:pPr>
    </w:p>
    <w:p w14:paraId="6CE2A699">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6DEFCAF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2025年11月24日</w:t>
      </w:r>
    </w:p>
    <w:p w14:paraId="0C637A3D">
      <w:pPr>
        <w:pStyle w:val="9"/>
        <w:rPr>
          <w:rFonts w:hint="eastAsia" w:ascii="仿宋_GB2312" w:eastAsia="仿宋_GB2312"/>
          <w:color w:val="000000"/>
          <w:sz w:val="32"/>
          <w:szCs w:val="32"/>
          <w:lang w:val="en-US" w:eastAsia="zh-CN"/>
        </w:rPr>
      </w:pPr>
    </w:p>
    <w:p w14:paraId="5389F585">
      <w:pPr>
        <w:pStyle w:val="9"/>
        <w:rPr>
          <w:rFonts w:hint="eastAsia" w:ascii="仿宋_GB2312" w:eastAsia="仿宋_GB2312"/>
          <w:color w:val="000000"/>
          <w:sz w:val="32"/>
          <w:szCs w:val="32"/>
          <w:lang w:val="en-US" w:eastAsia="zh-CN"/>
        </w:rPr>
      </w:pPr>
    </w:p>
    <w:p w14:paraId="6550AF4B">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九江市庐山生态环境局办公室             2025年11月24日印发</w:t>
      </w:r>
    </w:p>
    <w:p w14:paraId="6A9D8988"/>
    <w:p w14:paraId="79DA311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17345278"/>
    <w:rsid w:val="19A54F04"/>
    <w:rsid w:val="3919458D"/>
    <w:rsid w:val="4AA72A60"/>
    <w:rsid w:val="50A768A7"/>
    <w:rsid w:val="560D4C18"/>
    <w:rsid w:val="643E6EF4"/>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customStyle="1" w:styleId="6">
    <w:name w:val="样式1"/>
    <w:basedOn w:val="2"/>
    <w:next w:val="1"/>
    <w:uiPriority w:val="0"/>
    <w:rPr>
      <w:rFonts w:asciiTheme="minorAscii" w:hAnsiTheme="minorAscii"/>
    </w:rPr>
  </w:style>
  <w:style w:type="character" w:customStyle="1" w:styleId="7">
    <w:name w:val="标题 1 Char"/>
    <w:link w:val="2"/>
    <w:qFormat/>
    <w:uiPriority w:val="0"/>
    <w:rPr>
      <w:b/>
      <w:kern w:val="44"/>
      <w:sz w:val="44"/>
    </w:rPr>
  </w:style>
  <w:style w:type="paragraph" w:customStyle="1" w:styleId="8">
    <w:name w:val="文 本 正 文"/>
    <w:basedOn w:val="3"/>
    <w:qFormat/>
    <w:uiPriority w:val="0"/>
    <w:pPr>
      <w:autoSpaceDE w:val="0"/>
      <w:autoSpaceDN w:val="0"/>
      <w:adjustRightInd/>
      <w:ind w:firstLine="496" w:firstLineChars="200"/>
      <w:textAlignment w:val="auto"/>
    </w:pPr>
    <w:rPr>
      <w:rFonts w:hAnsi="宋体"/>
      <w:color w:val="000000"/>
    </w:rPr>
  </w:style>
  <w:style w:type="paragraph" w:customStyle="1" w:styleId="9">
    <w:name w:val="UserStyle_0"/>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1931</Words>
  <Characters>2021</Characters>
  <Lines>0</Lines>
  <Paragraphs>0</Paragraphs>
  <TotalTime>14</TotalTime>
  <ScaleCrop>false</ScaleCrop>
  <LinksUpToDate>false</LinksUpToDate>
  <CharactersWithSpaces>2068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别那抹忧桑</cp:lastModifiedBy>
  <dcterms:modified xsi:type="dcterms:W3CDTF">2025-11-27T07:43:47Z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2A82D643903747C4BCA834952538A3D5</vt:lpwstr>
  </property>
  <property fmtid="{D5CDD505-2E9C-101B-9397-08002B2CF9AE}" pid="4" name="KSOTemplateDocerSaveRecord">
    <vt:lpwstr>eyJoZGlkIjoiOGYxOTg3Mjg1ZWRkYjgxOTgzYjE4ZDdhZjg3Njg3MWIiLCJ1c2VySWQiOiI0NTIwMTg5NjUifQ==</vt:lpwstr>
  </property>
</Properties>
</file>